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93DEE0">
      <w:pPr>
        <w:rPr>
          <w:rFonts w:hint="eastAsia" w:eastAsia="宋体"/>
          <w:color w:val="auto"/>
          <w:highlight w:val="none"/>
          <w:lang w:eastAsia="zh-CN"/>
        </w:rPr>
      </w:pPr>
      <w:bookmarkStart w:id="0" w:name="EBdca76e9a32744b40b5404200ffa80215"/>
      <w:bookmarkStart w:id="861" w:name="_GoBack"/>
    </w:p>
    <w:p w14:paraId="76E0AB6F">
      <w:pPr>
        <w:pStyle w:val="9"/>
        <w:widowControl/>
        <w:jc w:val="left"/>
        <w:rPr>
          <w:rFonts w:ascii="黑体" w:hAnsi="华文中宋" w:eastAsia="黑体"/>
          <w:b/>
          <w:color w:val="auto"/>
          <w:sz w:val="48"/>
          <w:szCs w:val="48"/>
          <w:highlight w:val="none"/>
        </w:rPr>
      </w:pPr>
    </w:p>
    <w:p w14:paraId="29383644">
      <w:pPr>
        <w:pStyle w:val="9"/>
        <w:jc w:val="center"/>
        <w:rPr>
          <w:rFonts w:ascii="黑体" w:hAnsi="黑体" w:eastAsia="黑体" w:cs="黑体"/>
          <w:b/>
          <w:bCs/>
          <w:color w:val="auto"/>
          <w:spacing w:val="0"/>
          <w:sz w:val="44"/>
          <w:szCs w:val="44"/>
          <w:highlight w:val="none"/>
        </w:rPr>
      </w:pPr>
      <w:r>
        <w:rPr>
          <w:rFonts w:hint="eastAsia" w:ascii="黑体" w:hAnsi="黑体" w:eastAsia="黑体" w:cs="黑体"/>
          <w:b/>
          <w:bCs/>
          <w:color w:val="auto"/>
          <w:spacing w:val="0"/>
          <w:sz w:val="44"/>
          <w:szCs w:val="44"/>
          <w:highlight w:val="none"/>
          <w:lang w:eastAsia="zh-CN"/>
        </w:rPr>
        <w:t>2026年新昌县G104京岚线关岭隧道上行维修加固工程</w:t>
      </w:r>
    </w:p>
    <w:p w14:paraId="13ADFB85">
      <w:pPr>
        <w:bidi w:val="0"/>
        <w:rPr>
          <w:color w:val="auto"/>
          <w:highlight w:val="none"/>
        </w:rPr>
      </w:pPr>
    </w:p>
    <w:p w14:paraId="5794ED33">
      <w:pPr>
        <w:bidi w:val="0"/>
        <w:rPr>
          <w:color w:val="auto"/>
          <w:highlight w:val="none"/>
        </w:rPr>
      </w:pPr>
    </w:p>
    <w:p w14:paraId="384E3FDA">
      <w:pPr>
        <w:pStyle w:val="9"/>
        <w:jc w:val="center"/>
        <w:outlineLvl w:val="0"/>
        <w:rPr>
          <w:rFonts w:hint="eastAsia" w:ascii="黑体" w:hAnsi="黑体" w:eastAsia="黑体"/>
          <w:b/>
          <w:color w:val="auto"/>
          <w:sz w:val="72"/>
          <w:szCs w:val="72"/>
          <w:highlight w:val="none"/>
        </w:rPr>
      </w:pPr>
      <w:bookmarkStart w:id="1" w:name="_Toc24715"/>
      <w:bookmarkStart w:id="2" w:name="_Toc6973"/>
      <w:bookmarkStart w:id="3" w:name="_Toc6381"/>
    </w:p>
    <w:p w14:paraId="1EBD1DAC">
      <w:pPr>
        <w:pStyle w:val="9"/>
        <w:jc w:val="center"/>
        <w:outlineLvl w:val="0"/>
        <w:rPr>
          <w:rFonts w:hint="eastAsia" w:ascii="黑体" w:hAnsi="黑体" w:eastAsia="黑体"/>
          <w:b/>
          <w:color w:val="auto"/>
          <w:sz w:val="72"/>
          <w:szCs w:val="72"/>
          <w:highlight w:val="none"/>
        </w:rPr>
      </w:pPr>
      <w:bookmarkStart w:id="4" w:name="_Toc28445"/>
    </w:p>
    <w:p w14:paraId="3E8E50D2">
      <w:pPr>
        <w:pStyle w:val="9"/>
        <w:jc w:val="center"/>
        <w:outlineLvl w:val="0"/>
        <w:rPr>
          <w:rFonts w:hint="eastAsia" w:ascii="黑体" w:hAnsi="黑体" w:eastAsia="黑体"/>
          <w:b/>
          <w:color w:val="auto"/>
          <w:sz w:val="72"/>
          <w:szCs w:val="72"/>
          <w:highlight w:val="none"/>
        </w:rPr>
      </w:pPr>
      <w:r>
        <w:rPr>
          <w:rFonts w:hint="eastAsia" w:ascii="黑体" w:hAnsi="黑体" w:eastAsia="黑体"/>
          <w:b/>
          <w:color w:val="auto"/>
          <w:sz w:val="72"/>
          <w:szCs w:val="72"/>
          <w:highlight w:val="none"/>
        </w:rPr>
        <w:t>招 标 文 件</w:t>
      </w:r>
      <w:bookmarkEnd w:id="1"/>
      <w:bookmarkEnd w:id="2"/>
      <w:bookmarkEnd w:id="3"/>
      <w:bookmarkEnd w:id="4"/>
    </w:p>
    <w:p w14:paraId="2A44231F">
      <w:pPr>
        <w:pStyle w:val="9"/>
        <w:rPr>
          <w:color w:val="auto"/>
          <w:highlight w:val="none"/>
        </w:rPr>
      </w:pPr>
    </w:p>
    <w:p w14:paraId="7B20E341">
      <w:pPr>
        <w:bidi w:val="0"/>
        <w:rPr>
          <w:color w:val="auto"/>
          <w:highlight w:val="none"/>
        </w:rPr>
      </w:pPr>
    </w:p>
    <w:p w14:paraId="0B1162F5">
      <w:pPr>
        <w:bidi w:val="0"/>
        <w:rPr>
          <w:color w:val="auto"/>
          <w:highlight w:val="none"/>
        </w:rPr>
      </w:pPr>
    </w:p>
    <w:p w14:paraId="4B07B365">
      <w:pPr>
        <w:bidi w:val="0"/>
        <w:rPr>
          <w:color w:val="auto"/>
          <w:highlight w:val="none"/>
        </w:rPr>
      </w:pPr>
    </w:p>
    <w:p w14:paraId="6E54E967">
      <w:pPr>
        <w:bidi w:val="0"/>
        <w:rPr>
          <w:color w:val="auto"/>
          <w:highlight w:val="none"/>
        </w:rPr>
      </w:pPr>
    </w:p>
    <w:p w14:paraId="2F8A0A78">
      <w:pPr>
        <w:bidi w:val="0"/>
        <w:rPr>
          <w:color w:val="auto"/>
          <w:highlight w:val="none"/>
        </w:rPr>
      </w:pPr>
    </w:p>
    <w:p w14:paraId="1BBFFAA1">
      <w:pPr>
        <w:bidi w:val="0"/>
        <w:rPr>
          <w:color w:val="auto"/>
          <w:highlight w:val="none"/>
        </w:rPr>
      </w:pPr>
    </w:p>
    <w:p w14:paraId="132C6660">
      <w:pPr>
        <w:bidi w:val="0"/>
        <w:rPr>
          <w:rFonts w:eastAsia="宋体"/>
          <w:color w:val="auto"/>
          <w:highlight w:val="none"/>
        </w:rPr>
      </w:pPr>
    </w:p>
    <w:p w14:paraId="3F793C9E">
      <w:pPr>
        <w:bidi w:val="0"/>
        <w:rPr>
          <w:rFonts w:eastAsia="宋体"/>
          <w:color w:val="auto"/>
          <w:highlight w:val="none"/>
        </w:rPr>
      </w:pPr>
    </w:p>
    <w:p w14:paraId="5098367C">
      <w:pPr>
        <w:bidi w:val="0"/>
        <w:rPr>
          <w:rFonts w:eastAsia="宋体"/>
          <w:color w:val="auto"/>
          <w:highlight w:val="none"/>
        </w:rPr>
      </w:pPr>
    </w:p>
    <w:p w14:paraId="577BD45C">
      <w:pPr>
        <w:bidi w:val="0"/>
        <w:rPr>
          <w:rFonts w:eastAsia="宋体"/>
          <w:color w:val="auto"/>
          <w:highlight w:val="none"/>
        </w:rPr>
      </w:pPr>
    </w:p>
    <w:p w14:paraId="28BE4130">
      <w:pPr>
        <w:bidi w:val="0"/>
        <w:rPr>
          <w:color w:val="auto"/>
          <w:highlight w:val="none"/>
        </w:rPr>
      </w:pPr>
    </w:p>
    <w:p w14:paraId="2FF75649">
      <w:pPr>
        <w:bidi w:val="0"/>
        <w:rPr>
          <w:color w:val="auto"/>
          <w:highlight w:val="none"/>
        </w:rPr>
      </w:pPr>
    </w:p>
    <w:tbl>
      <w:tblPr>
        <w:tblStyle w:val="23"/>
        <w:tblpPr w:leftFromText="180" w:rightFromText="180" w:vertAnchor="text" w:horzAnchor="page" w:tblpX="1917" w:tblpY="142"/>
        <w:tblOverlap w:val="never"/>
        <w:tblW w:w="0" w:type="auto"/>
        <w:tblInd w:w="0" w:type="dxa"/>
        <w:tblLayout w:type="fixed"/>
        <w:tblCellMar>
          <w:top w:w="0" w:type="dxa"/>
          <w:left w:w="28" w:type="dxa"/>
          <w:bottom w:w="0" w:type="dxa"/>
          <w:right w:w="28" w:type="dxa"/>
        </w:tblCellMar>
      </w:tblPr>
      <w:tblGrid>
        <w:gridCol w:w="8052"/>
      </w:tblGrid>
      <w:tr w14:paraId="00201320">
        <w:trPr>
          <w:trHeight w:val="567" w:hRule="atLeast"/>
        </w:trPr>
        <w:tc>
          <w:tcPr>
            <w:tcW w:w="8052" w:type="dxa"/>
            <w:noWrap w:val="0"/>
            <w:vAlign w:val="center"/>
          </w:tcPr>
          <w:p w14:paraId="20762C95">
            <w:pPr>
              <w:pStyle w:val="9"/>
              <w:keepNext w:val="0"/>
              <w:keepLines w:val="0"/>
              <w:pageBreakBefore w:val="0"/>
              <w:widowControl w:val="0"/>
              <w:kinsoku/>
              <w:wordWrap/>
              <w:overflowPunct/>
              <w:topLinePunct w:val="0"/>
              <w:autoSpaceDE/>
              <w:autoSpaceDN/>
              <w:bidi w:val="0"/>
              <w:adjustRightInd/>
              <w:snapToGrid/>
              <w:spacing w:line="600" w:lineRule="auto"/>
              <w:ind w:firstLine="280" w:firstLineChars="100"/>
              <w:jc w:val="left"/>
              <w:textAlignment w:val="auto"/>
              <w:rPr>
                <w:rFonts w:eastAsia="黑体"/>
                <w:color w:val="auto"/>
                <w:sz w:val="28"/>
                <w:szCs w:val="28"/>
                <w:highlight w:val="none"/>
              </w:rPr>
            </w:pPr>
            <w:r>
              <w:rPr>
                <w:rFonts w:hint="eastAsia" w:eastAsia="黑体"/>
                <w:color w:val="auto"/>
                <w:sz w:val="28"/>
                <w:szCs w:val="28"/>
                <w:highlight w:val="none"/>
              </w:rPr>
              <w:t>招 标 人：</w:t>
            </w:r>
            <w:r>
              <w:rPr>
                <w:rFonts w:hint="eastAsia" w:eastAsia="黑体"/>
                <w:color w:val="auto"/>
                <w:sz w:val="28"/>
                <w:szCs w:val="28"/>
                <w:highlight w:val="none"/>
                <w:u w:val="single"/>
              </w:rPr>
              <w:t>新昌县公路与运输管理中心</w:t>
            </w:r>
            <w:r>
              <w:rPr>
                <w:rFonts w:hint="eastAsia" w:eastAsia="黑体"/>
                <w:color w:val="auto"/>
                <w:sz w:val="28"/>
                <w:szCs w:val="28"/>
                <w:highlight w:val="none"/>
              </w:rPr>
              <w:t>（盖单位章）</w:t>
            </w:r>
          </w:p>
          <w:p w14:paraId="0A141D37">
            <w:pPr>
              <w:pStyle w:val="9"/>
              <w:keepNext w:val="0"/>
              <w:keepLines w:val="0"/>
              <w:pageBreakBefore w:val="0"/>
              <w:widowControl w:val="0"/>
              <w:kinsoku/>
              <w:wordWrap/>
              <w:overflowPunct/>
              <w:topLinePunct w:val="0"/>
              <w:autoSpaceDE/>
              <w:autoSpaceDN/>
              <w:bidi w:val="0"/>
              <w:adjustRightInd/>
              <w:snapToGrid/>
              <w:spacing w:line="600" w:lineRule="auto"/>
              <w:ind w:firstLine="280" w:firstLineChars="100"/>
              <w:jc w:val="left"/>
              <w:textAlignment w:val="auto"/>
              <w:rPr>
                <w:rFonts w:hint="eastAsia" w:eastAsia="黑体"/>
                <w:color w:val="auto"/>
                <w:sz w:val="28"/>
                <w:szCs w:val="28"/>
                <w:highlight w:val="none"/>
              </w:rPr>
            </w:pPr>
            <w:r>
              <w:rPr>
                <w:rFonts w:hint="eastAsia" w:eastAsia="黑体"/>
                <w:color w:val="auto"/>
                <w:sz w:val="28"/>
                <w:szCs w:val="28"/>
                <w:highlight w:val="none"/>
              </w:rPr>
              <w:t>招标代理：</w:t>
            </w:r>
            <w:r>
              <w:rPr>
                <w:rFonts w:hint="eastAsia" w:eastAsia="黑体"/>
                <w:color w:val="auto"/>
                <w:sz w:val="28"/>
                <w:szCs w:val="28"/>
                <w:highlight w:val="none"/>
                <w:u w:val="single"/>
                <w:lang w:eastAsia="zh-CN"/>
              </w:rPr>
              <w:t>建经投资咨询有限公司</w:t>
            </w:r>
            <w:r>
              <w:rPr>
                <w:rFonts w:hint="eastAsia" w:eastAsia="黑体"/>
                <w:color w:val="auto"/>
                <w:sz w:val="28"/>
                <w:szCs w:val="28"/>
                <w:highlight w:val="none"/>
              </w:rPr>
              <w:t>（盖单位章）</w:t>
            </w:r>
          </w:p>
          <w:p w14:paraId="6CCE9D1D">
            <w:pPr>
              <w:pStyle w:val="9"/>
              <w:keepNext w:val="0"/>
              <w:keepLines w:val="0"/>
              <w:pageBreakBefore w:val="0"/>
              <w:widowControl w:val="0"/>
              <w:kinsoku/>
              <w:wordWrap/>
              <w:overflowPunct/>
              <w:topLinePunct w:val="0"/>
              <w:autoSpaceDE/>
              <w:autoSpaceDN/>
              <w:bidi w:val="0"/>
              <w:adjustRightInd/>
              <w:snapToGrid/>
              <w:spacing w:line="600" w:lineRule="auto"/>
              <w:jc w:val="center"/>
              <w:textAlignment w:val="auto"/>
              <w:rPr>
                <w:rFonts w:eastAsia="黑体"/>
                <w:color w:val="auto"/>
                <w:sz w:val="36"/>
                <w:szCs w:val="36"/>
                <w:highlight w:val="none"/>
              </w:rPr>
            </w:pPr>
            <w:r>
              <w:rPr>
                <w:rFonts w:hint="eastAsia" w:eastAsia="黑体"/>
                <w:color w:val="auto"/>
                <w:sz w:val="28"/>
                <w:szCs w:val="28"/>
                <w:highlight w:val="none"/>
              </w:rPr>
              <w:t>二〇二</w:t>
            </w:r>
            <w:r>
              <w:rPr>
                <w:rFonts w:hint="eastAsia" w:eastAsia="黑体"/>
                <w:color w:val="auto"/>
                <w:sz w:val="28"/>
                <w:szCs w:val="28"/>
                <w:highlight w:val="none"/>
                <w:lang w:val="en-US" w:eastAsia="zh-CN"/>
              </w:rPr>
              <w:t>六</w:t>
            </w:r>
            <w:r>
              <w:rPr>
                <w:rFonts w:hint="eastAsia" w:eastAsia="黑体"/>
                <w:color w:val="auto"/>
                <w:sz w:val="28"/>
                <w:szCs w:val="28"/>
                <w:highlight w:val="none"/>
              </w:rPr>
              <w:t>年</w:t>
            </w:r>
            <w:r>
              <w:rPr>
                <w:rFonts w:hint="eastAsia" w:eastAsia="黑体"/>
                <w:color w:val="auto"/>
                <w:sz w:val="28"/>
                <w:szCs w:val="28"/>
                <w:highlight w:val="none"/>
                <w:lang w:val="en-US" w:eastAsia="zh-CN"/>
              </w:rPr>
              <w:t>七</w:t>
            </w:r>
            <w:r>
              <w:rPr>
                <w:rFonts w:hint="eastAsia" w:eastAsia="黑体"/>
                <w:color w:val="auto"/>
                <w:sz w:val="28"/>
                <w:szCs w:val="28"/>
                <w:highlight w:val="none"/>
              </w:rPr>
              <w:t>月</w:t>
            </w:r>
          </w:p>
        </w:tc>
      </w:tr>
    </w:tbl>
    <w:p w14:paraId="3092142F">
      <w:pPr>
        <w:pStyle w:val="9"/>
        <w:rPr>
          <w:color w:val="auto"/>
          <w:highlight w:val="none"/>
        </w:rPr>
      </w:pPr>
    </w:p>
    <w:p w14:paraId="4F212B73">
      <w:pPr>
        <w:pStyle w:val="9"/>
        <w:jc w:val="center"/>
        <w:rPr>
          <w:rFonts w:hint="eastAsia" w:ascii="黑体" w:eastAsia="黑体"/>
          <w:color w:val="auto"/>
          <w:sz w:val="32"/>
          <w:szCs w:val="32"/>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bookmarkStart w:id="5" w:name="EB04b6c31e02d74197bf540c3f688376e0"/>
      <w:bookmarkEnd w:id="5"/>
    </w:p>
    <w:p w14:paraId="7E8C78D1">
      <w:pPr>
        <w:pStyle w:val="9"/>
        <w:jc w:val="center"/>
        <w:rPr>
          <w:rFonts w:ascii="黑体" w:eastAsia="黑体"/>
          <w:color w:val="auto"/>
          <w:sz w:val="32"/>
          <w:szCs w:val="32"/>
          <w:highlight w:val="none"/>
        </w:rPr>
      </w:pPr>
      <w:r>
        <w:rPr>
          <w:rFonts w:hint="eastAsia" w:ascii="黑体" w:eastAsia="黑体"/>
          <w:color w:val="auto"/>
          <w:sz w:val="32"/>
          <w:szCs w:val="32"/>
          <w:highlight w:val="none"/>
        </w:rPr>
        <w:t>说 明</w:t>
      </w:r>
    </w:p>
    <w:p w14:paraId="41D6BB63">
      <w:pPr>
        <w:pStyle w:val="9"/>
        <w:rPr>
          <w:color w:val="auto"/>
          <w:highlight w:val="none"/>
        </w:rPr>
      </w:pPr>
    </w:p>
    <w:p w14:paraId="3242505F">
      <w:pPr>
        <w:pStyle w:val="9"/>
        <w:spacing w:line="420" w:lineRule="exact"/>
        <w:ind w:firstLine="489"/>
        <w:rPr>
          <w:rFonts w:hint="eastAsia" w:ascii="宋体" w:hAnsi="宋体"/>
          <w:color w:val="auto"/>
          <w:szCs w:val="21"/>
          <w:highlight w:val="none"/>
        </w:rPr>
      </w:pPr>
      <w:r>
        <w:rPr>
          <w:rFonts w:hint="eastAsia" w:ascii="宋体" w:hAnsi="宋体"/>
          <w:color w:val="auto"/>
          <w:szCs w:val="21"/>
          <w:highlight w:val="none"/>
        </w:rPr>
        <w:t>一、</w:t>
      </w:r>
      <w:r>
        <w:rPr>
          <w:rFonts w:hint="eastAsia" w:ascii="宋体" w:hAnsi="宋体" w:eastAsia="宋体"/>
          <w:color w:val="auto"/>
          <w:szCs w:val="21"/>
          <w:highlight w:val="none"/>
          <w:u w:val="single"/>
          <w:lang w:eastAsia="zh-CN"/>
        </w:rPr>
        <w:t>2026年新昌县G104京岚线关岭隧道上行维修加固工程</w:t>
      </w:r>
      <w:r>
        <w:rPr>
          <w:rFonts w:hint="eastAsia" w:ascii="宋体" w:hAnsi="宋体"/>
          <w:color w:val="auto"/>
          <w:szCs w:val="21"/>
          <w:highlight w:val="none"/>
        </w:rPr>
        <w:t>招标文件以《中华人民共和国招标投标法》、《中华人民共和国招标投标法实施条例》、中华人民共和国《标准施工招标文件》（2007年版）、交通运输部《公路工程标准施工招标文件》（2009年版）和《浙江省公路养护工程施工招标文件范本》（20</w:t>
      </w:r>
      <w:r>
        <w:rPr>
          <w:rFonts w:hint="eastAsia" w:ascii="宋体" w:hAnsi="宋体" w:eastAsia="宋体"/>
          <w:color w:val="auto"/>
          <w:szCs w:val="21"/>
          <w:highlight w:val="none"/>
          <w:lang w:val="en-US" w:eastAsia="zh-CN"/>
        </w:rPr>
        <w:t>24年</w:t>
      </w:r>
      <w:r>
        <w:rPr>
          <w:rFonts w:hint="eastAsia" w:ascii="宋体" w:hAnsi="宋体"/>
          <w:color w:val="auto"/>
          <w:szCs w:val="21"/>
          <w:highlight w:val="none"/>
        </w:rPr>
        <w:t xml:space="preserve">版)为依据，结合本项目的特点和实际需要编制而成。 </w:t>
      </w:r>
    </w:p>
    <w:p w14:paraId="432D90F1">
      <w:pPr>
        <w:pStyle w:val="9"/>
        <w:spacing w:line="420" w:lineRule="exact"/>
        <w:ind w:firstLine="489"/>
        <w:rPr>
          <w:rFonts w:ascii="宋体" w:hAnsi="宋体"/>
          <w:color w:val="auto"/>
          <w:szCs w:val="21"/>
          <w:highlight w:val="none"/>
        </w:rPr>
      </w:pPr>
      <w:r>
        <w:rPr>
          <w:rFonts w:hint="eastAsia" w:ascii="宋体" w:hAnsi="宋体"/>
          <w:color w:val="auto"/>
          <w:szCs w:val="21"/>
          <w:highlight w:val="none"/>
        </w:rPr>
        <w:t>招标文件引用了《标准施工招标文件》和《公路工程标准施工招标文件》中的“投标人须知”、“评标办法”、“通用合同条款”、“A.公路工程专用合同条款”正文。</w:t>
      </w:r>
    </w:p>
    <w:p w14:paraId="54F1D533">
      <w:pPr>
        <w:pStyle w:val="9"/>
        <w:spacing w:line="420" w:lineRule="exact"/>
        <w:ind w:firstLine="489"/>
        <w:rPr>
          <w:rFonts w:ascii="宋体" w:hAnsi="宋体"/>
          <w:color w:val="auto"/>
          <w:szCs w:val="21"/>
          <w:highlight w:val="none"/>
        </w:rPr>
      </w:pPr>
      <w:r>
        <w:rPr>
          <w:rFonts w:hint="eastAsia" w:ascii="宋体" w:hAnsi="宋体"/>
          <w:color w:val="auto"/>
          <w:szCs w:val="21"/>
          <w:highlight w:val="none"/>
        </w:rPr>
        <w:t>二、《标准施工招标文件》、《公路工程标准施工招标文件》中“投标人须知”、“评标办法”、“通用合同条款”、“A.公路工程专用合同条款”是必须遵循的通用条款和规定，针对本项目的具体特点和实际情况：</w:t>
      </w:r>
    </w:p>
    <w:p w14:paraId="071C53B8">
      <w:pPr>
        <w:pStyle w:val="9"/>
        <w:spacing w:line="420" w:lineRule="exact"/>
        <w:ind w:firstLine="489"/>
        <w:rPr>
          <w:rFonts w:hint="eastAsia" w:ascii="宋体" w:hAnsi="宋体"/>
          <w:color w:val="auto"/>
          <w:szCs w:val="21"/>
          <w:highlight w:val="none"/>
        </w:rPr>
      </w:pPr>
      <w:r>
        <w:rPr>
          <w:rFonts w:hint="eastAsia" w:ascii="宋体" w:hAnsi="宋体"/>
          <w:color w:val="auto"/>
          <w:szCs w:val="21"/>
          <w:highlight w:val="none"/>
        </w:rPr>
        <w:t xml:space="preserve">在“投标人须知前附表”和“评标办法前附表”中对“投标人须知”、“评标办法”进行了补充、细化。 </w:t>
      </w:r>
    </w:p>
    <w:p w14:paraId="5EE927DA">
      <w:pPr>
        <w:pStyle w:val="9"/>
        <w:spacing w:line="420" w:lineRule="exact"/>
        <w:ind w:firstLine="489"/>
        <w:rPr>
          <w:rFonts w:ascii="宋体" w:hAnsi="宋体"/>
          <w:color w:val="auto"/>
          <w:szCs w:val="21"/>
          <w:highlight w:val="none"/>
        </w:rPr>
      </w:pPr>
      <w:r>
        <w:rPr>
          <w:rFonts w:hint="eastAsia" w:ascii="宋体" w:hAnsi="宋体"/>
          <w:color w:val="auto"/>
          <w:szCs w:val="21"/>
          <w:highlight w:val="none"/>
        </w:rPr>
        <w:t>在“B.项目专用合同条款”中，对“通用合同条款”、“A.公路工程专用合同条款”进行了补充、细化或约定。</w:t>
      </w:r>
    </w:p>
    <w:p w14:paraId="6F992645">
      <w:pPr>
        <w:pStyle w:val="9"/>
        <w:spacing w:line="420" w:lineRule="exact"/>
        <w:ind w:firstLine="489"/>
        <w:rPr>
          <w:rFonts w:ascii="宋体" w:hAnsi="宋体"/>
          <w:color w:val="auto"/>
          <w:szCs w:val="21"/>
          <w:highlight w:val="none"/>
        </w:rPr>
      </w:pPr>
      <w:r>
        <w:rPr>
          <w:rFonts w:hint="eastAsia" w:ascii="宋体" w:hAnsi="宋体"/>
          <w:color w:val="auto"/>
          <w:szCs w:val="21"/>
          <w:highlight w:val="none"/>
        </w:rPr>
        <w:t>三、招标文件中的“通用技术规范”直接引用了《浙江省公路养护工程施工招标文件范本》（20</w:t>
      </w:r>
      <w:r>
        <w:rPr>
          <w:rFonts w:hint="eastAsia" w:ascii="宋体" w:hAnsi="宋体" w:eastAsia="宋体"/>
          <w:color w:val="auto"/>
          <w:szCs w:val="21"/>
          <w:highlight w:val="none"/>
          <w:lang w:val="en-US" w:eastAsia="zh-CN"/>
        </w:rPr>
        <w:t>24年</w:t>
      </w:r>
      <w:r>
        <w:rPr>
          <w:rFonts w:hint="eastAsia" w:ascii="宋体" w:hAnsi="宋体"/>
          <w:color w:val="auto"/>
          <w:szCs w:val="21"/>
          <w:highlight w:val="none"/>
        </w:rPr>
        <w:t>版)（下册）技术规范。</w:t>
      </w:r>
    </w:p>
    <w:p w14:paraId="55F4A662">
      <w:pPr>
        <w:pStyle w:val="9"/>
        <w:spacing w:line="420" w:lineRule="exact"/>
        <w:ind w:firstLine="489"/>
        <w:rPr>
          <w:rFonts w:ascii="宋体" w:hAnsi="宋体"/>
          <w:color w:val="auto"/>
          <w:szCs w:val="21"/>
          <w:highlight w:val="none"/>
        </w:rPr>
      </w:pPr>
      <w:r>
        <w:rPr>
          <w:rFonts w:hint="eastAsia" w:ascii="宋体" w:hAnsi="宋体"/>
          <w:color w:val="auto"/>
          <w:szCs w:val="21"/>
          <w:highlight w:val="none"/>
        </w:rPr>
        <w:t>根据本项目的具体特点和实际需要，在“项目专用技术规范”中对“通用技术规范”进行了补充和修改。</w:t>
      </w:r>
    </w:p>
    <w:p w14:paraId="32F30E4B">
      <w:pPr>
        <w:pStyle w:val="9"/>
        <w:spacing w:line="420" w:lineRule="exact"/>
        <w:ind w:firstLine="489"/>
        <w:rPr>
          <w:rFonts w:ascii="宋体" w:hAnsi="宋体"/>
          <w:color w:val="auto"/>
          <w:szCs w:val="21"/>
          <w:highlight w:val="none"/>
        </w:rPr>
      </w:pPr>
      <w:r>
        <w:rPr>
          <w:rFonts w:hint="eastAsia" w:ascii="宋体" w:hAnsi="宋体"/>
          <w:color w:val="auto"/>
          <w:szCs w:val="21"/>
          <w:highlight w:val="none"/>
        </w:rPr>
        <w:t>四、投标人应按招标文件的要求认真编制投标文件，完整地响应招标文件的规定和内容，避免投标文件因不能通过评审而被拒绝。</w:t>
      </w:r>
    </w:p>
    <w:p w14:paraId="6B2A252B">
      <w:pPr>
        <w:pStyle w:val="9"/>
        <w:spacing w:line="420" w:lineRule="exact"/>
        <w:ind w:firstLine="489"/>
        <w:rPr>
          <w:rFonts w:ascii="宋体" w:hAnsi="宋体"/>
          <w:color w:val="auto"/>
          <w:szCs w:val="21"/>
          <w:highlight w:val="none"/>
        </w:rPr>
      </w:pPr>
      <w:r>
        <w:rPr>
          <w:rFonts w:hint="eastAsia" w:ascii="宋体" w:hAnsi="宋体"/>
          <w:color w:val="auto"/>
          <w:szCs w:val="21"/>
          <w:highlight w:val="none"/>
        </w:rPr>
        <w:t>五、《浙江省公路养护工程施工招标文件范本》（20</w:t>
      </w:r>
      <w:r>
        <w:rPr>
          <w:rFonts w:hint="eastAsia" w:ascii="宋体" w:hAnsi="宋体" w:eastAsia="宋体"/>
          <w:color w:val="auto"/>
          <w:szCs w:val="21"/>
          <w:highlight w:val="none"/>
          <w:lang w:val="en-US" w:eastAsia="zh-CN"/>
        </w:rPr>
        <w:t>24年</w:t>
      </w:r>
      <w:r>
        <w:rPr>
          <w:rFonts w:hint="eastAsia" w:ascii="宋体" w:hAnsi="宋体"/>
          <w:color w:val="auto"/>
          <w:szCs w:val="21"/>
          <w:highlight w:val="none"/>
        </w:rPr>
        <w:t>版)（下册）由投标人自备。</w:t>
      </w:r>
    </w:p>
    <w:p w14:paraId="309D29FE">
      <w:pPr>
        <w:pStyle w:val="9"/>
        <w:spacing w:line="420" w:lineRule="exact"/>
        <w:rPr>
          <w:color w:val="auto"/>
          <w:szCs w:val="21"/>
          <w:highlight w:val="none"/>
        </w:rPr>
      </w:pPr>
    </w:p>
    <w:p w14:paraId="69164661">
      <w:pPr>
        <w:pStyle w:val="39"/>
        <w:pageBreakBefore/>
        <w:widowControl w:val="0"/>
        <w:spacing w:before="0" w:line="240" w:lineRule="auto"/>
        <w:jc w:val="center"/>
        <w:rPr>
          <w:b/>
          <w:color w:val="auto"/>
          <w:sz w:val="36"/>
          <w:szCs w:val="36"/>
          <w:highlight w:val="none"/>
        </w:rPr>
      </w:pPr>
      <w:bookmarkStart w:id="6" w:name="_Toc20862"/>
      <w:bookmarkStart w:id="7" w:name="_Toc470"/>
      <w:bookmarkStart w:id="8" w:name="_Toc24901"/>
      <w:r>
        <w:rPr>
          <w:b/>
          <w:color w:val="auto"/>
          <w:sz w:val="36"/>
          <w:szCs w:val="36"/>
          <w:highlight w:val="none"/>
          <w:lang w:val="zh-CN"/>
        </w:rPr>
        <w:t>目</w:t>
      </w:r>
      <w:r>
        <w:rPr>
          <w:rFonts w:hint="eastAsia"/>
          <w:b/>
          <w:color w:val="auto"/>
          <w:sz w:val="36"/>
          <w:szCs w:val="36"/>
          <w:highlight w:val="none"/>
          <w:lang w:val="zh-CN"/>
        </w:rPr>
        <w:t xml:space="preserve"> </w:t>
      </w:r>
      <w:r>
        <w:rPr>
          <w:b/>
          <w:color w:val="auto"/>
          <w:sz w:val="36"/>
          <w:szCs w:val="36"/>
          <w:highlight w:val="none"/>
          <w:lang w:val="zh-CN"/>
        </w:rPr>
        <w:t>录</w:t>
      </w:r>
      <w:bookmarkEnd w:id="6"/>
      <w:bookmarkEnd w:id="7"/>
      <w:bookmarkEnd w:id="8"/>
    </w:p>
    <w:p w14:paraId="2A72D5A2">
      <w:pPr>
        <w:pStyle w:val="14"/>
        <w:widowControl w:val="0"/>
        <w:tabs>
          <w:tab w:val="right" w:leader="dot" w:pos="8306"/>
          <w:tab w:val="clear" w:pos="9174"/>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TOC \o "1-3" \h \z \u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_Toc28445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72"/>
          <w:highlight w:val="none"/>
        </w:rPr>
        <w:t>招 标 文 件</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_Toc28445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7B32AFD2">
      <w:pPr>
        <w:pStyle w:val="14"/>
        <w:widowControl w:val="0"/>
        <w:tabs>
          <w:tab w:val="right" w:leader="dot" w:pos="8306"/>
          <w:tab w:val="clear" w:pos="9174"/>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_Toc8383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52"/>
          <w:highlight w:val="none"/>
        </w:rPr>
        <w:t>第一卷</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_Toc8383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8</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74AC4AFB">
      <w:pPr>
        <w:pStyle w:val="17"/>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_Toc14954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32"/>
          <w:highlight w:val="none"/>
        </w:rPr>
        <w:t>第一章  招标公告</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_Toc14954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9</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6924C6FD">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_Toc11362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4"/>
          <w:highlight w:val="none"/>
        </w:rPr>
        <w:t>1．招标条件</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_Toc11362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9</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70BE2DE7">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_Toc31109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4"/>
          <w:highlight w:val="none"/>
        </w:rPr>
        <w:t>2．项目概况与招标范围</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_Toc31109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9</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6503F0D7">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_Toc18733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4"/>
          <w:highlight w:val="none"/>
        </w:rPr>
        <w:t>3．投标人资格要求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_Toc18733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9</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5FE69118">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_Toc5233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4"/>
          <w:highlight w:val="none"/>
        </w:rPr>
        <w:t>4. 招标文件的获取</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_Toc5233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10</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13794E0A">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_Toc9631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4"/>
          <w:highlight w:val="none"/>
        </w:rPr>
        <w:t>5. 投标文件的递交</w:t>
      </w:r>
      <w:r>
        <w:rPr>
          <w:rFonts w:hint="eastAsia" w:ascii="宋体" w:hAnsi="宋体" w:eastAsia="宋体" w:cs="宋体"/>
          <w:color w:val="auto"/>
          <w:szCs w:val="24"/>
          <w:highlight w:val="none"/>
          <w:lang w:val="en-US" w:eastAsia="zh-CN"/>
        </w:rPr>
        <w:t>及相关事宜</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_Toc9631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10</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4CB1BC5B">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_Toc29720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4"/>
          <w:highlight w:val="none"/>
        </w:rPr>
        <w:t>6. 发布公告的媒体</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_Toc29720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11</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42F2CC81">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_Toc12758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4"/>
          <w:highlight w:val="none"/>
          <w:lang w:val="en-US" w:eastAsia="zh-CN"/>
        </w:rPr>
        <w:t>7</w:t>
      </w:r>
      <w:r>
        <w:rPr>
          <w:rFonts w:hint="eastAsia" w:ascii="宋体" w:hAnsi="宋体" w:eastAsia="宋体" w:cs="宋体"/>
          <w:color w:val="auto"/>
          <w:szCs w:val="24"/>
          <w:highlight w:val="none"/>
        </w:rPr>
        <w:t xml:space="preserve">. </w:t>
      </w:r>
      <w:r>
        <w:rPr>
          <w:rFonts w:hint="eastAsia" w:ascii="宋体" w:hAnsi="宋体" w:eastAsia="宋体" w:cs="宋体"/>
          <w:color w:val="auto"/>
          <w:szCs w:val="24"/>
          <w:highlight w:val="none"/>
          <w:lang w:val="en-US" w:eastAsia="zh-CN"/>
        </w:rPr>
        <w:t>联系方式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_Toc12758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11</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6BCD8311">
      <w:pPr>
        <w:pStyle w:val="17"/>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_Toc11475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第二章  投标人须知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_Toc11475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12</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74356F28">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_Toc10908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投标人须知前附表</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_Toc10908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12</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09D969B8">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_Toc12086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附录1 资格审查条件（资质最低条件）</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_Toc12086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21</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7D0BB44C">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_Toc1206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附录2 资格审查条件（财务最低要求）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_Toc1206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22</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5AB0EB7B">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_Toc696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附录3 资格审查条件（业绩最低要求）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_Toc696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23</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67A3C319">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_Toc21469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附录4 资格审查条件（信誉最低要求）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_Toc21469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24</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4D48AEFB">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_Toc27361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附录5 资格审查条件（项目经理</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项目</w:t>
      </w:r>
      <w:r>
        <w:rPr>
          <w:rFonts w:hint="eastAsia" w:ascii="宋体" w:hAnsi="宋体" w:eastAsia="宋体" w:cs="宋体"/>
          <w:color w:val="auto"/>
          <w:highlight w:val="none"/>
          <w:lang w:val="en-US" w:eastAsia="zh-CN"/>
        </w:rPr>
        <w:t>技术负责人和安全负责人</w:t>
      </w:r>
      <w:r>
        <w:rPr>
          <w:rFonts w:hint="eastAsia" w:ascii="宋体" w:hAnsi="宋体" w:eastAsia="宋体" w:cs="宋体"/>
          <w:color w:val="auto"/>
          <w:highlight w:val="none"/>
        </w:rPr>
        <w:t>最低要求）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_Toc27361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25</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17529850">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_Toc689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 总则</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_Toc689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26</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5F73F15E">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_Toc28700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4"/>
          <w:highlight w:val="none"/>
        </w:rPr>
        <w:t>2. 招标文件</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_Toc28700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29</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639B3D16">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_Toc26360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4"/>
          <w:highlight w:val="none"/>
        </w:rPr>
        <w:t>3. 投标文件</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_Toc26360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30</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2CED37D4">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_Toc27644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4"/>
          <w:highlight w:val="none"/>
        </w:rPr>
        <w:t>4. 投标</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_Toc27644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34</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64EA7B74">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_Toc27479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4"/>
          <w:highlight w:val="none"/>
        </w:rPr>
        <w:t>5. 开标</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_Toc27479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35</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2969C06A">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_Toc8327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4"/>
          <w:highlight w:val="none"/>
        </w:rPr>
        <w:t>6. 评标</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_Toc8327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35</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207E8295">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_Toc31484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4"/>
          <w:highlight w:val="none"/>
        </w:rPr>
        <w:t>7. 合同授予</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_Toc31484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36</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7C8F76E0">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_Toc25690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4"/>
          <w:highlight w:val="none"/>
        </w:rPr>
        <w:t xml:space="preserve">8. </w:t>
      </w:r>
      <w:r>
        <w:rPr>
          <w:rFonts w:hint="eastAsia" w:ascii="宋体" w:hAnsi="宋体" w:eastAsia="宋体" w:cs="宋体"/>
          <w:color w:val="auto"/>
          <w:szCs w:val="24"/>
          <w:highlight w:val="none"/>
          <w:lang w:val="en-US" w:eastAsia="zh-CN"/>
        </w:rPr>
        <w:t>纪律和监督</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_Toc25690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37</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4DB345AA">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_Toc26034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4"/>
          <w:highlight w:val="none"/>
          <w:lang w:val="en-US" w:eastAsia="zh-CN"/>
        </w:rPr>
        <w:t>9</w:t>
      </w:r>
      <w:r>
        <w:rPr>
          <w:rFonts w:hint="eastAsia" w:ascii="宋体" w:hAnsi="宋体" w:eastAsia="宋体" w:cs="宋体"/>
          <w:color w:val="auto"/>
          <w:szCs w:val="24"/>
          <w:highlight w:val="none"/>
        </w:rPr>
        <w:t xml:space="preserve">. </w:t>
      </w:r>
      <w:r>
        <w:rPr>
          <w:rFonts w:hint="eastAsia" w:ascii="宋体" w:hAnsi="宋体" w:eastAsia="宋体" w:cs="宋体"/>
          <w:color w:val="auto"/>
          <w:szCs w:val="24"/>
          <w:highlight w:val="none"/>
          <w:lang w:val="en-US" w:eastAsia="zh-CN"/>
        </w:rPr>
        <w:t>需要补充的其他内容</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_Toc26034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38</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23208494">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_Toc17666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附表一：开标记录表</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_Toc17666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39</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6D786434">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_Toc27135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附表二：问题澄清通知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_Toc27135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41</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7E0A1E1F">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_Toc11122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附表三：问题的澄清</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_Toc11122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42</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13A42869">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_Toc10825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bCs/>
          <w:color w:val="auto"/>
          <w:szCs w:val="32"/>
          <w:highlight w:val="none"/>
        </w:rPr>
        <w:t>附表四：中标通知书</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_Toc10825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43</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673D9B12">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_Toc9954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附表五：中标结果通知书</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_Toc9954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44</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624E1F7F">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_Toc15791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附表六：确认通知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_Toc15791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45</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28E02D3A">
      <w:pPr>
        <w:pStyle w:val="17"/>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_Toc11181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bCs/>
          <w:color w:val="auto"/>
          <w:highlight w:val="none"/>
          <w:lang w:val="en-US" w:eastAsia="zh-CN" w:bidi="ar-SA"/>
        </w:rPr>
        <w:t>第三章 评标办法（技术打分制的综合评估法（综合评分法））</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_Toc11181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46</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5B95DB70">
      <w:pPr>
        <w:pStyle w:val="17"/>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_Toc495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32"/>
          <w:highlight w:val="none"/>
        </w:rPr>
        <w:t>第四章  合同条款及格式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_Toc495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57</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20870A09">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_Toc14377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8"/>
          <w:highlight w:val="none"/>
        </w:rPr>
        <w:t>第一节</w:t>
      </w:r>
      <w:r>
        <w:rPr>
          <w:rFonts w:hint="eastAsia" w:ascii="宋体" w:hAnsi="宋体" w:eastAsia="宋体" w:cs="宋体"/>
          <w:color w:val="auto"/>
          <w:szCs w:val="28"/>
          <w:highlight w:val="none"/>
          <w:lang w:val="en-US" w:eastAsia="zh-CN"/>
        </w:rPr>
        <w:t xml:space="preserve">  </w:t>
      </w:r>
      <w:r>
        <w:rPr>
          <w:rFonts w:hint="eastAsia" w:ascii="宋体" w:hAnsi="宋体" w:eastAsia="宋体" w:cs="宋体"/>
          <w:color w:val="auto"/>
          <w:szCs w:val="28"/>
          <w:highlight w:val="none"/>
        </w:rPr>
        <w:t>通用合同条款</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_Toc14377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57</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0B14720C">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_Toc23914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1.1 词语定义</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_Toc23914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57</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10308B04">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_Toc32007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1.2 语言文字</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_Toc32007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59</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1A9E7AAF">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_Toc3533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1.3 法律</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_Toc3533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59</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71F34224">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_Toc3745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1.4 合同文件的优先顺序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_Toc3745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59</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7F14C9BA">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_Toc570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1.5 合同协议书</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_Toc570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59</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146F67D4">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_Toc4769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1.6 图纸和承包人文件</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_Toc4769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59</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5224AC21">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_Toc30597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1.7 联络</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_Toc30597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60</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3CABBB23">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_Toc16254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1.8 转让</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_Toc16254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60</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2265BE30">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_Toc6359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1.9 严禁贿赂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_Toc6359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60</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660C1185">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_Toc31084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1.10 化石、文物</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_Toc31084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60</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0FAE8070">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_Toc20605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1.11 专利技术</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_Toc20605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60</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7169DC7C">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_Toc25802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1.12 图纸和文件的保密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_Toc25802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61</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1101321B">
      <w:pPr>
        <w:pStyle w:val="17"/>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_Toc3990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2. 发包人义务</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_Toc3990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61</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125F3545">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_Toc31627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2.1 遵守法律</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_Toc31627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61</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7C5C06AE">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_Toc18510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2.2 发出开工通知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_Toc18510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61</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7F0B6E06">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_Toc28429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2.3 提供施工场地</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_Toc28429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61</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4FE16667">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_Toc22250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2.4 协助承包人办理证件和批件</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_Toc22250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61</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4F752A0E">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_Toc16754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2.5 组织设计交底</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_Toc16754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61</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77EBE5EF">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_Toc14381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2.6 支付合同价款</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_Toc14381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61</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45C9A980">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_Toc6903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2.7 组织竣工验收</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_Toc6903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61</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4A05EC59">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_Toc8153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2.8 其他义务</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_Toc8153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61</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1C655FE0">
      <w:pPr>
        <w:pStyle w:val="17"/>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_Toc17123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3. 监理人</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_Toc17123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61</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19E805DD">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_Toc22626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3.1 监理人的职责和权力</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_Toc22626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61</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4D93E346">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_Toc8446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3.2 总监理工程师</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_Toc8446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62</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49274648">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_Toc23819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3.3 监理人员</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_Toc23819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62</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7DF7939E">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_Toc5044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3.4 监理人的指示</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_Toc5044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62</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11DE4817">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_Toc27133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3.5 商定或确定</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_Toc27133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63</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46466407">
      <w:pPr>
        <w:pStyle w:val="17"/>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_Toc2121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4. 承包人</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_Toc2121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63</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57A94282">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_Toc23073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4.1 承包人的一般义务</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_Toc23073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63</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3494F2F2">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_Toc28114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4.2 履约担保</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_Toc28114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64</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169D1099">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_Toc10436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4.3 分包</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_Toc10436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64</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1103AFC5">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_Toc8397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4.4 联合体</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_Toc8397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64</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7D9A0678">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_Toc23880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4.5 承包人项目经理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_Toc23880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64</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21E6C401">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_Toc7302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4.6 承包人人员的管理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_Toc7302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65</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36F7E838">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_Toc6511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4.7 撤换承包人项目经理和其他人员</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_Toc6511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65</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3E7EB1C5">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_Toc26806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4.8 保障承包人人员的合法权益</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_Toc26806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65</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3B0428D2">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_Toc1805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4.9 工程价款应专款专用</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_Toc1805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65</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02B0AA04">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_Toc11511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4.10 承包人现场查勘</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_Toc11511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66</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3132866F">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_Toc2072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4.11 不利物质条件</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_Toc2072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66</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0B601DA4">
      <w:pPr>
        <w:pStyle w:val="17"/>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_Toc24840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5. 材料和工程设备</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_Toc24840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66</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30B63436">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_Toc25715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5.1 承包人提供的材料和工程设备</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_Toc25715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66</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739011B8">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_Toc2033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5.2 发包人提供的材料和工程设备</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_Toc2033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66</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4F4C0348">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_Toc19181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5.3 材料和工程设备专用于合同工程</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_Toc19181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67</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640D64BC">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_Toc5510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5.4 禁止使用不合格的材料和工程设备</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_Toc5510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67</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05797949">
      <w:pPr>
        <w:pStyle w:val="17"/>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_Toc26434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6. 施工设备和临时设施</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_Toc26434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67</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47E47667">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_Toc22756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6.1 承包人提供的施工设备和临时设施</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_Toc22756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67</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394858C7">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_Toc7464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6.2 发包人提供的施工设备和临时设施</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_Toc7464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67</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0C007BDC">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_Toc23507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6.3 要求承包人增加或更换施工设备</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_Toc23507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67</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41A08C7F">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_Toc14499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6.4 施工设备和临时设施专用于合同工程</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_Toc14499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67</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26BCB260">
      <w:pPr>
        <w:pStyle w:val="17"/>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_Toc26160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7. 交通运输</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_Toc26160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68</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5DE9DFC5">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_Toc9793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7.1 道路通行权和场外设施</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_Toc9793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68</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20E45FB1">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_Toc3543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7.2 场内施工道路</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_Toc3543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68</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7B6A0750">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_Toc6634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7.3 场外交通</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_Toc6634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68</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71AA8206">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_Toc16031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7.4 超大件和超重件的运输</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_Toc16031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68</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207F9FA9">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_Toc353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7.5 道路和桥梁的损坏责任</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_Toc353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68</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7692A1BB">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_Toc17252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7.6 水路和航空运输</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_Toc17252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68</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38CD82C0">
      <w:pPr>
        <w:pStyle w:val="17"/>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_Toc18355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8. 测量放线</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_Toc18355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68</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6AC66588">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_Toc24627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8.1 施工控制网</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_Toc24627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68</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1E02C92D">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_Toc22811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8.2 施工测量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_Toc22811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69</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11EF007B">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_Toc20249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8.3 基准资料错误的责任</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_Toc20249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69</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06F385C7">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_Toc4912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8.4 监理人使用施工控制网</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_Toc4912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69</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5ECBDC9B">
      <w:pPr>
        <w:pStyle w:val="17"/>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_Toc15395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9. 施工安全、治安保卫和环境保护</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_Toc15395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69</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20EBE960">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_Toc647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9.1 发包人的施工安全责任</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_Toc647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69</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10195DFB">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_Toc9665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9.2 承包人的施工安全责任</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_Toc9665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69</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44B9A55D">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_Toc15392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9.3 治安保卫</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_Toc15392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70</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68F299C7">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_Toc2446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9.4 环境保护</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_Toc2446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70</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4FE5A16D">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_Toc32147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9.5 事故处理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_Toc32147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71</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74B79EC1">
      <w:pPr>
        <w:pStyle w:val="17"/>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_Toc8901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10. 进度计划</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_Toc8901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71</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0E16A5C8">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_Toc11484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10.1 合同进度计划</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_Toc11484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71</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0CE1BD14">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_Toc26941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10.2 合同进度计划的修订</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_Toc26941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71</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61A4DEB6">
      <w:pPr>
        <w:pStyle w:val="17"/>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_Toc3355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11. 开工和竣工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_Toc3355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71</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00979EF6">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_Toc7089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11.1 开工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_Toc7089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71</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09E8F46F">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_Toc12749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11.2 竣工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_Toc12749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71</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10CC7373">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_Toc22675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11.3 发包人的工期延误</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_Toc22675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71</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2595C54B">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_Toc23773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11.4 异常恶劣的气候条件</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_Toc23773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72</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37A6825B">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_Toc2655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11.5 承包人的工期延误</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_Toc2655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72</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74E6EFAF">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_Toc9775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11.6 工期提前</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_Toc9775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72</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3973292C">
      <w:pPr>
        <w:pStyle w:val="17"/>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_Toc11117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12. 暂停施工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_Toc11117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72</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033D19AA">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_Toc148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12.1 承包人暂停施工的责任</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_Toc148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72</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0C099A3C">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_Toc17832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12.2 发包人暂停施工的责任</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_Toc17832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72</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27A7917B">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_Toc3912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12.3 监理人暂停施工指示</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_Toc3912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72</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5032688F">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_Toc29829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12.4 暂停施工后的复工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_Toc29829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73</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6273A28F">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_Toc6243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12.5 暂停施工持续56天以上</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_Toc6243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73</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603B8106">
      <w:pPr>
        <w:pStyle w:val="17"/>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_Toc9268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13. 工程质量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_Toc9268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73</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0AE7A285">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_Toc1007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13.1 工程质量要求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_Toc1007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73</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13DE4775">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_Toc24294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13.2 承包人的质量管理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_Toc24294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73</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3F5EE81F">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_Toc5239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13.3 承包人的质量检查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_Toc5239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73</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6DA65F6D">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_Toc16785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13.4 监理人的质量检查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_Toc16785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74</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0A15A324">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_Toc11599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13.5 工程隐蔽部位覆盖前的检查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_Toc11599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74</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39916697">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_Toc15268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13.6 清除不合格工程</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_Toc15268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74</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64056666">
      <w:pPr>
        <w:pStyle w:val="17"/>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_Toc23529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14. 试验和检验</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_Toc23529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75</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21F99443">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_Toc6531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14.1 材料、工程设备和工程的试验和检验</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_Toc6531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75</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7D3263F3">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_Toc17641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14.2 现场材料试验</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_Toc17641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75</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2A56EA50">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_Toc6089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14.3 现场工艺试验</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_Toc6089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75</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126BBBCD">
      <w:pPr>
        <w:pStyle w:val="17"/>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_Toc23265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15. 变更</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_Toc23265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75</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4C2AD71A">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_Toc28059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15.1 变更的范围和内容</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_Toc28059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75</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77DF047C">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_Toc13272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15.2 变更权</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_Toc13272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75</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5E092470">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_Toc28306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15.3 变更程序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_Toc28306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76</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08333767">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_Toc15361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15.4 变更的估价原则</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_Toc15361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76</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1599022C">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_Toc10507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15.5 承包人的合理化建议</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_Toc10507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77</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0B5F19DE">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_Toc14169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15.6 暂列金额</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_Toc14169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77</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3F3B1C1D">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_Toc19420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15.7 计日工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_Toc19420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77</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2D087B4B">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_Toc20737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15.8 暂估价</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_Toc20737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77</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3E026466">
      <w:pPr>
        <w:pStyle w:val="17"/>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_Toc14009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16. 价格调整</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_Toc14009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78</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62B6BB45">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_Toc11914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16.1 物价波动引起的价格调整</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_Toc11914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78</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43D3D685">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_Toc29401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16.2 法律变化引起的价格调整</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_Toc29401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79</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260542D7">
      <w:pPr>
        <w:pStyle w:val="17"/>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_Toc28310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17. 计量与支付</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_Toc28310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79</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035DA18A">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_Toc32146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17.1 计量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_Toc32146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79</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74F0F245">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_Toc30066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17.2 预付款</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_Toc30066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80</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21AD8016">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_Toc23815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17.3 工程进度付款</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_Toc23815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80</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52CC26C1">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_Toc16281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17.4 质量保证金</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_Toc16281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81</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7DF0DD1F">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_Toc30497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17.5 竣工结算</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_Toc30497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82</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7DB3BBA1">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_Toc9571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17.6 最终结清</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_Toc9571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82</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599AA758">
      <w:pPr>
        <w:pStyle w:val="17"/>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_Toc21349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18. 竣工验收</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_Toc21349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83</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0A407A4D">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_Toc5216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18.1 竣工验收的含义</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_Toc5216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83</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68519BB1">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_Toc12762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18.2 竣工验收申请报告</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_Toc12762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83</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57C50CD0">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_Toc13274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18.3 验收</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_Toc13274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83</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44DEB258">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_Toc27521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18.4 单位工程验收</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_Toc27521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84</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17A03074">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_Toc25806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18.5 施工期运行</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_Toc25806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84</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2716488B">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_Toc19599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18.6 试运行</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_Toc19599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84</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356D9674">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_Toc15616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18.7 竣工清场</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_Toc15616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84</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18BA7E3B">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_Toc19583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18.8 施工队伍的撤离</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_Toc19583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85</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5CD7E48E">
      <w:pPr>
        <w:pStyle w:val="17"/>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_Toc13249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19. 缺陷责任与保修责任</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_Toc13249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85</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159901A7">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_Toc21548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19.1 缺陷责任期的起算时间</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_Toc21548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85</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1A5C4D94">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_Toc27140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19.2 缺陷责任</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_Toc27140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85</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70829004">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_Toc5667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19.3 缺陷责任期的延长</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_Toc5667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85</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39503DB7">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_Toc4094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19.4 进一步试验和试运行</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_Toc4094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85</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2B199C0A">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_Toc4662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19.5 承包人的进入权</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_Toc4662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85</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4BF32A40">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_Toc15588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19.6 缺陷责任期终止证书</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_Toc15588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85</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16D59072">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_Toc26312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19.7 保修责任</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_Toc26312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86</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36CAF308">
      <w:pPr>
        <w:pStyle w:val="17"/>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_Toc29063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20. 保险</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_Toc29063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86</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63B001B9">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_Toc25973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20.1 工程保险</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_Toc25973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86</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792B3E64">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_Toc1245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20.2 人员工伤事故的保险</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_Toc1245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86</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6E33BC1D">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_Toc19968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20.3 人身意外伤害险</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_Toc19968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86</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266B6D82">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_Toc29108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20.4 第三者责任险</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_Toc29108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86</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23FCD05F">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_Toc27055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20.5 其他保险</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_Toc27055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86</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5A400CA5">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_Toc30502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20.6 对各项保险的一般要求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_Toc30502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86</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0923E7BE">
      <w:pPr>
        <w:pStyle w:val="17"/>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_Toc21115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21. 不可抗力</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_Toc21115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87</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603EFE58">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_Toc18821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21.1 不可抗力的确认</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_Toc18821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87</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24E7940F">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_Toc19639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21.2 不可抗力的通知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_Toc19639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87</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4929E7D0">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_Toc16349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21.3 不可抗力后果及其处理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_Toc16349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87</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11878E7A">
      <w:pPr>
        <w:pStyle w:val="17"/>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_Toc3882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22. 违约</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_Toc3882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88</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0F1BB30A">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_Toc2615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22.1 承包人违约</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_Toc2615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88</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4BF60E97">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_Toc29863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22.2 发包人违约</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_Toc29863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90</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500A985E">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_Toc8002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22.3 第三人造成的违约</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_Toc8002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91</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6B26EC5E">
      <w:pPr>
        <w:pStyle w:val="17"/>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_Toc11171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23. 索赔</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_Toc11171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91</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5C948A3F">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_Toc17429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23.1 承包人索赔的提出</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_Toc17429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91</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112583EA">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_Toc23401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23.2 承包人索赔处理程序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_Toc23401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91</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756F3F92">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_Toc26403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23.3 承包人提出索赔的期限</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_Toc26403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91</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369843F1">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_Toc13256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23.4 发包人的索赔</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_Toc13256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91</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62BE058F">
      <w:pPr>
        <w:pStyle w:val="17"/>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_Toc3985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24. 争议的解决</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_Toc3985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92</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7EA41EF8">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_Toc17276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24.1 争议的解决方式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_Toc17276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92</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4EFBA8AE">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_Toc27799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24.2 友好解决</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_Toc27799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92</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213C7463">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_Toc4771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24.3 争议评审</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_Toc4771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92</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286447D6">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_Toc11411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bCs/>
          <w:color w:val="auto"/>
          <w:szCs w:val="28"/>
          <w:highlight w:val="none"/>
          <w:lang w:val="en-US" w:eastAsia="zh-CN" w:bidi="ar-SA"/>
        </w:rPr>
        <w:t>第二节 专用合同条款</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_Toc11411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93</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23E19A4C">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_Toc10740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8"/>
          <w:highlight w:val="none"/>
        </w:rPr>
        <w:t>1.一般约定</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_Toc10740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93</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41932338">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_Toc16879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8"/>
          <w:highlight w:val="none"/>
        </w:rPr>
        <w:t>2.发包人义务</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_Toc16879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99</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297F8141">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_Toc13461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8"/>
          <w:highlight w:val="none"/>
        </w:rPr>
        <w:t>3.监理人</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_Toc13461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100</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6D7F1753">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_Toc11281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8"/>
          <w:highlight w:val="none"/>
        </w:rPr>
        <w:t>4.承包人</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_Toc11281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102</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344B8FB0">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_Toc6595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8"/>
          <w:highlight w:val="none"/>
        </w:rPr>
        <w:t>5.材料和工程设备</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_Toc6595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109</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7D7D5CB5">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_Toc19690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8"/>
          <w:highlight w:val="none"/>
        </w:rPr>
        <w:t>6.施工设备和临时设施</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_Toc19690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111</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605D1CA2">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_Toc5296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8"/>
          <w:highlight w:val="none"/>
        </w:rPr>
        <w:t>7.交通运输</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_Toc5296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112</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709A5F97">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_Toc22496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8"/>
          <w:highlight w:val="none"/>
        </w:rPr>
        <w:t>8.测量放线</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_Toc22496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113</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1026F6C7">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_Toc17464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8"/>
          <w:highlight w:val="none"/>
        </w:rPr>
        <w:t>9.施工安全、治安保卫和环境保护</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_Toc17464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113</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27B92AED">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_Toc3368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8"/>
          <w:highlight w:val="none"/>
        </w:rPr>
        <w:t>10.进度计划</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_Toc3368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116</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54E9930B">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_Toc14689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8"/>
          <w:highlight w:val="none"/>
        </w:rPr>
        <w:t>11.开工和交工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_Toc14689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117</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6811FAE2">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_Toc19658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8"/>
          <w:highlight w:val="none"/>
        </w:rPr>
        <w:t>12.暂停施工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_Toc19658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118</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4A7CE441">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_Toc709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8"/>
          <w:highlight w:val="none"/>
        </w:rPr>
        <w:t>13.工程质量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_Toc709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119</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748D946F">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_Toc9953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8"/>
          <w:highlight w:val="none"/>
        </w:rPr>
        <w:t>14.试验和检验</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_Toc9953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122</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75BD7901">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_Toc25682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8"/>
          <w:highlight w:val="none"/>
        </w:rPr>
        <w:t>15.变更</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_Toc25682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122</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2274C75F">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_Toc31456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8"/>
          <w:highlight w:val="none"/>
        </w:rPr>
        <w:t>16.价格调整</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_Toc31456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125</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4EB62E21">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_Toc9733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8"/>
          <w:highlight w:val="none"/>
        </w:rPr>
        <w:t>17.计量与支付</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_Toc9733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125</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62981839">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_Toc1495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8"/>
          <w:highlight w:val="none"/>
        </w:rPr>
        <w:t>18.交</w:t>
      </w:r>
      <w:r>
        <w:rPr>
          <w:rFonts w:hint="eastAsia" w:ascii="宋体" w:hAnsi="宋体" w:eastAsia="宋体" w:cs="宋体"/>
          <w:color w:val="auto"/>
          <w:szCs w:val="28"/>
          <w:highlight w:val="none"/>
          <w:lang w:eastAsia="zh-CN"/>
        </w:rPr>
        <w:t>（</w:t>
      </w:r>
      <w:r>
        <w:rPr>
          <w:rFonts w:hint="eastAsia" w:ascii="宋体" w:hAnsi="宋体" w:eastAsia="宋体" w:cs="宋体"/>
          <w:color w:val="auto"/>
          <w:szCs w:val="28"/>
          <w:highlight w:val="none"/>
          <w:lang w:val="en-US" w:eastAsia="zh-CN"/>
        </w:rPr>
        <w:t>竣</w:t>
      </w:r>
      <w:r>
        <w:rPr>
          <w:rFonts w:hint="eastAsia" w:ascii="宋体" w:hAnsi="宋体" w:eastAsia="宋体" w:cs="宋体"/>
          <w:color w:val="auto"/>
          <w:szCs w:val="28"/>
          <w:highlight w:val="none"/>
          <w:lang w:eastAsia="zh-CN"/>
        </w:rPr>
        <w:t>）</w:t>
      </w:r>
      <w:r>
        <w:rPr>
          <w:rFonts w:hint="eastAsia" w:ascii="宋体" w:hAnsi="宋体" w:eastAsia="宋体" w:cs="宋体"/>
          <w:color w:val="auto"/>
          <w:szCs w:val="28"/>
          <w:highlight w:val="none"/>
        </w:rPr>
        <w:t>工验收</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_Toc1495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131</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5C395B61">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_Toc31118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8"/>
          <w:highlight w:val="none"/>
        </w:rPr>
        <w:t>19.缺陷责任与保修责任</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_Toc31118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133</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59287569">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_Toc17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8"/>
          <w:highlight w:val="none"/>
        </w:rPr>
        <w:t>20.保险</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135</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4E0DAC70">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_Toc13821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8"/>
          <w:highlight w:val="none"/>
        </w:rPr>
        <w:t>21.不可抗力</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_Toc13821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137</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1BD03FFE">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_Toc11401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8"/>
          <w:highlight w:val="none"/>
        </w:rPr>
        <w:t>22.违约</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_Toc11401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138</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19A25A47">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_Toc25063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8"/>
          <w:highlight w:val="none"/>
        </w:rPr>
        <w:t>23.索赔</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_Toc25063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141</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3E9B7BC3">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_Toc4348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8"/>
          <w:highlight w:val="none"/>
          <w:lang w:val="en-US" w:eastAsia="zh-CN"/>
        </w:rPr>
        <w:t>24．争议的解决</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_Toc4348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142</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06A0F918">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_Toc1955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bCs w:val="0"/>
          <w:color w:val="auto"/>
          <w:highlight w:val="none"/>
        </w:rPr>
        <w:t>B．项目专用合同条款</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_Toc1955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144</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1AB70C48">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_Toc938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bCs/>
          <w:color w:val="auto"/>
          <w:szCs w:val="24"/>
          <w:highlight w:val="none"/>
        </w:rPr>
        <w:t>项目专用合同条款数据表</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_Toc938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144</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7C0A80DB">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_Toc27797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bCs/>
          <w:color w:val="auto"/>
          <w:szCs w:val="32"/>
          <w:highlight w:val="none"/>
        </w:rPr>
        <w:t>项目专用合同条款</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_Toc27797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146</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7AD1D630">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_Toc25603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8"/>
          <w:highlight w:val="none"/>
        </w:rPr>
        <w:t>1. 一般约定</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_Toc25603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146</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2FA2C9DE">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_Toc19356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8"/>
          <w:highlight w:val="none"/>
        </w:rPr>
        <w:t>2. 发包人义务</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_Toc19356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146</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530D3160">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_Toc15825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8"/>
          <w:highlight w:val="none"/>
        </w:rPr>
        <w:t>4. 承包人</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_Toc15825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146</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5662A9D9">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_Toc29727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8"/>
          <w:highlight w:val="none"/>
        </w:rPr>
        <w:t>6. 施工设备和临时设施</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_Toc29727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152</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2CEC0344">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_Toc21153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8"/>
          <w:highlight w:val="none"/>
        </w:rPr>
        <w:t>7. 交通运输</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_Toc21153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153</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1B100C49">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_Toc31306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8"/>
          <w:highlight w:val="none"/>
        </w:rPr>
        <w:t>9. 施工安全、治安保卫和环境保护</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_Toc31306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154</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11D5E506">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_Toc9074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8"/>
          <w:highlight w:val="none"/>
        </w:rPr>
        <w:t>10. 进度计划</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_Toc9074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155</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71D46BDE">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_Toc19071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8"/>
          <w:highlight w:val="none"/>
        </w:rPr>
        <w:t>11. 开工和交工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_Toc19071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155</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7962E098">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_Toc9469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8"/>
          <w:highlight w:val="none"/>
        </w:rPr>
        <w:t>12. 暂停施工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_Toc9469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156</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68EBBC26">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_Toc16646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8"/>
          <w:highlight w:val="none"/>
        </w:rPr>
        <w:t>13. 工程质量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_Toc16646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156</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176082FB">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_Toc23309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8"/>
          <w:highlight w:val="none"/>
        </w:rPr>
        <w:t>14. 试验和检验</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_Toc23309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156</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3FA2515F">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_Toc12417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8"/>
          <w:highlight w:val="none"/>
        </w:rPr>
        <w:t>15. 变更</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_Toc12417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157</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0351577F">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_Toc15295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8"/>
          <w:highlight w:val="none"/>
        </w:rPr>
        <w:t>16. 价格调整</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_Toc15295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158</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172F86B6">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_Toc21674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8"/>
          <w:highlight w:val="none"/>
        </w:rPr>
        <w:t>17. 计量与支付</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_Toc21674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158</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51650929">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_Toc421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8"/>
          <w:highlight w:val="none"/>
        </w:rPr>
        <w:t>18. 交</w:t>
      </w:r>
      <w:r>
        <w:rPr>
          <w:rFonts w:hint="eastAsia" w:ascii="宋体" w:hAnsi="宋体" w:eastAsia="宋体" w:cs="宋体"/>
          <w:color w:val="auto"/>
          <w:szCs w:val="28"/>
          <w:highlight w:val="none"/>
          <w:lang w:eastAsia="zh-CN"/>
        </w:rPr>
        <w:t>（</w:t>
      </w:r>
      <w:r>
        <w:rPr>
          <w:rFonts w:hint="eastAsia" w:ascii="宋体" w:hAnsi="宋体" w:eastAsia="宋体" w:cs="宋体"/>
          <w:color w:val="auto"/>
          <w:szCs w:val="28"/>
          <w:highlight w:val="none"/>
          <w:lang w:val="en-US" w:eastAsia="zh-CN"/>
        </w:rPr>
        <w:t>竣</w:t>
      </w:r>
      <w:r>
        <w:rPr>
          <w:rFonts w:hint="eastAsia" w:ascii="宋体" w:hAnsi="宋体" w:eastAsia="宋体" w:cs="宋体"/>
          <w:color w:val="auto"/>
          <w:szCs w:val="28"/>
          <w:highlight w:val="none"/>
          <w:lang w:eastAsia="zh-CN"/>
        </w:rPr>
        <w:t>）</w:t>
      </w:r>
      <w:r>
        <w:rPr>
          <w:rFonts w:hint="eastAsia" w:ascii="宋体" w:hAnsi="宋体" w:eastAsia="宋体" w:cs="宋体"/>
          <w:color w:val="auto"/>
          <w:szCs w:val="28"/>
          <w:highlight w:val="none"/>
        </w:rPr>
        <w:t>工验收</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_Toc421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160</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4E6BDD41">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_Toc23660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8"/>
          <w:highlight w:val="none"/>
        </w:rPr>
        <w:t>20. 保险</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_Toc23660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161</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199D0DAA">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_Toc19795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8"/>
          <w:highlight w:val="none"/>
        </w:rPr>
        <w:t>22.违约</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_Toc19795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163</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26C7D692">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_Toc10100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8"/>
          <w:highlight w:val="none"/>
        </w:rPr>
        <w:t>第三节 合同附件格式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_Toc10100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166</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57A7DC6C">
      <w:pPr>
        <w:pStyle w:val="17"/>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_Toc21476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32"/>
          <w:highlight w:val="none"/>
        </w:rPr>
        <w:t>第五章  工程量清单</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_Toc21476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181</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633F1B18">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_Toc8778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4"/>
          <w:highlight w:val="none"/>
        </w:rPr>
        <w:t>1．工程量清单说明</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_Toc8778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181</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571DA269">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_Toc28517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4"/>
          <w:highlight w:val="none"/>
        </w:rPr>
        <w:t>2．投标报价说明</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_Toc28517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182</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0CC5E1D1">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_Toc7439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4"/>
          <w:highlight w:val="none"/>
        </w:rPr>
        <w:t>3．其</w:t>
      </w:r>
      <w:r>
        <w:rPr>
          <w:rFonts w:hint="eastAsia" w:ascii="宋体" w:hAnsi="宋体" w:eastAsia="宋体" w:cs="宋体"/>
          <w:color w:val="auto"/>
          <w:szCs w:val="24"/>
          <w:highlight w:val="none"/>
          <w:lang w:val="en-US" w:eastAsia="zh-CN"/>
        </w:rPr>
        <w:t>它</w:t>
      </w:r>
      <w:r>
        <w:rPr>
          <w:rFonts w:hint="eastAsia" w:ascii="宋体" w:hAnsi="宋体" w:eastAsia="宋体" w:cs="宋体"/>
          <w:color w:val="auto"/>
          <w:szCs w:val="24"/>
          <w:highlight w:val="none"/>
        </w:rPr>
        <w:t>说明</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_Toc7439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182</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305E279D">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_Toc7641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bCs/>
          <w:color w:val="auto"/>
          <w:szCs w:val="24"/>
          <w:highlight w:val="none"/>
          <w:lang w:val="en-US" w:eastAsia="zh-CN"/>
        </w:rPr>
        <w:t>4</w:t>
      </w:r>
      <w:r>
        <w:rPr>
          <w:rFonts w:hint="eastAsia" w:ascii="宋体" w:hAnsi="宋体" w:eastAsia="宋体" w:cs="宋体"/>
          <w:bCs/>
          <w:color w:val="auto"/>
          <w:szCs w:val="24"/>
          <w:highlight w:val="none"/>
        </w:rPr>
        <w:t>. 工程量清单</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_Toc7641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183</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0971F229">
      <w:pPr>
        <w:pStyle w:val="14"/>
        <w:widowControl w:val="0"/>
        <w:tabs>
          <w:tab w:val="right" w:leader="dot" w:pos="8306"/>
          <w:tab w:val="clear" w:pos="9174"/>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_Toc1487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84"/>
          <w:highlight w:val="none"/>
        </w:rPr>
        <w:t>第二卷</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_Toc1487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201</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754EAD77">
      <w:pPr>
        <w:pStyle w:val="17"/>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_Toc31650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32"/>
          <w:highlight w:val="none"/>
        </w:rPr>
        <w:t>第六章  图纸（另册）</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_Toc31650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202</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12D77988">
      <w:pPr>
        <w:pStyle w:val="14"/>
        <w:widowControl w:val="0"/>
        <w:tabs>
          <w:tab w:val="right" w:leader="dot" w:pos="8306"/>
          <w:tab w:val="clear" w:pos="9174"/>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_Toc2807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84"/>
          <w:highlight w:val="none"/>
        </w:rPr>
        <w:t>第三卷</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_Toc2807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203</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4F6088D5">
      <w:pPr>
        <w:pStyle w:val="17"/>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_Toc23741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highlight w:val="none"/>
        </w:rPr>
        <w:t>第七章  技术规范</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_Toc23741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204</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2BC1F072">
      <w:pPr>
        <w:pStyle w:val="14"/>
        <w:widowControl w:val="0"/>
        <w:tabs>
          <w:tab w:val="right" w:leader="dot" w:pos="8306"/>
          <w:tab w:val="clear" w:pos="9174"/>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_Toc12688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kern w:val="2"/>
          <w:szCs w:val="32"/>
          <w:highlight w:val="none"/>
          <w:lang w:val="en-US" w:eastAsia="zh-CN"/>
        </w:rPr>
        <w:t>（一） 通用技术规范</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_Toc12688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204</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11CCA269">
      <w:pPr>
        <w:pStyle w:val="14"/>
        <w:widowControl w:val="0"/>
        <w:tabs>
          <w:tab w:val="right" w:leader="dot" w:pos="8306"/>
          <w:tab w:val="clear" w:pos="9174"/>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_Toc10543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84"/>
          <w:highlight w:val="none"/>
        </w:rPr>
        <w:t>第四卷</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_Toc10543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205</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5BEAB62D">
      <w:pPr>
        <w:pStyle w:val="17"/>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_Toc18507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48"/>
          <w:highlight w:val="none"/>
        </w:rPr>
        <w:t>第八章  投标文件格式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_Toc18507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206</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2426B67C">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_Toc21114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8"/>
          <w:highlight w:val="none"/>
          <w:lang w:val="en-US" w:eastAsia="zh-CN"/>
        </w:rPr>
        <w:t>第一信封（商务及养护工程作业方案）</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_Toc21114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207</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7C78DE0A">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_Toc2071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bCs/>
          <w:color w:val="auto"/>
          <w:szCs w:val="32"/>
          <w:highlight w:val="none"/>
        </w:rPr>
        <w:t>目</w:t>
      </w:r>
      <w:r>
        <w:rPr>
          <w:rFonts w:hint="eastAsia" w:ascii="宋体" w:hAnsi="宋体" w:eastAsia="宋体" w:cs="宋体"/>
          <w:bCs/>
          <w:color w:val="auto"/>
          <w:szCs w:val="32"/>
          <w:highlight w:val="none"/>
          <w:lang w:val="en-US" w:eastAsia="zh-CN"/>
        </w:rPr>
        <w:t xml:space="preserve"> </w:t>
      </w:r>
      <w:r>
        <w:rPr>
          <w:rFonts w:hint="eastAsia" w:ascii="宋体" w:hAnsi="宋体" w:eastAsia="宋体" w:cs="宋体"/>
          <w:bCs/>
          <w:color w:val="auto"/>
          <w:szCs w:val="32"/>
          <w:highlight w:val="none"/>
        </w:rPr>
        <w:t>录</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_Toc2071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208</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36B824FC">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_Toc2746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30"/>
          <w:highlight w:val="none"/>
        </w:rPr>
        <w:t>一、投标函及投标函附录</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_Toc2746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209</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54C2872B">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_Toc30866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30"/>
          <w:highlight w:val="none"/>
        </w:rPr>
        <w:t>（一）投标函</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_Toc30866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209</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512597A5">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_Toc27957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30"/>
          <w:highlight w:val="none"/>
        </w:rPr>
        <w:t>（二）投标函附录</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_Toc27957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210</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61330894">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_Toc13941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30"/>
          <w:highlight w:val="none"/>
        </w:rPr>
        <w:t>二、法定代表人身份证明及授权委托书</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_Toc13941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211</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19E12372">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_Toc40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30"/>
          <w:highlight w:val="none"/>
        </w:rPr>
        <w:t>（一）法定代表人身份证明</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211</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76BFC206">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_Toc8681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30"/>
          <w:highlight w:val="none"/>
        </w:rPr>
        <w:t>（二）授权委托书</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_Toc8681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212</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380077B9">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_Toc12936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kern w:val="2"/>
          <w:szCs w:val="30"/>
          <w:highlight w:val="none"/>
          <w:lang w:val="en-US" w:eastAsia="zh-CN" w:bidi="ar-SA"/>
        </w:rPr>
        <w:t>三、联合体协议书</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_Toc12936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213</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19415281">
      <w:pPr>
        <w:pStyle w:val="17"/>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_Toc1973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bCs/>
          <w:color w:val="auto"/>
          <w:szCs w:val="18"/>
          <w:highlight w:val="none"/>
          <w:lang w:val="en-US" w:eastAsia="zh-CN"/>
        </w:rPr>
        <w:t>注：</w:t>
      </w:r>
      <w:r>
        <w:rPr>
          <w:rFonts w:hint="eastAsia" w:ascii="宋体" w:hAnsi="宋体" w:eastAsia="宋体" w:cs="宋体"/>
          <w:bCs/>
          <w:color w:val="auto"/>
          <w:kern w:val="2"/>
          <w:szCs w:val="18"/>
          <w:highlight w:val="none"/>
          <w:lang w:val="en-US" w:eastAsia="zh-CN" w:bidi="ar-SA"/>
        </w:rPr>
        <w:t>联合体投标的，须提供本联合体协议书。</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_Toc1973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213</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399AEF24">
      <w:pPr>
        <w:pStyle w:val="17"/>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_Toc30978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30"/>
          <w:highlight w:val="none"/>
          <w:lang w:val="en-US" w:eastAsia="zh-CN"/>
        </w:rPr>
        <w:t>四</w:t>
      </w:r>
      <w:r>
        <w:rPr>
          <w:rFonts w:hint="eastAsia" w:ascii="宋体" w:hAnsi="宋体" w:eastAsia="宋体" w:cs="宋体"/>
          <w:color w:val="auto"/>
          <w:szCs w:val="30"/>
          <w:highlight w:val="none"/>
        </w:rPr>
        <w:t>、投标保证金</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_Toc30978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214</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3A66C6E2">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_Toc203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kern w:val="2"/>
          <w:szCs w:val="30"/>
          <w:highlight w:val="none"/>
          <w:lang w:val="en-US" w:eastAsia="zh-CN" w:bidi="ar-SA"/>
        </w:rPr>
        <w:t>五、养护工程作业方案</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_Toc203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215</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598CEA58">
      <w:pPr>
        <w:pStyle w:val="17"/>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_Toc3028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bCs w:val="0"/>
          <w:color w:val="auto"/>
          <w:kern w:val="2"/>
          <w:szCs w:val="30"/>
          <w:highlight w:val="none"/>
          <w:lang w:val="en-US" w:eastAsia="zh-CN" w:bidi="ar-SA"/>
        </w:rPr>
        <w:t>六、项目管理机构</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_Toc3028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217</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11727FA6">
      <w:pPr>
        <w:pStyle w:val="17"/>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_Toc9021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30"/>
          <w:highlight w:val="none"/>
        </w:rPr>
        <w:t>七、资格审查资料</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_Toc9021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218</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12B12310">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_Toc5224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bCs/>
          <w:color w:val="auto"/>
          <w:szCs w:val="28"/>
          <w:highlight w:val="none"/>
        </w:rPr>
        <w:t>（一）投标人基本情况表</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_Toc5224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218</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7E5ACB15">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_Toc14309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bCs/>
          <w:color w:val="auto"/>
          <w:szCs w:val="28"/>
          <w:highlight w:val="none"/>
        </w:rPr>
        <w:t>（二）投标人企业组织机构框图</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_Toc14309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219</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2559CDA0">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_Toc20705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bCs/>
          <w:color w:val="auto"/>
          <w:szCs w:val="28"/>
          <w:highlight w:val="none"/>
        </w:rPr>
        <w:t>（三）拟委任的项目经理</w:t>
      </w:r>
      <w:r>
        <w:rPr>
          <w:rFonts w:hint="eastAsia" w:ascii="宋体" w:hAnsi="宋体" w:eastAsia="宋体" w:cs="宋体"/>
          <w:bCs/>
          <w:color w:val="auto"/>
          <w:szCs w:val="28"/>
          <w:highlight w:val="none"/>
          <w:lang w:eastAsia="zh-CN"/>
        </w:rPr>
        <w:t>、</w:t>
      </w:r>
      <w:r>
        <w:rPr>
          <w:rFonts w:hint="eastAsia" w:ascii="宋体" w:hAnsi="宋体" w:eastAsia="宋体" w:cs="宋体"/>
          <w:bCs/>
          <w:color w:val="auto"/>
          <w:szCs w:val="28"/>
          <w:highlight w:val="none"/>
        </w:rPr>
        <w:t>项目</w:t>
      </w:r>
      <w:r>
        <w:rPr>
          <w:rFonts w:hint="eastAsia" w:ascii="宋体" w:hAnsi="宋体" w:eastAsia="宋体" w:cs="宋体"/>
          <w:bCs/>
          <w:color w:val="auto"/>
          <w:szCs w:val="28"/>
          <w:highlight w:val="none"/>
          <w:lang w:val="en-US" w:eastAsia="zh-CN"/>
        </w:rPr>
        <w:t>技术负责人和安全负责人</w:t>
      </w:r>
      <w:r>
        <w:rPr>
          <w:rFonts w:hint="eastAsia" w:ascii="宋体" w:hAnsi="宋体" w:eastAsia="宋体" w:cs="宋体"/>
          <w:bCs/>
          <w:color w:val="auto"/>
          <w:szCs w:val="28"/>
          <w:highlight w:val="none"/>
        </w:rPr>
        <w:t>资历表</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_Toc20705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220</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784C6895">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_Toc582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bCs/>
          <w:color w:val="auto"/>
          <w:szCs w:val="28"/>
          <w:highlight w:val="none"/>
        </w:rPr>
        <w:t>（四）银行信贷证明（或财务能力承诺书）</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_Toc582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222</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1718620C">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_Toc9465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bCs/>
          <w:color w:val="auto"/>
          <w:szCs w:val="28"/>
          <w:highlight w:val="none"/>
        </w:rPr>
        <w:t>（五）20</w:t>
      </w:r>
      <w:r>
        <w:rPr>
          <w:rFonts w:hint="eastAsia" w:ascii="宋体" w:hAnsi="宋体" w:eastAsia="宋体" w:cs="宋体"/>
          <w:bCs/>
          <w:color w:val="auto"/>
          <w:szCs w:val="28"/>
          <w:highlight w:val="none"/>
          <w:lang w:val="en-US" w:eastAsia="zh-CN"/>
        </w:rPr>
        <w:t>21</w:t>
      </w:r>
      <w:r>
        <w:rPr>
          <w:rFonts w:hint="eastAsia" w:ascii="宋体" w:hAnsi="宋体" w:eastAsia="宋体" w:cs="宋体"/>
          <w:bCs/>
          <w:color w:val="auto"/>
          <w:szCs w:val="28"/>
          <w:highlight w:val="none"/>
        </w:rPr>
        <w:t>年</w:t>
      </w:r>
      <w:r>
        <w:rPr>
          <w:rFonts w:hint="eastAsia" w:ascii="宋体" w:hAnsi="宋体" w:eastAsia="宋体" w:cs="宋体"/>
          <w:bCs/>
          <w:color w:val="auto"/>
          <w:szCs w:val="28"/>
          <w:highlight w:val="none"/>
          <w:lang w:val="en-US" w:eastAsia="zh-CN"/>
        </w:rPr>
        <w:t>7</w:t>
      </w:r>
      <w:r>
        <w:rPr>
          <w:rFonts w:hint="eastAsia" w:ascii="宋体" w:hAnsi="宋体" w:eastAsia="宋体" w:cs="宋体"/>
          <w:bCs/>
          <w:color w:val="auto"/>
          <w:szCs w:val="28"/>
          <w:highlight w:val="none"/>
        </w:rPr>
        <w:t>月1日以来完成的类似项目情况表</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_Toc9465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224</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11E283C0">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_Toc21612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bCs/>
          <w:color w:val="auto"/>
          <w:szCs w:val="28"/>
          <w:highlight w:val="none"/>
        </w:rPr>
        <w:t>（六）</w:t>
      </w:r>
      <w:r>
        <w:rPr>
          <w:rFonts w:hint="eastAsia" w:ascii="宋体" w:hAnsi="宋体" w:eastAsia="宋体" w:cs="宋体"/>
          <w:bCs/>
          <w:color w:val="auto"/>
          <w:szCs w:val="28"/>
          <w:highlight w:val="none"/>
          <w:lang w:val="en-US" w:eastAsia="zh-CN"/>
        </w:rPr>
        <w:t>投标人的信誉情况</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_Toc21612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225</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71304877">
      <w:pPr>
        <w:pStyle w:val="17"/>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_Toc2781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30"/>
          <w:highlight w:val="none"/>
        </w:rPr>
        <w:t>八、承诺函</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_Toc2781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226</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1A8BA164">
      <w:pPr>
        <w:pStyle w:val="17"/>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_Toc14039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30"/>
          <w:highlight w:val="none"/>
        </w:rPr>
        <w:t>九、投标人须知前附表规定的其他材料</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_Toc14039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227</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566FFCFA">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_Toc11251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28"/>
          <w:highlight w:val="none"/>
          <w:lang w:val="en-US" w:eastAsia="zh-CN"/>
        </w:rPr>
        <w:t>第二信封（报价文件）</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_Toc11251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228</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794EB2F4">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_Toc27828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bCs/>
          <w:color w:val="auto"/>
          <w:szCs w:val="32"/>
          <w:highlight w:val="none"/>
        </w:rPr>
        <w:t>目</w:t>
      </w:r>
      <w:r>
        <w:rPr>
          <w:rFonts w:hint="eastAsia" w:ascii="宋体" w:hAnsi="宋体" w:eastAsia="宋体" w:cs="宋体"/>
          <w:bCs/>
          <w:color w:val="auto"/>
          <w:szCs w:val="32"/>
          <w:highlight w:val="none"/>
          <w:lang w:val="en-US" w:eastAsia="zh-CN"/>
        </w:rPr>
        <w:t xml:space="preserve"> </w:t>
      </w:r>
      <w:r>
        <w:rPr>
          <w:rFonts w:hint="eastAsia" w:ascii="宋体" w:hAnsi="宋体" w:eastAsia="宋体" w:cs="宋体"/>
          <w:bCs/>
          <w:color w:val="auto"/>
          <w:szCs w:val="32"/>
          <w:highlight w:val="none"/>
        </w:rPr>
        <w:t>录</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_Toc27828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229</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06687445">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_Toc26786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bCs w:val="0"/>
          <w:color w:val="auto"/>
          <w:kern w:val="2"/>
          <w:szCs w:val="30"/>
          <w:highlight w:val="none"/>
          <w:lang w:val="en-US" w:eastAsia="zh-CN" w:bidi="ar-SA"/>
        </w:rPr>
        <w:t>一、报价函</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_Toc26786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230</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7AA6AC58">
      <w:pPr>
        <w:pStyle w:val="8"/>
        <w:widowControl w:val="0"/>
        <w:tabs>
          <w:tab w:val="right" w:leader="dot" w:pos="8306"/>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fldChar w:fldCharType="begin"/>
      </w:r>
      <w:r>
        <w:rPr>
          <w:rFonts w:hint="eastAsia" w:ascii="宋体" w:hAnsi="宋体" w:eastAsia="宋体" w:cs="宋体"/>
          <w:bCs/>
          <w:color w:val="auto"/>
          <w:szCs w:val="21"/>
          <w:highlight w:val="none"/>
          <w:lang w:val="zh-CN"/>
        </w:rPr>
        <w:instrText xml:space="preserve"> HYPERLINK \l _Toc7924 </w:instrText>
      </w:r>
      <w:r>
        <w:rPr>
          <w:rFonts w:hint="eastAsia" w:ascii="宋体" w:hAnsi="宋体" w:eastAsia="宋体" w:cs="宋体"/>
          <w:bCs/>
          <w:color w:val="auto"/>
          <w:szCs w:val="21"/>
          <w:highlight w:val="none"/>
          <w:lang w:val="zh-CN"/>
        </w:rPr>
        <w:fldChar w:fldCharType="separate"/>
      </w:r>
      <w:r>
        <w:rPr>
          <w:rFonts w:hint="eastAsia" w:ascii="宋体" w:hAnsi="宋体" w:eastAsia="宋体" w:cs="宋体"/>
          <w:color w:val="auto"/>
          <w:szCs w:val="30"/>
          <w:highlight w:val="none"/>
          <w:lang w:val="en-US" w:eastAsia="zh-CN"/>
        </w:rPr>
        <w:t>二</w:t>
      </w:r>
      <w:r>
        <w:rPr>
          <w:rFonts w:hint="eastAsia" w:ascii="宋体" w:hAnsi="宋体" w:eastAsia="宋体" w:cs="宋体"/>
          <w:color w:val="auto"/>
          <w:szCs w:val="30"/>
          <w:highlight w:val="none"/>
        </w:rPr>
        <w:t>、已标价工程量清单</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_Toc7924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231</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lang w:val="zh-CN"/>
        </w:rPr>
        <w:fldChar w:fldCharType="end"/>
      </w:r>
    </w:p>
    <w:p w14:paraId="6698A970">
      <w:pPr>
        <w:pStyle w:val="9"/>
        <w:keepNext/>
        <w:keepLines/>
        <w:pageBreakBefore/>
        <w:widowControl w:val="0"/>
        <w:kinsoku/>
        <w:wordWrap/>
        <w:overflowPunct/>
        <w:topLinePunct w:val="0"/>
        <w:autoSpaceDE/>
        <w:autoSpaceDN/>
        <w:bidi w:val="0"/>
        <w:adjustRightInd/>
        <w:snapToGrid/>
        <w:spacing w:line="280" w:lineRule="exact"/>
        <w:textAlignment w:val="auto"/>
        <w:rPr>
          <w:rFonts w:hint="eastAsia"/>
          <w:color w:val="auto"/>
          <w:highlight w:val="none"/>
        </w:rPr>
      </w:pPr>
      <w:r>
        <w:rPr>
          <w:rFonts w:hint="eastAsia" w:ascii="宋体" w:hAnsi="宋体" w:eastAsia="宋体" w:cs="宋体"/>
          <w:bCs/>
          <w:color w:val="auto"/>
          <w:szCs w:val="21"/>
          <w:highlight w:val="none"/>
          <w:lang w:val="zh-CN"/>
        </w:rPr>
        <w:fldChar w:fldCharType="end"/>
      </w:r>
    </w:p>
    <w:p w14:paraId="1E4988EB">
      <w:pPr>
        <w:pStyle w:val="9"/>
        <w:rPr>
          <w:rFonts w:hint="eastAsia"/>
          <w:color w:val="auto"/>
          <w:highlight w:val="none"/>
        </w:rPr>
      </w:pPr>
    </w:p>
    <w:p w14:paraId="1C43F228">
      <w:pPr>
        <w:pStyle w:val="9"/>
        <w:rPr>
          <w:rFonts w:hint="eastAsia"/>
          <w:color w:val="auto"/>
          <w:highlight w:val="none"/>
        </w:rPr>
      </w:pPr>
    </w:p>
    <w:p w14:paraId="3BDBBC43">
      <w:pPr>
        <w:pStyle w:val="9"/>
        <w:rPr>
          <w:rFonts w:hint="eastAsia"/>
          <w:color w:val="auto"/>
          <w:highlight w:val="none"/>
        </w:rPr>
      </w:pPr>
    </w:p>
    <w:p w14:paraId="65D25AF6">
      <w:pPr>
        <w:pStyle w:val="9"/>
        <w:rPr>
          <w:rFonts w:hint="eastAsia"/>
          <w:color w:val="auto"/>
          <w:highlight w:val="none"/>
        </w:rPr>
      </w:pPr>
    </w:p>
    <w:p w14:paraId="53BC8A71">
      <w:pPr>
        <w:pStyle w:val="9"/>
        <w:rPr>
          <w:rFonts w:hint="eastAsia"/>
          <w:color w:val="auto"/>
          <w:highlight w:val="none"/>
        </w:rPr>
      </w:pPr>
    </w:p>
    <w:p w14:paraId="3FF3C7A2">
      <w:pPr>
        <w:pStyle w:val="9"/>
        <w:rPr>
          <w:rFonts w:hint="eastAsia"/>
          <w:color w:val="auto"/>
          <w:highlight w:val="none"/>
        </w:rPr>
      </w:pPr>
    </w:p>
    <w:p w14:paraId="09CF0EEA">
      <w:pPr>
        <w:pStyle w:val="9"/>
        <w:rPr>
          <w:rFonts w:hint="eastAsia"/>
          <w:color w:val="auto"/>
          <w:highlight w:val="none"/>
        </w:rPr>
      </w:pPr>
    </w:p>
    <w:p w14:paraId="1C4ADE6B">
      <w:pPr>
        <w:pStyle w:val="9"/>
        <w:rPr>
          <w:rFonts w:hint="eastAsia"/>
          <w:color w:val="auto"/>
          <w:highlight w:val="none"/>
        </w:rPr>
      </w:pPr>
    </w:p>
    <w:p w14:paraId="2F3ECED9">
      <w:pPr>
        <w:pStyle w:val="9"/>
        <w:rPr>
          <w:rFonts w:hint="eastAsia"/>
          <w:color w:val="auto"/>
          <w:highlight w:val="none"/>
        </w:rPr>
      </w:pPr>
    </w:p>
    <w:p w14:paraId="585D86F7">
      <w:pPr>
        <w:pStyle w:val="9"/>
        <w:rPr>
          <w:rFonts w:hint="eastAsia"/>
          <w:color w:val="auto"/>
          <w:highlight w:val="none"/>
        </w:rPr>
      </w:pPr>
    </w:p>
    <w:p w14:paraId="11789FC7">
      <w:pPr>
        <w:pStyle w:val="9"/>
        <w:rPr>
          <w:rFonts w:hint="eastAsia"/>
          <w:color w:val="auto"/>
          <w:highlight w:val="none"/>
        </w:rPr>
      </w:pPr>
    </w:p>
    <w:p w14:paraId="2173D905">
      <w:pPr>
        <w:pStyle w:val="9"/>
        <w:rPr>
          <w:rFonts w:hint="eastAsia"/>
          <w:color w:val="auto"/>
          <w:highlight w:val="none"/>
        </w:rPr>
      </w:pPr>
    </w:p>
    <w:p w14:paraId="7436BEF2">
      <w:pPr>
        <w:pStyle w:val="9"/>
        <w:rPr>
          <w:rFonts w:hint="eastAsia"/>
          <w:color w:val="auto"/>
          <w:highlight w:val="none"/>
        </w:rPr>
      </w:pPr>
    </w:p>
    <w:p w14:paraId="1876160B">
      <w:pPr>
        <w:pStyle w:val="9"/>
        <w:rPr>
          <w:rFonts w:hint="eastAsia"/>
          <w:color w:val="auto"/>
          <w:highlight w:val="none"/>
        </w:rPr>
      </w:pPr>
    </w:p>
    <w:p w14:paraId="43930357">
      <w:pPr>
        <w:pStyle w:val="9"/>
        <w:rPr>
          <w:rFonts w:hint="eastAsia"/>
          <w:color w:val="auto"/>
          <w:highlight w:val="none"/>
        </w:rPr>
      </w:pPr>
    </w:p>
    <w:p w14:paraId="00960101">
      <w:pPr>
        <w:pStyle w:val="9"/>
        <w:rPr>
          <w:rFonts w:hint="eastAsia"/>
          <w:color w:val="auto"/>
          <w:highlight w:val="none"/>
        </w:rPr>
      </w:pPr>
    </w:p>
    <w:p w14:paraId="28DC91BA">
      <w:pPr>
        <w:pStyle w:val="9"/>
        <w:jc w:val="center"/>
        <w:outlineLvl w:val="0"/>
        <w:rPr>
          <w:rFonts w:ascii="黑体" w:hAnsi="黑体" w:eastAsia="黑体"/>
          <w:color w:val="auto"/>
          <w:sz w:val="52"/>
          <w:szCs w:val="52"/>
          <w:highlight w:val="none"/>
        </w:rPr>
      </w:pPr>
      <w:bookmarkStart w:id="9" w:name="_Toc8383"/>
      <w:r>
        <w:rPr>
          <w:rFonts w:hint="eastAsia" w:ascii="黑体" w:hAnsi="黑体" w:eastAsia="黑体"/>
          <w:color w:val="auto"/>
          <w:sz w:val="52"/>
          <w:szCs w:val="52"/>
          <w:highlight w:val="none"/>
        </w:rPr>
        <w:t>第一卷</w:t>
      </w:r>
      <w:bookmarkEnd w:id="9"/>
    </w:p>
    <w:p w14:paraId="43A3FA68">
      <w:pPr>
        <w:pStyle w:val="41"/>
        <w:pageBreakBefore/>
        <w:spacing w:before="0" w:after="0" w:line="415" w:lineRule="auto"/>
        <w:jc w:val="center"/>
        <w:rPr>
          <w:rFonts w:hint="eastAsia" w:ascii="宋体" w:hAnsi="宋体" w:eastAsia="宋体" w:cs="宋体"/>
          <w:color w:val="auto"/>
          <w:sz w:val="36"/>
          <w:szCs w:val="36"/>
          <w:highlight w:val="none"/>
        </w:rPr>
        <w:sectPr>
          <w:footerReference r:id="rId4"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p>
    <w:p w14:paraId="2A89ABF7">
      <w:pPr>
        <w:pStyle w:val="41"/>
        <w:pageBreakBefore/>
        <w:spacing w:before="0" w:after="0" w:line="415" w:lineRule="auto"/>
        <w:jc w:val="center"/>
        <w:rPr>
          <w:rFonts w:hint="eastAsia" w:ascii="黑体" w:hAnsi="黑体" w:eastAsia="黑体" w:cs="黑体"/>
          <w:color w:val="auto"/>
          <w:sz w:val="32"/>
          <w:szCs w:val="32"/>
          <w:highlight w:val="none"/>
        </w:rPr>
      </w:pPr>
      <w:bookmarkStart w:id="10" w:name="_Toc14954"/>
      <w:r>
        <w:rPr>
          <w:rFonts w:hint="eastAsia" w:ascii="黑体" w:hAnsi="黑体" w:eastAsia="黑体" w:cs="黑体"/>
          <w:color w:val="auto"/>
          <w:sz w:val="32"/>
          <w:szCs w:val="32"/>
          <w:highlight w:val="none"/>
        </w:rPr>
        <w:t>第一章  招标公告</w:t>
      </w:r>
      <w:bookmarkEnd w:id="10"/>
    </w:p>
    <w:p w14:paraId="37440FC2">
      <w:pPr>
        <w:pStyle w:val="9"/>
        <w:keepNext w:val="0"/>
        <w:keepLines w:val="0"/>
        <w:pageBreakBefore w:val="0"/>
        <w:widowControl w:val="0"/>
        <w:kinsoku/>
        <w:wordWrap/>
        <w:overflowPunct/>
        <w:topLinePunct w:val="0"/>
        <w:autoSpaceDE/>
        <w:autoSpaceDN/>
        <w:bidi w:val="0"/>
        <w:adjustRightInd/>
        <w:snapToGrid/>
        <w:spacing w:before="157" w:beforeLines="50" w:line="500" w:lineRule="exact"/>
        <w:jc w:val="center"/>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u w:val="single"/>
          <w:lang w:eastAsia="zh-CN"/>
        </w:rPr>
        <w:t>2026年新昌县G104京岚线关岭隧道上行维修加固工程</w:t>
      </w:r>
      <w:r>
        <w:rPr>
          <w:rFonts w:hint="eastAsia" w:ascii="宋体" w:hAnsi="宋体" w:eastAsia="宋体" w:cs="宋体"/>
          <w:b/>
          <w:color w:val="auto"/>
          <w:sz w:val="28"/>
          <w:szCs w:val="28"/>
          <w:highlight w:val="none"/>
          <w:lang w:eastAsia="zh-CN"/>
        </w:rPr>
        <w:t>施工</w:t>
      </w:r>
      <w:r>
        <w:rPr>
          <w:rFonts w:hint="eastAsia" w:ascii="宋体" w:hAnsi="宋体" w:eastAsia="宋体" w:cs="宋体"/>
          <w:b/>
          <w:color w:val="auto"/>
          <w:sz w:val="28"/>
          <w:szCs w:val="28"/>
          <w:highlight w:val="none"/>
        </w:rPr>
        <w:t>招标公告</w:t>
      </w:r>
    </w:p>
    <w:p w14:paraId="656A6EED">
      <w:pPr>
        <w:pStyle w:val="9"/>
        <w:rPr>
          <w:color w:val="auto"/>
          <w:highlight w:val="none"/>
        </w:rPr>
      </w:pPr>
      <w:bookmarkStart w:id="11" w:name="EBcf55f2e987ce443b848609d47b9b16fd"/>
      <w:r>
        <w:rPr>
          <w:rFonts w:hint="eastAsia"/>
          <w:color w:val="auto"/>
          <w:sz w:val="20"/>
          <w:highlight w:val="none"/>
        </w:rPr>
        <w:t xml:space="preserve"> </w:t>
      </w:r>
      <w:bookmarkEnd w:id="11"/>
    </w:p>
    <w:p w14:paraId="6E348019">
      <w:pPr>
        <w:pStyle w:val="42"/>
        <w:pageBreakBefore w:val="0"/>
        <w:kinsoku/>
        <w:overflowPunct/>
        <w:topLinePunct w:val="0"/>
        <w:autoSpaceDE/>
        <w:autoSpaceDN/>
        <w:bidi w:val="0"/>
        <w:spacing w:line="288" w:lineRule="auto"/>
        <w:textAlignment w:val="auto"/>
        <w:rPr>
          <w:rFonts w:ascii="宋体" w:hAnsi="宋体"/>
          <w:color w:val="auto"/>
          <w:szCs w:val="24"/>
          <w:highlight w:val="none"/>
        </w:rPr>
      </w:pPr>
      <w:bookmarkStart w:id="12" w:name="_Toc11362"/>
      <w:r>
        <w:rPr>
          <w:rFonts w:hint="eastAsia" w:ascii="宋体" w:hAnsi="宋体"/>
          <w:color w:val="auto"/>
          <w:szCs w:val="24"/>
          <w:highlight w:val="none"/>
        </w:rPr>
        <w:t>1．招标条件</w:t>
      </w:r>
      <w:bookmarkEnd w:id="12"/>
    </w:p>
    <w:p w14:paraId="352B5A23">
      <w:pPr>
        <w:pStyle w:val="9"/>
        <w:keepNext w:val="0"/>
        <w:keepLines w:val="0"/>
        <w:pageBreakBefore w:val="0"/>
        <w:widowControl w:val="0"/>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spacing w:val="-2"/>
          <w:szCs w:val="21"/>
          <w:highlight w:val="none"/>
        </w:rPr>
      </w:pPr>
      <w:r>
        <w:rPr>
          <w:rFonts w:hint="eastAsia" w:ascii="宋体" w:hAnsi="宋体" w:eastAsia="宋体" w:cs="宋体"/>
          <w:color w:val="auto"/>
          <w:szCs w:val="21"/>
          <w:highlight w:val="none"/>
        </w:rPr>
        <w:t>本招标项目</w:t>
      </w:r>
      <w:r>
        <w:rPr>
          <w:rFonts w:hint="eastAsia" w:ascii="宋体" w:hAnsi="宋体" w:eastAsia="宋体" w:cs="宋体"/>
          <w:color w:val="auto"/>
          <w:szCs w:val="21"/>
          <w:highlight w:val="none"/>
          <w:u w:val="single"/>
          <w:lang w:eastAsia="zh-CN"/>
        </w:rPr>
        <w:t>2026年新昌县G104京岚线关岭隧道上行维修加固工程</w:t>
      </w:r>
      <w:r>
        <w:rPr>
          <w:rFonts w:hint="eastAsia" w:ascii="宋体" w:hAnsi="宋体" w:eastAsia="宋体" w:cs="宋体"/>
          <w:color w:val="auto"/>
          <w:szCs w:val="21"/>
          <w:highlight w:val="none"/>
        </w:rPr>
        <w:t>（下称</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本项目</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）已由</w:t>
      </w:r>
      <w:r>
        <w:rPr>
          <w:rFonts w:hint="eastAsia" w:ascii="宋体" w:hAnsi="宋体" w:eastAsia="宋体" w:cs="宋体"/>
          <w:color w:val="auto"/>
          <w:szCs w:val="21"/>
          <w:highlight w:val="none"/>
          <w:u w:val="single"/>
        </w:rPr>
        <w:t>浙江省公路与运输管理中心以浙公运复[2026]21号、绍兴市公路港航与运输管理中心以绍市公航运复[2026]12号</w:t>
      </w:r>
      <w:r>
        <w:rPr>
          <w:rFonts w:hint="eastAsia" w:ascii="宋体" w:hAnsi="宋体" w:eastAsia="宋体" w:cs="宋体"/>
          <w:color w:val="auto"/>
          <w:szCs w:val="21"/>
          <w:highlight w:val="none"/>
        </w:rPr>
        <w:t>批复，</w:t>
      </w:r>
      <w:r>
        <w:rPr>
          <w:rFonts w:hint="eastAsia" w:ascii="宋体" w:hAnsi="宋体" w:eastAsia="宋体" w:cs="宋体"/>
          <w:color w:val="auto"/>
          <w:szCs w:val="21"/>
          <w:highlight w:val="none"/>
          <w:lang w:val="en-US" w:eastAsia="zh-CN"/>
        </w:rPr>
        <w:t>养护</w:t>
      </w:r>
      <w:r>
        <w:rPr>
          <w:rFonts w:hint="eastAsia" w:ascii="宋体" w:hAnsi="宋体" w:eastAsia="宋体" w:cs="宋体"/>
          <w:color w:val="auto"/>
          <w:szCs w:val="21"/>
          <w:highlight w:val="none"/>
        </w:rPr>
        <w:t>资金来源：</w:t>
      </w:r>
      <w:r>
        <w:rPr>
          <w:rFonts w:hint="eastAsia" w:ascii="宋体" w:hAnsi="宋体" w:eastAsia="宋体" w:cs="宋体"/>
          <w:color w:val="auto"/>
          <w:szCs w:val="21"/>
          <w:highlight w:val="none"/>
          <w:u w:val="single"/>
          <w:lang w:val="en-US" w:eastAsia="zh-CN"/>
        </w:rPr>
        <w:t>省补及</w:t>
      </w:r>
      <w:r>
        <w:rPr>
          <w:rFonts w:hint="eastAsia" w:ascii="宋体" w:hAnsi="宋体" w:eastAsia="宋体" w:cs="宋体"/>
          <w:color w:val="auto"/>
          <w:szCs w:val="21"/>
          <w:highlight w:val="none"/>
          <w:u w:val="single"/>
        </w:rPr>
        <w:t>地方</w:t>
      </w:r>
      <w:r>
        <w:rPr>
          <w:rFonts w:hint="eastAsia" w:ascii="宋体" w:hAnsi="宋体" w:eastAsia="宋体" w:cs="宋体"/>
          <w:color w:val="auto"/>
          <w:szCs w:val="21"/>
          <w:highlight w:val="none"/>
          <w:u w:val="single"/>
          <w:lang w:val="en-US" w:eastAsia="zh-CN"/>
        </w:rPr>
        <w:t>自筹</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招标人</w:t>
      </w:r>
      <w:r>
        <w:rPr>
          <w:rFonts w:hint="eastAsia" w:ascii="宋体" w:hAnsi="宋体" w:eastAsia="宋体" w:cs="宋体"/>
          <w:color w:val="auto"/>
          <w:szCs w:val="21"/>
          <w:highlight w:val="none"/>
        </w:rPr>
        <w:t>为</w:t>
      </w:r>
      <w:r>
        <w:rPr>
          <w:rFonts w:hint="eastAsia" w:ascii="宋体" w:hAnsi="宋体" w:eastAsia="宋体" w:cs="宋体"/>
          <w:color w:val="auto"/>
          <w:szCs w:val="21"/>
          <w:highlight w:val="none"/>
          <w:u w:val="single"/>
        </w:rPr>
        <w:t>新昌县公路与运输管理中心</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招标代理机构为：</w:t>
      </w:r>
      <w:r>
        <w:rPr>
          <w:rFonts w:hint="eastAsia" w:ascii="宋体" w:hAnsi="宋体" w:eastAsia="宋体" w:cs="宋体"/>
          <w:color w:val="auto"/>
          <w:szCs w:val="21"/>
          <w:highlight w:val="none"/>
          <w:u w:val="single"/>
          <w:lang w:val="en-US" w:eastAsia="zh-CN"/>
        </w:rPr>
        <w:t>建经投资咨询有限公司</w:t>
      </w:r>
      <w:r>
        <w:rPr>
          <w:rFonts w:hint="eastAsia" w:ascii="宋体" w:hAnsi="宋体" w:eastAsia="宋体" w:cs="宋体"/>
          <w:color w:val="auto"/>
          <w:szCs w:val="21"/>
          <w:highlight w:val="none"/>
        </w:rPr>
        <w:t>。</w:t>
      </w:r>
      <w:r>
        <w:rPr>
          <w:rFonts w:hint="eastAsia" w:ascii="宋体" w:hAnsi="宋体" w:eastAsia="宋体" w:cs="宋体"/>
          <w:color w:val="auto"/>
          <w:spacing w:val="-2"/>
          <w:szCs w:val="21"/>
          <w:highlight w:val="none"/>
        </w:rPr>
        <w:t xml:space="preserve">项目已具备招标条件，现对该项目的施工进行公开招标，实行资格后审。 </w:t>
      </w:r>
    </w:p>
    <w:p w14:paraId="72E7F288">
      <w:pPr>
        <w:pStyle w:val="42"/>
        <w:pageBreakBefore w:val="0"/>
        <w:kinsoku/>
        <w:overflowPunct/>
        <w:topLinePunct w:val="0"/>
        <w:autoSpaceDE/>
        <w:autoSpaceDN/>
        <w:bidi w:val="0"/>
        <w:spacing w:line="288" w:lineRule="auto"/>
        <w:textAlignment w:val="auto"/>
        <w:rPr>
          <w:rFonts w:hint="eastAsia" w:ascii="宋体" w:hAnsi="宋体"/>
          <w:color w:val="auto"/>
          <w:szCs w:val="24"/>
          <w:highlight w:val="none"/>
        </w:rPr>
      </w:pPr>
      <w:bookmarkStart w:id="13" w:name="_Toc31109"/>
      <w:r>
        <w:rPr>
          <w:rFonts w:hint="eastAsia" w:ascii="宋体" w:hAnsi="宋体"/>
          <w:color w:val="auto"/>
          <w:szCs w:val="24"/>
          <w:highlight w:val="none"/>
        </w:rPr>
        <w:t>2．项目概况与招标范围</w:t>
      </w:r>
      <w:bookmarkEnd w:id="13"/>
    </w:p>
    <w:p w14:paraId="662F0BBF">
      <w:pPr>
        <w:pStyle w:val="9"/>
        <w:keepNext w:val="0"/>
        <w:keepLines w:val="0"/>
        <w:pageBreakBefore w:val="0"/>
        <w:suppressAutoHyphens/>
        <w:kinsoku/>
        <w:wordWrap/>
        <w:overflowPunct/>
        <w:topLinePunct w:val="0"/>
        <w:autoSpaceDE/>
        <w:autoSpaceDN/>
        <w:bidi w:val="0"/>
        <w:adjustRightInd w:val="0"/>
        <w:snapToGrid w:val="0"/>
        <w:spacing w:line="288" w:lineRule="auto"/>
        <w:ind w:firstLine="412" w:firstLineChars="200"/>
        <w:textAlignment w:val="auto"/>
        <w:rPr>
          <w:rFonts w:ascii="宋体" w:hAnsi="宋体"/>
          <w:b/>
          <w:bCs/>
          <w:color w:val="auto"/>
          <w:spacing w:val="-2"/>
          <w:szCs w:val="21"/>
          <w:highlight w:val="none"/>
        </w:rPr>
      </w:pPr>
      <w:bookmarkStart w:id="14" w:name="EB3e450f6644fd4894b10d83e053028dbc"/>
      <w:r>
        <w:rPr>
          <w:rFonts w:hint="eastAsia" w:ascii="宋体" w:hAnsi="宋体"/>
          <w:b/>
          <w:bCs/>
          <w:color w:val="auto"/>
          <w:spacing w:val="-2"/>
          <w:szCs w:val="21"/>
          <w:highlight w:val="none"/>
        </w:rPr>
        <w:t>2.1项目概况</w:t>
      </w:r>
    </w:p>
    <w:p w14:paraId="416C6382">
      <w:pPr>
        <w:pStyle w:val="9"/>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关岭隧道位于绍兴新昌县与台州天台县交界处，隧道右洞全长1909m（上行K1667+470~K1669+379），左洞全长1850m（下行K1667+471～K1669+321）。设计公路等级为一级公路，隧道采用双向四车道，设计时速60km/h，隧道建筑限界净宽9.75m，净高5.0m，路面为沥青路面，于2014年建成通车。</w:t>
      </w:r>
    </w:p>
    <w:p w14:paraId="345608F7">
      <w:pPr>
        <w:pStyle w:val="9"/>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主要病害：</w:t>
      </w:r>
    </w:p>
    <w:p w14:paraId="72F3E924">
      <w:pPr>
        <w:pStyle w:val="9"/>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土建：1.衬砌环向裂缝13条、网状裂缝2条、斜向裂缝12条、渗漏水39处；2.吊顶及预埋件钢筋外露17处，瓷砖多处脱落等。</w:t>
      </w:r>
    </w:p>
    <w:p w14:paraId="6FB638DA">
      <w:pPr>
        <w:pStyle w:val="9"/>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机电：1.隧道洞内照明支架锈蚀严重，照明灯具光衰严重；2.隧道机电洞室门锈蚀、配电柜体及柜内元器件锈蚀、横向通道卷帘门锈蚀；3.消防电光标志故障，车道指示器故障。4.火灾报警系统故障等。</w:t>
      </w:r>
    </w:p>
    <w:p w14:paraId="25E1AE1A">
      <w:pPr>
        <w:pStyle w:val="9"/>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主要维修内容：</w:t>
      </w:r>
    </w:p>
    <w:p w14:paraId="3D947B72">
      <w:pPr>
        <w:pStyle w:val="9"/>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土建：1.对隧道裂缝进行处治，渗漏水维修；2.内装饰重新涂装；3.路面上面层铣刨重铺4cmSMA-13，6cmAC-20C；</w:t>
      </w:r>
      <w:r>
        <w:rPr>
          <w:rFonts w:hint="eastAsia" w:ascii="宋体" w:hAnsi="宋体" w:eastAsia="宋体" w:cs="宋体"/>
          <w:b w:val="0"/>
          <w:bCs w:val="0"/>
          <w:color w:val="auto"/>
          <w:szCs w:val="21"/>
          <w:highlight w:val="none"/>
          <w:lang w:val="en-US" w:eastAsia="zh-CN"/>
        </w:rPr>
        <w:t>4.维修隧道检修步道</w:t>
      </w:r>
      <w:r>
        <w:rPr>
          <w:rFonts w:hint="eastAsia" w:ascii="宋体" w:hAnsi="宋体" w:eastAsia="宋体" w:cs="宋体"/>
          <w:b w:val="0"/>
          <w:bCs w:val="0"/>
          <w:color w:val="auto"/>
          <w:szCs w:val="21"/>
          <w:highlight w:val="none"/>
          <w:lang w:val="en-US" w:eastAsia="zh-CN"/>
        </w:rPr>
        <w:t>。</w:t>
      </w:r>
    </w:p>
    <w:p w14:paraId="6A524E3C">
      <w:pPr>
        <w:pStyle w:val="9"/>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机电：1.改造提升隧道照明系统、照明控制柜；2.建立独立供配电设施，增设入口处供电线缆、柴油发电机、附属用房改造，配电房改造；3.改造提升交安及附属设施，维修风机控制柜、维修人通及车通指示标志；4.更新消防管道，修复火灾报警系统、消防洞室；5.更换洞内监控设施，完善视频监控平台等。</w:t>
      </w:r>
    </w:p>
    <w:p w14:paraId="30E71662">
      <w:pPr>
        <w:pStyle w:val="9"/>
        <w:keepNext w:val="0"/>
        <w:keepLines w:val="0"/>
        <w:pageBreakBefore w:val="0"/>
        <w:suppressAutoHyphens/>
        <w:kinsoku/>
        <w:wordWrap/>
        <w:overflowPunct/>
        <w:topLinePunct w:val="0"/>
        <w:autoSpaceDE/>
        <w:autoSpaceDN/>
        <w:bidi w:val="0"/>
        <w:adjustRightInd w:val="0"/>
        <w:snapToGrid w:val="0"/>
        <w:spacing w:line="288" w:lineRule="auto"/>
        <w:ind w:firstLine="412" w:firstLineChars="200"/>
        <w:textAlignment w:val="auto"/>
        <w:rPr>
          <w:rFonts w:ascii="宋体" w:hAnsi="宋体"/>
          <w:b/>
          <w:bCs/>
          <w:color w:val="auto"/>
          <w:spacing w:val="-2"/>
          <w:szCs w:val="21"/>
          <w:highlight w:val="none"/>
        </w:rPr>
      </w:pPr>
      <w:r>
        <w:rPr>
          <w:rFonts w:hint="eastAsia" w:ascii="宋体" w:hAnsi="宋体"/>
          <w:b/>
          <w:bCs/>
          <w:color w:val="auto"/>
          <w:spacing w:val="-2"/>
          <w:szCs w:val="21"/>
          <w:highlight w:val="none"/>
        </w:rPr>
        <w:t>2.2招标范围</w:t>
      </w:r>
    </w:p>
    <w:p w14:paraId="76BAC78C">
      <w:pPr>
        <w:pStyle w:val="9"/>
        <w:keepNext w:val="0"/>
        <w:keepLines w:val="0"/>
        <w:pageBreakBefore w:val="0"/>
        <w:kinsoku/>
        <w:wordWrap/>
        <w:overflowPunct/>
        <w:topLinePunct w:val="0"/>
        <w:autoSpaceDE/>
        <w:autoSpaceDN/>
        <w:bidi w:val="0"/>
        <w:spacing w:line="288" w:lineRule="auto"/>
        <w:ind w:firstLine="420" w:firstLineChars="200"/>
        <w:textAlignment w:val="auto"/>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本次施工招标设1个标段，即第SG-01标段。</w:t>
      </w:r>
    </w:p>
    <w:p w14:paraId="6CFD0675">
      <w:pPr>
        <w:pStyle w:val="9"/>
        <w:keepNext w:val="0"/>
        <w:keepLines w:val="0"/>
        <w:pageBreakBefore w:val="0"/>
        <w:kinsoku/>
        <w:wordWrap/>
        <w:overflowPunct/>
        <w:topLinePunct w:val="0"/>
        <w:autoSpaceDE/>
        <w:autoSpaceDN/>
        <w:bidi w:val="0"/>
        <w:spacing w:line="288" w:lineRule="auto"/>
        <w:ind w:firstLine="420" w:firstLineChars="200"/>
        <w:textAlignment w:val="auto"/>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本标段主要工作内容为：对</w:t>
      </w:r>
      <w:r>
        <w:rPr>
          <w:rFonts w:hint="eastAsia" w:ascii="宋体" w:hAnsi="宋体" w:eastAsia="宋体" w:cs="宋体"/>
          <w:b w:val="0"/>
          <w:bCs w:val="0"/>
          <w:color w:val="auto"/>
          <w:szCs w:val="21"/>
          <w:highlight w:val="none"/>
          <w:lang w:val="en-US" w:eastAsia="zh-CN"/>
        </w:rPr>
        <w:t>关岭隧道进行维修加固</w:t>
      </w:r>
      <w:r>
        <w:rPr>
          <w:rFonts w:hint="eastAsia" w:ascii="宋体" w:hAnsi="宋体" w:eastAsia="Times New Roman" w:cs="Times New Roman"/>
          <w:color w:val="auto"/>
          <w:szCs w:val="21"/>
          <w:highlight w:val="none"/>
          <w:lang w:val="en-US" w:eastAsia="zh-CN"/>
        </w:rPr>
        <w:t>的施工及缺陷责任期缺陷修复等。</w:t>
      </w:r>
    </w:p>
    <w:p w14:paraId="7371C070">
      <w:pPr>
        <w:pStyle w:val="10"/>
        <w:keepNext w:val="0"/>
        <w:keepLines w:val="0"/>
        <w:pageBreakBefore w:val="0"/>
        <w:kinsoku/>
        <w:wordWrap/>
        <w:overflowPunct/>
        <w:topLinePunct w:val="0"/>
        <w:autoSpaceDE/>
        <w:autoSpaceDN/>
        <w:bidi w:val="0"/>
        <w:spacing w:line="288" w:lineRule="auto"/>
        <w:ind w:firstLine="420" w:firstLineChars="200"/>
        <w:textAlignment w:val="auto"/>
        <w:rPr>
          <w:rFonts w:hint="default" w:ascii="宋体" w:hAnsi="宋体" w:eastAsia="宋体"/>
          <w:color w:val="auto"/>
          <w:kern w:val="2"/>
          <w:sz w:val="21"/>
          <w:szCs w:val="21"/>
          <w:highlight w:val="none"/>
          <w:shd w:val="clear" w:color="auto" w:fill="FFFFFF"/>
          <w:lang w:val="en-US" w:eastAsia="zh-CN"/>
        </w:rPr>
      </w:pPr>
      <w:r>
        <w:rPr>
          <w:rFonts w:hint="eastAsia" w:ascii="宋体" w:hAnsi="宋体" w:eastAsia="宋体"/>
          <w:color w:val="auto"/>
          <w:kern w:val="2"/>
          <w:sz w:val="21"/>
          <w:szCs w:val="21"/>
          <w:highlight w:val="none"/>
          <w:shd w:val="clear" w:color="auto" w:fill="FFFFFF"/>
          <w:lang w:val="en-US" w:eastAsia="zh-CN"/>
        </w:rPr>
        <w:t>本次招标金额约1743万元，具体实施内容以批复的施工图设计图纸为准。</w:t>
      </w:r>
    </w:p>
    <w:p w14:paraId="0C317DFF">
      <w:pPr>
        <w:pStyle w:val="9"/>
        <w:keepNext w:val="0"/>
        <w:keepLines w:val="0"/>
        <w:pageBreakBefore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计划工期：</w:t>
      </w:r>
      <w:r>
        <w:rPr>
          <w:rFonts w:hint="eastAsia" w:ascii="宋体" w:hAnsi="宋体" w:eastAsia="宋体" w:cs="宋体"/>
          <w:color w:val="auto"/>
          <w:szCs w:val="21"/>
          <w:highlight w:val="none"/>
          <w:u w:val="single"/>
          <w:lang w:val="en-US" w:eastAsia="zh-CN"/>
        </w:rPr>
        <w:t xml:space="preserve"> 4 </w:t>
      </w:r>
      <w:r>
        <w:rPr>
          <w:rFonts w:hint="eastAsia" w:ascii="宋体" w:hAnsi="宋体" w:eastAsia="宋体" w:cs="宋体"/>
          <w:color w:val="auto"/>
          <w:szCs w:val="21"/>
          <w:highlight w:val="none"/>
          <w:lang w:val="en-US" w:eastAsia="zh-CN"/>
        </w:rPr>
        <w:t>个月（120日历天）</w:t>
      </w:r>
      <w:r>
        <w:rPr>
          <w:rFonts w:hint="eastAsia" w:ascii="宋体" w:hAnsi="宋体"/>
          <w:color w:val="auto"/>
          <w:spacing w:val="-2"/>
          <w:szCs w:val="21"/>
          <w:highlight w:val="none"/>
          <w:lang w:eastAsia="zh-CN"/>
        </w:rPr>
        <w:t>（其中全封闭施工工期30天）</w:t>
      </w:r>
      <w:r>
        <w:rPr>
          <w:rFonts w:hint="eastAsia" w:ascii="宋体" w:hAnsi="宋体" w:eastAsia="宋体" w:cs="宋体"/>
          <w:color w:val="auto"/>
          <w:szCs w:val="21"/>
          <w:highlight w:val="none"/>
          <w:lang w:val="en-US" w:eastAsia="zh-CN"/>
        </w:rPr>
        <w:t>；缺陷责任期：</w:t>
      </w:r>
      <w:r>
        <w:rPr>
          <w:rFonts w:hint="eastAsia" w:ascii="宋体" w:hAnsi="宋体" w:eastAsia="宋体" w:cs="宋体"/>
          <w:color w:val="auto"/>
          <w:szCs w:val="21"/>
          <w:highlight w:val="none"/>
          <w:u w:val="single"/>
          <w:lang w:val="en-US" w:eastAsia="zh-CN"/>
        </w:rPr>
        <w:t>12</w:t>
      </w:r>
      <w:r>
        <w:rPr>
          <w:rFonts w:hint="eastAsia" w:ascii="宋体" w:hAnsi="宋体" w:eastAsia="宋体" w:cs="宋体"/>
          <w:color w:val="auto"/>
          <w:szCs w:val="21"/>
          <w:highlight w:val="none"/>
          <w:lang w:val="en-US" w:eastAsia="zh-CN"/>
        </w:rPr>
        <w:t>个月。</w:t>
      </w:r>
    </w:p>
    <w:bookmarkEnd w:id="14"/>
    <w:p w14:paraId="533D3EF4">
      <w:pPr>
        <w:pStyle w:val="42"/>
        <w:pageBreakBefore w:val="0"/>
        <w:kinsoku/>
        <w:overflowPunct/>
        <w:topLinePunct w:val="0"/>
        <w:autoSpaceDE/>
        <w:autoSpaceDN/>
        <w:bidi w:val="0"/>
        <w:spacing w:line="288" w:lineRule="auto"/>
        <w:textAlignment w:val="auto"/>
        <w:rPr>
          <w:rFonts w:hint="eastAsia" w:ascii="宋体" w:hAnsi="宋体"/>
          <w:color w:val="auto"/>
          <w:szCs w:val="24"/>
          <w:highlight w:val="none"/>
        </w:rPr>
      </w:pPr>
      <w:bookmarkStart w:id="15" w:name="_Toc18733"/>
      <w:r>
        <w:rPr>
          <w:rFonts w:hint="eastAsia" w:ascii="宋体" w:hAnsi="宋体"/>
          <w:color w:val="auto"/>
          <w:szCs w:val="24"/>
          <w:highlight w:val="none"/>
        </w:rPr>
        <w:t>3．投标人资格要求</w:t>
      </w:r>
      <w:bookmarkEnd w:id="15"/>
    </w:p>
    <w:p w14:paraId="4EE01307">
      <w:pPr>
        <w:pStyle w:val="9"/>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ascii="宋体" w:hAnsi="宋体"/>
          <w:color w:val="auto"/>
          <w:szCs w:val="21"/>
          <w:highlight w:val="none"/>
        </w:rPr>
      </w:pPr>
      <w:r>
        <w:rPr>
          <w:rFonts w:hint="eastAsia" w:ascii="宋体" w:hAnsi="宋体"/>
          <w:color w:val="auto"/>
          <w:szCs w:val="21"/>
          <w:highlight w:val="none"/>
        </w:rPr>
        <w:t>3.1 本次招标要求投标人须具备</w:t>
      </w:r>
      <w:bookmarkStart w:id="16" w:name="EB78e942434b3445a08523bef2be4093f0"/>
      <w:r>
        <w:rPr>
          <w:rFonts w:hint="eastAsia" w:ascii="宋体" w:hAnsi="宋体"/>
          <w:color w:val="auto"/>
          <w:szCs w:val="21"/>
          <w:highlight w:val="none"/>
        </w:rPr>
        <w:t>独立法人资格，</w:t>
      </w:r>
      <w:bookmarkEnd w:id="16"/>
      <w:r>
        <w:rPr>
          <w:rFonts w:hint="eastAsia" w:ascii="宋体" w:hAnsi="宋体"/>
          <w:color w:val="auto"/>
          <w:szCs w:val="21"/>
          <w:highlight w:val="none"/>
        </w:rPr>
        <w:t>同时</w:t>
      </w:r>
      <w:r>
        <w:rPr>
          <w:rFonts w:hint="eastAsia" w:ascii="宋体" w:hAnsi="宋体" w:eastAsia="宋体"/>
          <w:color w:val="auto"/>
          <w:szCs w:val="21"/>
          <w:highlight w:val="none"/>
          <w:lang w:val="en-US" w:eastAsia="zh-CN"/>
        </w:rPr>
        <w:t>具有住建部颁发的</w:t>
      </w:r>
      <w:r>
        <w:rPr>
          <w:rFonts w:hint="eastAsia" w:ascii="宋体" w:hAnsi="宋体"/>
          <w:color w:val="auto"/>
          <w:szCs w:val="21"/>
          <w:highlight w:val="none"/>
        </w:rPr>
        <w:t>公路交通工程（公路机电工程）专业承包</w:t>
      </w:r>
      <w:r>
        <w:rPr>
          <w:rFonts w:hint="eastAsia" w:ascii="宋体" w:hAnsi="宋体" w:eastAsia="宋体"/>
          <w:color w:val="auto"/>
          <w:szCs w:val="21"/>
          <w:highlight w:val="none"/>
          <w:lang w:val="en-US" w:eastAsia="zh-CN"/>
        </w:rPr>
        <w:t>二</w:t>
      </w:r>
      <w:r>
        <w:rPr>
          <w:rFonts w:hint="eastAsia" w:ascii="宋体" w:hAnsi="宋体"/>
          <w:color w:val="auto"/>
          <w:szCs w:val="21"/>
          <w:highlight w:val="none"/>
        </w:rPr>
        <w:t>级</w:t>
      </w:r>
      <w:r>
        <w:rPr>
          <w:rFonts w:hint="eastAsia" w:ascii="宋体" w:hAnsi="宋体" w:eastAsia="宋体"/>
          <w:color w:val="auto"/>
          <w:szCs w:val="21"/>
          <w:highlight w:val="none"/>
          <w:lang w:val="en-US" w:eastAsia="zh-CN"/>
        </w:rPr>
        <w:t>及以上</w:t>
      </w:r>
      <w:r>
        <w:rPr>
          <w:rFonts w:hint="eastAsia" w:ascii="宋体" w:hAnsi="宋体"/>
          <w:color w:val="auto"/>
          <w:szCs w:val="21"/>
          <w:highlight w:val="none"/>
        </w:rPr>
        <w:t>资质</w:t>
      </w:r>
      <w:r>
        <w:rPr>
          <w:rFonts w:hint="eastAsia" w:ascii="宋体" w:hAnsi="宋体" w:eastAsia="宋体"/>
          <w:color w:val="auto"/>
          <w:szCs w:val="21"/>
          <w:highlight w:val="none"/>
          <w:lang w:val="en-US" w:eastAsia="zh-CN"/>
        </w:rPr>
        <w:t>和</w:t>
      </w:r>
      <w:r>
        <w:rPr>
          <w:rFonts w:hint="eastAsia" w:ascii="宋体" w:hAnsi="宋体" w:eastAsia="宋体" w:cs="Times New Roman"/>
          <w:color w:val="auto"/>
          <w:szCs w:val="21"/>
          <w:highlight w:val="none"/>
          <w:lang w:val="en-US" w:eastAsia="zh-CN"/>
        </w:rPr>
        <w:t>省级交通运输主管部门颁发的</w:t>
      </w:r>
      <w:r>
        <w:rPr>
          <w:rFonts w:hint="eastAsia" w:ascii="宋体" w:hAnsi="宋体"/>
          <w:color w:val="auto"/>
          <w:szCs w:val="21"/>
          <w:highlight w:val="none"/>
        </w:rPr>
        <w:t>隧道养护甲级资质</w:t>
      </w:r>
      <w:r>
        <w:rPr>
          <w:rFonts w:hint="eastAsia" w:ascii="宋体" w:hAnsi="宋体" w:eastAsia="宋体"/>
          <w:color w:val="auto"/>
          <w:szCs w:val="21"/>
          <w:highlight w:val="none"/>
          <w:lang w:val="en-US" w:eastAsia="zh-CN"/>
        </w:rPr>
        <w:t>和路基路面养护甲级资质</w:t>
      </w:r>
      <w:r>
        <w:rPr>
          <w:rFonts w:hint="eastAsia" w:ascii="宋体" w:hAnsi="宋体"/>
          <w:color w:val="auto"/>
          <w:szCs w:val="21"/>
          <w:highlight w:val="none"/>
        </w:rPr>
        <w:t>，并在人员、资金等方面具有相应的施工能力。</w:t>
      </w:r>
    </w:p>
    <w:p w14:paraId="4B3FD2B0">
      <w:pPr>
        <w:pStyle w:val="9"/>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olor w:val="auto"/>
          <w:szCs w:val="21"/>
          <w:highlight w:val="none"/>
          <w:lang w:val="en-US" w:eastAsia="zh-CN"/>
        </w:rPr>
      </w:pPr>
      <w:r>
        <w:rPr>
          <w:rFonts w:hint="eastAsia" w:ascii="宋体" w:hAnsi="宋体"/>
          <w:color w:val="auto"/>
          <w:szCs w:val="21"/>
          <w:highlight w:val="none"/>
        </w:rPr>
        <w:t>3.2 本次招标</w:t>
      </w:r>
      <w:bookmarkStart w:id="17" w:name="EBff701b64a67940e0814a9ebc1d26b8bd"/>
      <w:r>
        <w:rPr>
          <w:rFonts w:hint="eastAsia" w:ascii="宋体" w:hAnsi="宋体" w:eastAsia="宋体"/>
          <w:color w:val="auto"/>
          <w:szCs w:val="21"/>
          <w:highlight w:val="none"/>
          <w:u w:val="single"/>
          <w:lang w:val="en-US" w:eastAsia="zh-CN"/>
        </w:rPr>
        <w:t xml:space="preserve"> </w:t>
      </w:r>
      <w:r>
        <w:rPr>
          <w:rFonts w:hint="eastAsia" w:ascii="宋体" w:hAnsi="宋体"/>
          <w:color w:val="auto"/>
          <w:szCs w:val="21"/>
          <w:highlight w:val="none"/>
          <w:u w:val="single"/>
        </w:rPr>
        <w:t>接受</w:t>
      </w:r>
      <w:bookmarkEnd w:id="17"/>
      <w:r>
        <w:rPr>
          <w:rFonts w:hint="eastAsia" w:ascii="宋体" w:hAnsi="宋体" w:eastAsia="宋体"/>
          <w:color w:val="auto"/>
          <w:szCs w:val="21"/>
          <w:highlight w:val="none"/>
          <w:u w:val="single"/>
          <w:lang w:val="en-US" w:eastAsia="zh-CN"/>
        </w:rPr>
        <w:t xml:space="preserve"> </w:t>
      </w:r>
      <w:r>
        <w:rPr>
          <w:rFonts w:hint="eastAsia" w:ascii="宋体" w:hAnsi="宋体"/>
          <w:color w:val="auto"/>
          <w:szCs w:val="21"/>
          <w:highlight w:val="none"/>
        </w:rPr>
        <w:t>联合体投标。</w:t>
      </w:r>
      <w:r>
        <w:rPr>
          <w:rFonts w:hint="eastAsia" w:ascii="宋体" w:hAnsi="宋体" w:eastAsia="宋体"/>
          <w:color w:val="auto"/>
          <w:szCs w:val="21"/>
          <w:highlight w:val="none"/>
          <w:lang w:val="en-US" w:eastAsia="zh-CN"/>
        </w:rPr>
        <w:t>联合体投标的，应满足下列要求：</w:t>
      </w:r>
    </w:p>
    <w:p w14:paraId="38F093BA">
      <w:pPr>
        <w:keepNext w:val="0"/>
        <w:keepLines w:val="0"/>
        <w:pageBreakBefore w:val="0"/>
        <w:widowControl w:val="0"/>
        <w:kinsoku/>
        <w:wordWrap/>
        <w:overflowPunct/>
        <w:topLinePunct w:val="0"/>
        <w:autoSpaceDE/>
        <w:autoSpaceDN/>
        <w:bidi w:val="0"/>
        <w:adjustRightInd/>
        <w:snapToGrid w:val="0"/>
        <w:spacing w:line="288" w:lineRule="auto"/>
        <w:ind w:firstLine="420" w:firstLineChars="200"/>
        <w:jc w:val="left"/>
        <w:textAlignment w:val="auto"/>
        <w:rPr>
          <w:rFonts w:hint="default" w:ascii="Times New Roman" w:hAnsi="Times New Roman" w:eastAsia="宋体" w:cs="Times New Roman"/>
          <w:bCs/>
          <w:color w:val="auto"/>
          <w:szCs w:val="21"/>
          <w:highlight w:val="none"/>
        </w:rPr>
      </w:pPr>
      <w:r>
        <w:rPr>
          <w:rFonts w:hint="default" w:ascii="Times New Roman" w:hAnsi="Times New Roman" w:eastAsia="宋体" w:cs="Times New Roman"/>
          <w:color w:val="auto"/>
          <w:szCs w:val="21"/>
          <w:highlight w:val="none"/>
        </w:rPr>
        <w:t>（1）</w:t>
      </w:r>
      <w:r>
        <w:rPr>
          <w:rFonts w:hint="default" w:ascii="Times New Roman" w:hAnsi="Times New Roman" w:eastAsia="宋体" w:cs="Times New Roman"/>
          <w:bCs/>
          <w:color w:val="auto"/>
          <w:szCs w:val="21"/>
          <w:highlight w:val="none"/>
        </w:rPr>
        <w:t>联合体牵头人</w:t>
      </w:r>
      <w:r>
        <w:rPr>
          <w:rFonts w:hint="eastAsia" w:ascii="宋体" w:hAnsi="宋体"/>
          <w:color w:val="auto"/>
          <w:szCs w:val="21"/>
          <w:highlight w:val="none"/>
        </w:rPr>
        <w:t>须具备独立法人资格，</w:t>
      </w:r>
      <w:r>
        <w:rPr>
          <w:rFonts w:hint="eastAsia" w:ascii="宋体" w:hAnsi="宋体"/>
          <w:color w:val="auto"/>
          <w:szCs w:val="21"/>
          <w:highlight w:val="none"/>
          <w:lang w:val="en-US" w:eastAsia="zh-CN"/>
        </w:rPr>
        <w:t>并</w:t>
      </w:r>
      <w:r>
        <w:rPr>
          <w:rFonts w:hint="eastAsia"/>
          <w:color w:val="auto"/>
          <w:highlight w:val="none"/>
        </w:rPr>
        <w:t>具有</w:t>
      </w:r>
      <w:r>
        <w:rPr>
          <w:rFonts w:hint="eastAsia" w:ascii="宋体" w:hAnsi="宋体" w:eastAsia="宋体"/>
          <w:color w:val="auto"/>
          <w:szCs w:val="21"/>
          <w:highlight w:val="none"/>
          <w:lang w:val="en-US" w:eastAsia="zh-CN"/>
        </w:rPr>
        <w:t>住建部颁发的</w:t>
      </w:r>
      <w:r>
        <w:rPr>
          <w:rFonts w:hint="eastAsia" w:ascii="宋体" w:hAnsi="宋体"/>
          <w:color w:val="auto"/>
          <w:szCs w:val="21"/>
          <w:highlight w:val="none"/>
        </w:rPr>
        <w:t>公路交通工程（公路机电工程）专业承包</w:t>
      </w:r>
      <w:r>
        <w:rPr>
          <w:rFonts w:hint="eastAsia" w:ascii="宋体" w:hAnsi="宋体"/>
          <w:color w:val="auto"/>
          <w:szCs w:val="21"/>
          <w:highlight w:val="none"/>
          <w:lang w:val="en-US" w:eastAsia="zh-CN"/>
        </w:rPr>
        <w:t>二</w:t>
      </w:r>
      <w:r>
        <w:rPr>
          <w:rFonts w:hint="eastAsia" w:ascii="宋体" w:hAnsi="宋体"/>
          <w:color w:val="auto"/>
          <w:szCs w:val="21"/>
          <w:highlight w:val="none"/>
        </w:rPr>
        <w:t>级</w:t>
      </w:r>
      <w:r>
        <w:rPr>
          <w:rFonts w:hint="eastAsia" w:ascii="宋体" w:hAnsi="宋体"/>
          <w:color w:val="auto"/>
          <w:szCs w:val="21"/>
          <w:highlight w:val="none"/>
          <w:lang w:val="en-US" w:eastAsia="zh-CN"/>
        </w:rPr>
        <w:t>及以上</w:t>
      </w:r>
      <w:r>
        <w:rPr>
          <w:rFonts w:hint="eastAsia" w:ascii="宋体" w:hAnsi="宋体"/>
          <w:color w:val="auto"/>
          <w:szCs w:val="21"/>
          <w:highlight w:val="none"/>
        </w:rPr>
        <w:t>资质</w:t>
      </w:r>
      <w:r>
        <w:rPr>
          <w:rFonts w:hint="default" w:ascii="Times New Roman" w:hAnsi="Times New Roman" w:eastAsia="宋体" w:cs="Times New Roman"/>
          <w:bCs/>
          <w:color w:val="auto"/>
          <w:szCs w:val="21"/>
          <w:highlight w:val="none"/>
        </w:rPr>
        <w:t>；联合体成员方须具备独立法人资格，并具有</w:t>
      </w:r>
      <w:r>
        <w:rPr>
          <w:rFonts w:hint="eastAsia" w:ascii="宋体" w:hAnsi="宋体" w:eastAsia="宋体" w:cs="Times New Roman"/>
          <w:color w:val="auto"/>
          <w:szCs w:val="21"/>
          <w:highlight w:val="none"/>
          <w:lang w:val="en-US" w:eastAsia="zh-CN"/>
        </w:rPr>
        <w:t>省级交通运输主管部门颁发的</w:t>
      </w:r>
      <w:r>
        <w:rPr>
          <w:rFonts w:hint="eastAsia" w:ascii="宋体" w:hAnsi="宋体"/>
          <w:color w:val="auto"/>
          <w:szCs w:val="21"/>
          <w:highlight w:val="none"/>
        </w:rPr>
        <w:t>隧道养护甲级资质</w:t>
      </w:r>
      <w:r>
        <w:rPr>
          <w:rFonts w:hint="eastAsia" w:ascii="宋体" w:hAnsi="宋体"/>
          <w:color w:val="auto"/>
          <w:szCs w:val="21"/>
          <w:highlight w:val="none"/>
          <w:lang w:val="en-US" w:eastAsia="zh-CN"/>
        </w:rPr>
        <w:t>或</w:t>
      </w:r>
      <w:r>
        <w:rPr>
          <w:rFonts w:hint="eastAsia" w:ascii="宋体" w:hAnsi="宋体" w:eastAsia="宋体"/>
          <w:color w:val="auto"/>
          <w:szCs w:val="21"/>
          <w:highlight w:val="none"/>
          <w:lang w:val="en-US" w:eastAsia="zh-CN"/>
        </w:rPr>
        <w:t>路基路面养护甲级资质</w:t>
      </w:r>
      <w:r>
        <w:rPr>
          <w:rFonts w:hint="default" w:ascii="Times New Roman" w:hAnsi="Times New Roman" w:eastAsia="宋体" w:cs="Times New Roman"/>
          <w:bCs/>
          <w:color w:val="auto"/>
          <w:szCs w:val="21"/>
          <w:highlight w:val="none"/>
        </w:rPr>
        <w:t>。</w:t>
      </w:r>
    </w:p>
    <w:p w14:paraId="2ECA778E">
      <w:pPr>
        <w:keepNext w:val="0"/>
        <w:keepLines w:val="0"/>
        <w:pageBreakBefore w:val="0"/>
        <w:widowControl w:val="0"/>
        <w:kinsoku/>
        <w:wordWrap/>
        <w:overflowPunct/>
        <w:topLinePunct w:val="0"/>
        <w:autoSpaceDE/>
        <w:autoSpaceDN/>
        <w:bidi w:val="0"/>
        <w:adjustRightInd/>
        <w:snapToGrid w:val="0"/>
        <w:spacing w:line="288" w:lineRule="auto"/>
        <w:ind w:firstLine="420" w:firstLineChars="200"/>
        <w:jc w:val="left"/>
        <w:textAlignment w:val="auto"/>
        <w:rPr>
          <w:rFonts w:hint="eastAsia" w:ascii="Times New Roman" w:hAnsi="Times New Roman" w:eastAsia="宋体" w:cs="Times New Roman"/>
          <w:bCs/>
          <w:color w:val="auto"/>
          <w:szCs w:val="21"/>
          <w:highlight w:val="none"/>
          <w:lang w:eastAsia="zh-CN"/>
        </w:rPr>
      </w:pPr>
      <w:r>
        <w:rPr>
          <w:rFonts w:hint="default" w:ascii="Times New Roman" w:hAnsi="Times New Roman" w:eastAsia="宋体" w:cs="Times New Roman"/>
          <w:color w:val="auto"/>
          <w:szCs w:val="21"/>
          <w:highlight w:val="none"/>
        </w:rPr>
        <w:t>（2）</w:t>
      </w:r>
      <w:r>
        <w:rPr>
          <w:rFonts w:hint="default" w:ascii="Times New Roman" w:hAnsi="Times New Roman" w:eastAsia="宋体" w:cs="Times New Roman"/>
          <w:bCs/>
          <w:color w:val="auto"/>
          <w:szCs w:val="21"/>
          <w:highlight w:val="none"/>
        </w:rPr>
        <w:t>联合体各方不得再单独参加或者与其他投标人另外组成联合体参加本次投标活动</w:t>
      </w:r>
      <w:r>
        <w:rPr>
          <w:rFonts w:hint="eastAsia" w:ascii="Times New Roman" w:hAnsi="Times New Roman" w:eastAsia="宋体" w:cs="Times New Roman"/>
          <w:bCs/>
          <w:color w:val="auto"/>
          <w:szCs w:val="21"/>
          <w:highlight w:val="none"/>
          <w:lang w:eastAsia="zh-CN"/>
        </w:rPr>
        <w:t>。</w:t>
      </w:r>
    </w:p>
    <w:p w14:paraId="00F2F7A6">
      <w:pPr>
        <w:keepNext w:val="0"/>
        <w:keepLines w:val="0"/>
        <w:pageBreakBefore w:val="0"/>
        <w:widowControl w:val="0"/>
        <w:kinsoku/>
        <w:wordWrap/>
        <w:overflowPunct/>
        <w:topLinePunct w:val="0"/>
        <w:autoSpaceDE/>
        <w:autoSpaceDN/>
        <w:bidi w:val="0"/>
        <w:adjustRightInd/>
        <w:snapToGrid w:val="0"/>
        <w:spacing w:line="288" w:lineRule="auto"/>
        <w:ind w:firstLine="420" w:firstLineChars="200"/>
        <w:jc w:val="left"/>
        <w:textAlignment w:val="auto"/>
        <w:rPr>
          <w:rFonts w:hint="default" w:ascii="Times New Roman" w:hAnsi="Times New Roman" w:eastAsia="宋体" w:cs="Times New Roman"/>
          <w:bCs/>
          <w:color w:val="auto"/>
          <w:szCs w:val="21"/>
          <w:highlight w:val="none"/>
        </w:rPr>
      </w:pPr>
      <w:r>
        <w:rPr>
          <w:rFonts w:hint="default" w:ascii="Times New Roman" w:hAnsi="Times New Roman" w:eastAsia="宋体" w:cs="Times New Roman"/>
          <w:color w:val="auto"/>
          <w:szCs w:val="21"/>
          <w:highlight w:val="none"/>
        </w:rPr>
        <w:t>（3）</w:t>
      </w:r>
      <w:r>
        <w:rPr>
          <w:rFonts w:hint="default" w:ascii="Times New Roman" w:hAnsi="Times New Roman" w:eastAsia="宋体" w:cs="Times New Roman"/>
          <w:bCs/>
          <w:color w:val="auto"/>
          <w:szCs w:val="21"/>
          <w:highlight w:val="none"/>
        </w:rPr>
        <w:t>联合体应提交联合体协议并注明牵头人及各方拟承担的工作和责任，并承诺一旦中标，联合体各方将向发包人承担连带责任。</w:t>
      </w:r>
    </w:p>
    <w:p w14:paraId="0D241856">
      <w:pPr>
        <w:keepNext w:val="0"/>
        <w:keepLines w:val="0"/>
        <w:pageBreakBefore w:val="0"/>
        <w:widowControl w:val="0"/>
        <w:kinsoku/>
        <w:wordWrap/>
        <w:overflowPunct/>
        <w:topLinePunct w:val="0"/>
        <w:autoSpaceDE/>
        <w:autoSpaceDN/>
        <w:bidi w:val="0"/>
        <w:adjustRightInd/>
        <w:snapToGrid w:val="0"/>
        <w:spacing w:line="288" w:lineRule="auto"/>
        <w:ind w:firstLine="420" w:firstLineChars="200"/>
        <w:jc w:val="left"/>
        <w:textAlignment w:val="auto"/>
        <w:rPr>
          <w:rFonts w:hint="eastAsia" w:ascii="Times New Roman" w:hAnsi="Times New Roman" w:eastAsia="宋体" w:cs="Times New Roman"/>
          <w:color w:val="auto"/>
          <w:szCs w:val="21"/>
          <w:highlight w:val="none"/>
        </w:rPr>
      </w:pPr>
      <w:r>
        <w:rPr>
          <w:rFonts w:hint="eastAsia" w:ascii="宋体" w:hAnsi="宋体" w:eastAsia="Times New Roman" w:cs="Times New Roman"/>
          <w:color w:val="auto"/>
          <w:kern w:val="2"/>
          <w:sz w:val="21"/>
          <w:szCs w:val="21"/>
          <w:highlight w:val="none"/>
          <w:lang w:val="en-US" w:eastAsia="zh-CN" w:bidi="ar-SA"/>
        </w:rPr>
        <w:t xml:space="preserve">3.3 </w:t>
      </w:r>
      <w:r>
        <w:rPr>
          <w:rFonts w:hint="eastAsia" w:ascii="Times New Roman" w:hAnsi="Times New Roman" w:eastAsia="宋体" w:cs="Times New Roman"/>
          <w:color w:val="auto"/>
          <w:szCs w:val="21"/>
          <w:highlight w:val="none"/>
        </w:rPr>
        <w:t>与招标人存在利害关系可能影响招标公正性的法人、其他组织或者个人，不得参加投标。单位负责人为同一人或者存在控股（含</w:t>
      </w:r>
      <w:r>
        <w:rPr>
          <w:rFonts w:hint="default" w:ascii="Times New Roman" w:hAnsi="Times New Roman" w:eastAsia="宋体" w:cs="Times New Roman"/>
          <w:color w:val="auto"/>
          <w:szCs w:val="21"/>
          <w:highlight w:val="none"/>
        </w:rPr>
        <w:t>法定代表人控</w:t>
      </w:r>
      <w:r>
        <w:rPr>
          <w:rFonts w:hint="eastAsia" w:ascii="Times New Roman" w:hAnsi="Times New Roman" w:eastAsia="宋体" w:cs="Times New Roman"/>
          <w:color w:val="auto"/>
          <w:szCs w:val="21"/>
          <w:highlight w:val="none"/>
        </w:rPr>
        <w:t>股</w:t>
      </w:r>
      <w:r>
        <w:rPr>
          <w:rFonts w:hint="default" w:ascii="Times New Roman" w:hAnsi="Times New Roman" w:eastAsia="宋体" w:cs="Times New Roman"/>
          <w:color w:val="auto"/>
          <w:szCs w:val="21"/>
          <w:highlight w:val="none"/>
        </w:rPr>
        <w:t>）</w:t>
      </w:r>
      <w:r>
        <w:rPr>
          <w:rFonts w:hint="eastAsia" w:ascii="Times New Roman" w:hAnsi="Times New Roman" w:eastAsia="宋体" w:cs="Times New Roman"/>
          <w:color w:val="auto"/>
          <w:szCs w:val="21"/>
          <w:highlight w:val="none"/>
        </w:rPr>
        <w:t>、管理关系的不同单位，不得参加同一标段的投标</w:t>
      </w:r>
      <w:r>
        <w:rPr>
          <w:rFonts w:hint="eastAsia" w:ascii="Times New Roman" w:hAnsi="Times New Roman" w:eastAsia="宋体" w:cs="Times New Roman"/>
          <w:color w:val="auto"/>
          <w:szCs w:val="21"/>
          <w:highlight w:val="none"/>
          <w:lang w:eastAsia="zh-CN"/>
        </w:rPr>
        <w:t>，</w:t>
      </w:r>
      <w:r>
        <w:rPr>
          <w:rFonts w:hint="eastAsia" w:ascii="Times New Roman" w:hAnsi="Times New Roman" w:eastAsia="宋体" w:cs="Times New Roman"/>
          <w:color w:val="auto"/>
          <w:szCs w:val="21"/>
          <w:highlight w:val="none"/>
          <w:lang w:val="en-US" w:eastAsia="zh-CN"/>
        </w:rPr>
        <w:t>否则均按否决投标处理</w:t>
      </w:r>
      <w:r>
        <w:rPr>
          <w:rFonts w:hint="eastAsia" w:ascii="Times New Roman" w:hAnsi="Times New Roman" w:eastAsia="宋体" w:cs="Times New Roman"/>
          <w:color w:val="auto"/>
          <w:szCs w:val="21"/>
          <w:highlight w:val="none"/>
        </w:rPr>
        <w:t>。</w:t>
      </w:r>
      <w:bookmarkStart w:id="18" w:name="EBe2eabff9c8f749f1b2c58ff9d68ff356"/>
    </w:p>
    <w:bookmarkEnd w:id="18"/>
    <w:p w14:paraId="22078349">
      <w:pPr>
        <w:keepNext w:val="0"/>
        <w:keepLines w:val="0"/>
        <w:pageBreakBefore w:val="0"/>
        <w:widowControl w:val="0"/>
        <w:kinsoku/>
        <w:wordWrap/>
        <w:overflowPunct/>
        <w:topLinePunct w:val="0"/>
        <w:autoSpaceDE/>
        <w:autoSpaceDN/>
        <w:bidi w:val="0"/>
        <w:adjustRightInd/>
        <w:snapToGrid w:val="0"/>
        <w:spacing w:line="288" w:lineRule="auto"/>
        <w:ind w:firstLine="420" w:firstLineChars="200"/>
        <w:jc w:val="left"/>
        <w:textAlignment w:val="auto"/>
        <w:rPr>
          <w:rFonts w:hint="eastAsia" w:ascii="Times New Roman" w:hAnsi="Times New Roman" w:eastAsia="宋体" w:cs="Times New Roman"/>
          <w:color w:val="auto"/>
          <w:szCs w:val="21"/>
          <w:highlight w:val="none"/>
          <w:lang w:val="en-US" w:eastAsia="zh-CN"/>
        </w:rPr>
      </w:pPr>
      <w:r>
        <w:rPr>
          <w:rFonts w:hint="eastAsia" w:ascii="宋体" w:hAnsi="宋体" w:eastAsia="Times New Roman" w:cs="Times New Roman"/>
          <w:color w:val="auto"/>
          <w:kern w:val="2"/>
          <w:sz w:val="21"/>
          <w:szCs w:val="21"/>
          <w:highlight w:val="none"/>
          <w:lang w:val="en-US" w:eastAsia="zh-CN" w:bidi="ar-SA"/>
        </w:rPr>
        <w:t>3.4</w:t>
      </w:r>
      <w:r>
        <w:rPr>
          <w:rFonts w:hint="eastAsia" w:ascii="Times New Roman" w:hAnsi="Times New Roman" w:eastAsia="宋体" w:cs="Times New Roman"/>
          <w:color w:val="auto"/>
          <w:szCs w:val="21"/>
          <w:highlight w:val="none"/>
          <w:lang w:val="en-US" w:eastAsia="zh-CN"/>
        </w:rPr>
        <w:t xml:space="preserve"> 在“信用中国”网站（http://www.creditchina.gov.cn）中被列入失信被执行人名单的投标人以及在国家企业信用信息公示系统（http://www.gsxt.gov.cn）中被列入严重违法失信企业名单的投标人，不得参加投标。</w:t>
      </w:r>
    </w:p>
    <w:p w14:paraId="18B4781C">
      <w:pPr>
        <w:pStyle w:val="37"/>
        <w:keepNext w:val="0"/>
        <w:keepLines w:val="0"/>
        <w:pageBreakBefore w:val="0"/>
        <w:widowControl w:val="0"/>
        <w:kinsoku/>
        <w:wordWrap/>
        <w:overflowPunct/>
        <w:topLinePunct w:val="0"/>
        <w:autoSpaceDE/>
        <w:autoSpaceDN/>
        <w:bidi w:val="0"/>
        <w:adjustRightInd/>
        <w:spacing w:line="288" w:lineRule="auto"/>
        <w:textAlignment w:val="auto"/>
        <w:rPr>
          <w:rFonts w:hint="eastAsia" w:ascii="宋体" w:hAnsi="宋体" w:eastAsia="宋体" w:cs="宋体"/>
          <w:color w:val="auto"/>
          <w:sz w:val="21"/>
          <w:szCs w:val="21"/>
          <w:highlight w:val="none"/>
          <w:u w:val="none"/>
          <w:lang w:val="en-US"/>
        </w:rPr>
      </w:pPr>
      <w:r>
        <w:rPr>
          <w:rFonts w:hint="eastAsia" w:ascii="宋体" w:hAnsi="宋体" w:eastAsia="宋体" w:cs="宋体"/>
          <w:color w:val="auto"/>
          <w:sz w:val="21"/>
          <w:szCs w:val="21"/>
          <w:highlight w:val="none"/>
          <w:lang w:val="en-US" w:eastAsia="zh-CN"/>
        </w:rPr>
        <w:t>3.5 其他要求：</w:t>
      </w:r>
      <w:r>
        <w:rPr>
          <w:rFonts w:hint="eastAsia" w:ascii="宋体" w:hAnsi="宋体" w:eastAsia="宋体" w:cs="宋体"/>
          <w:color w:val="auto"/>
          <w:sz w:val="21"/>
          <w:szCs w:val="21"/>
          <w:highlight w:val="none"/>
          <w:u w:val="single"/>
          <w:lang w:val="en-US" w:eastAsia="zh-CN"/>
        </w:rPr>
        <w:t xml:space="preserve">  无  </w:t>
      </w:r>
      <w:r>
        <w:rPr>
          <w:rFonts w:hint="eastAsia" w:ascii="宋体" w:hAnsi="宋体" w:eastAsia="宋体" w:cs="宋体"/>
          <w:color w:val="auto"/>
          <w:sz w:val="21"/>
          <w:szCs w:val="21"/>
          <w:highlight w:val="none"/>
          <w:u w:val="none"/>
          <w:lang w:val="en-US" w:eastAsia="zh-CN"/>
        </w:rPr>
        <w:t>。</w:t>
      </w:r>
    </w:p>
    <w:p w14:paraId="3BEB2F69">
      <w:pPr>
        <w:pStyle w:val="42"/>
        <w:pageBreakBefore w:val="0"/>
        <w:kinsoku/>
        <w:overflowPunct/>
        <w:topLinePunct w:val="0"/>
        <w:autoSpaceDE/>
        <w:autoSpaceDN/>
        <w:bidi w:val="0"/>
        <w:spacing w:line="288" w:lineRule="auto"/>
        <w:textAlignment w:val="auto"/>
        <w:rPr>
          <w:rFonts w:hint="eastAsia" w:ascii="宋体" w:hAnsi="宋体"/>
          <w:color w:val="auto"/>
          <w:szCs w:val="24"/>
          <w:highlight w:val="none"/>
        </w:rPr>
      </w:pPr>
      <w:bookmarkStart w:id="19" w:name="_Toc23766"/>
      <w:bookmarkStart w:id="20" w:name="_Toc483514731"/>
      <w:bookmarkStart w:id="21" w:name="_Toc19207"/>
      <w:bookmarkStart w:id="22" w:name="_Toc483513548"/>
      <w:bookmarkStart w:id="23" w:name="_Toc481859831"/>
      <w:bookmarkStart w:id="24" w:name="_Toc18963"/>
      <w:bookmarkStart w:id="25" w:name="_Toc5233"/>
      <w:bookmarkStart w:id="26" w:name="_Toc20129"/>
      <w:bookmarkStart w:id="27" w:name="_Toc1753"/>
      <w:bookmarkStart w:id="28" w:name="_Toc30012"/>
      <w:bookmarkStart w:id="29" w:name="_Toc9647"/>
      <w:bookmarkStart w:id="30" w:name="_Toc495334542"/>
      <w:bookmarkStart w:id="31" w:name="_Toc495680696"/>
      <w:r>
        <w:rPr>
          <w:rFonts w:hint="eastAsia" w:ascii="宋体" w:hAnsi="宋体"/>
          <w:color w:val="auto"/>
          <w:szCs w:val="24"/>
          <w:highlight w:val="none"/>
        </w:rPr>
        <w:t>4</w:t>
      </w:r>
      <w:bookmarkEnd w:id="19"/>
      <w:bookmarkEnd w:id="20"/>
      <w:bookmarkEnd w:id="21"/>
      <w:bookmarkEnd w:id="22"/>
      <w:bookmarkEnd w:id="23"/>
      <w:bookmarkStart w:id="32" w:name="_Toc483514732"/>
      <w:bookmarkStart w:id="33" w:name="_Toc483513549"/>
      <w:bookmarkStart w:id="34" w:name="_Toc481859833"/>
      <w:bookmarkStart w:id="35" w:name="_Toc19282"/>
      <w:bookmarkStart w:id="36" w:name="_Toc12002"/>
      <w:r>
        <w:rPr>
          <w:rFonts w:hint="eastAsia" w:ascii="宋体" w:hAnsi="宋体"/>
          <w:color w:val="auto"/>
          <w:szCs w:val="24"/>
          <w:highlight w:val="none"/>
        </w:rPr>
        <w:t>. 招标文件的获取</w:t>
      </w:r>
      <w:bookmarkEnd w:id="24"/>
      <w:bookmarkEnd w:id="25"/>
      <w:bookmarkEnd w:id="26"/>
      <w:bookmarkEnd w:id="27"/>
      <w:bookmarkEnd w:id="28"/>
      <w:bookmarkEnd w:id="29"/>
      <w:bookmarkEnd w:id="30"/>
      <w:bookmarkEnd w:id="31"/>
      <w:bookmarkEnd w:id="32"/>
      <w:bookmarkEnd w:id="33"/>
      <w:bookmarkEnd w:id="34"/>
      <w:bookmarkEnd w:id="35"/>
      <w:bookmarkEnd w:id="36"/>
    </w:p>
    <w:p w14:paraId="17AB72DD">
      <w:pPr>
        <w:pStyle w:val="9"/>
        <w:keepNext w:val="0"/>
        <w:keepLines w:val="0"/>
        <w:pageBreakBefore w:val="0"/>
        <w:widowControl w:val="0"/>
        <w:kinsoku/>
        <w:wordWrap w:val="0"/>
        <w:overflowPunct/>
        <w:topLinePunct w:val="0"/>
        <w:autoSpaceDE/>
        <w:autoSpaceDN/>
        <w:bidi w:val="0"/>
        <w:adjustRightInd/>
        <w:snapToGrid/>
        <w:spacing w:line="288" w:lineRule="auto"/>
        <w:ind w:firstLine="420" w:firstLineChars="200"/>
        <w:textAlignment w:val="auto"/>
        <w:rPr>
          <w:rFonts w:ascii="宋体" w:hAnsi="宋体"/>
          <w:color w:val="auto"/>
          <w:szCs w:val="21"/>
          <w:highlight w:val="none"/>
        </w:rPr>
      </w:pPr>
      <w:bookmarkStart w:id="37" w:name="_Toc11254"/>
      <w:bookmarkStart w:id="38" w:name="_Toc495334543"/>
      <w:bookmarkStart w:id="39" w:name="_Toc483513550"/>
      <w:bookmarkStart w:id="40" w:name="_Toc495680697"/>
      <w:bookmarkStart w:id="41" w:name="_Toc30412"/>
      <w:bookmarkStart w:id="42" w:name="_Toc29751"/>
      <w:bookmarkStart w:id="43" w:name="_Toc28094"/>
      <w:bookmarkStart w:id="44" w:name="_Toc227"/>
      <w:bookmarkStart w:id="45" w:name="_Toc19938"/>
      <w:bookmarkStart w:id="46" w:name="_Toc481859834"/>
      <w:bookmarkStart w:id="47" w:name="_Toc30361"/>
      <w:bookmarkStart w:id="48" w:name="_Toc483514733"/>
      <w:bookmarkStart w:id="49" w:name="_Hlk18243393"/>
      <w:r>
        <w:rPr>
          <w:rFonts w:ascii="宋体" w:hAnsi="宋体"/>
          <w:color w:val="auto"/>
          <w:szCs w:val="21"/>
          <w:highlight w:val="none"/>
        </w:rPr>
        <w:t>4.1</w:t>
      </w:r>
      <w:r>
        <w:rPr>
          <w:rFonts w:hint="eastAsia" w:ascii="宋体" w:hAnsi="宋体"/>
          <w:color w:val="auto"/>
          <w:szCs w:val="21"/>
          <w:highlight w:val="none"/>
        </w:rPr>
        <w:t>本项目招标文件和补充（答疑、澄清）</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修改</w:t>
      </w:r>
      <w:r>
        <w:rPr>
          <w:rFonts w:hint="eastAsia" w:ascii="宋体" w:hAnsi="宋体"/>
          <w:color w:val="auto"/>
          <w:szCs w:val="21"/>
          <w:highlight w:val="none"/>
        </w:rPr>
        <w:t>文件以网上下载方式发放。</w:t>
      </w:r>
    </w:p>
    <w:p w14:paraId="28C9AF25">
      <w:pPr>
        <w:pStyle w:val="9"/>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color w:val="auto"/>
          <w:szCs w:val="21"/>
          <w:highlight w:val="none"/>
        </w:rPr>
      </w:pPr>
      <w:r>
        <w:rPr>
          <w:rFonts w:ascii="宋体" w:hAnsi="宋体"/>
          <w:color w:val="auto"/>
          <w:szCs w:val="21"/>
          <w:highlight w:val="none"/>
        </w:rPr>
        <w:t>4.2</w:t>
      </w:r>
      <w:r>
        <w:rPr>
          <w:rFonts w:hint="eastAsia" w:ascii="宋体" w:hAnsi="宋体"/>
          <w:color w:val="auto"/>
          <w:szCs w:val="21"/>
          <w:highlight w:val="none"/>
          <w:lang w:val="en-US" w:eastAsia="zh-CN"/>
        </w:rPr>
        <w:t>报名时间、</w:t>
      </w:r>
      <w:r>
        <w:rPr>
          <w:rFonts w:hint="eastAsia" w:ascii="宋体" w:hAnsi="宋体"/>
          <w:color w:val="auto"/>
          <w:szCs w:val="21"/>
          <w:highlight w:val="none"/>
        </w:rPr>
        <w:t>招标文件网上下载时间：</w:t>
      </w:r>
      <w:r>
        <w:rPr>
          <w:rFonts w:hint="eastAsia" w:ascii="宋体" w:hAnsi="宋体"/>
          <w:b/>
          <w:bCs/>
          <w:color w:val="auto"/>
          <w:szCs w:val="21"/>
          <w:highlight w:val="none"/>
          <w:u w:val="single"/>
          <w:lang w:val="en-US" w:eastAsia="zh-CN"/>
        </w:rPr>
        <w:t>自发布公告之时起至投标截止日止</w:t>
      </w:r>
      <w:r>
        <w:rPr>
          <w:rFonts w:hint="eastAsia" w:ascii="宋体" w:hAnsi="宋体"/>
          <w:color w:val="auto"/>
          <w:szCs w:val="21"/>
          <w:highlight w:val="none"/>
        </w:rPr>
        <w:t>。</w:t>
      </w:r>
    </w:p>
    <w:p w14:paraId="3B6F8440">
      <w:pPr>
        <w:keepNext w:val="0"/>
        <w:keepLines w:val="0"/>
        <w:pageBreakBefore w:val="0"/>
        <w:widowControl w:val="0"/>
        <w:kinsoku/>
        <w:wordWrap w:val="0"/>
        <w:overflowPunct/>
        <w:topLinePunct w:val="0"/>
        <w:autoSpaceDE/>
        <w:autoSpaceDN/>
        <w:bidi w:val="0"/>
        <w:adjustRightInd/>
        <w:snapToGrid/>
        <w:spacing w:line="288" w:lineRule="auto"/>
        <w:ind w:firstLine="420" w:firstLineChars="200"/>
        <w:textAlignment w:val="auto"/>
        <w:rPr>
          <w:snapToGrid w:val="0"/>
          <w:color w:val="auto"/>
          <w:highlight w:val="none"/>
        </w:rPr>
      </w:pPr>
      <w:r>
        <w:rPr>
          <w:rFonts w:ascii="宋体" w:hAnsi="宋体"/>
          <w:color w:val="auto"/>
          <w:szCs w:val="21"/>
          <w:highlight w:val="none"/>
        </w:rPr>
        <w:t>4.3</w:t>
      </w:r>
      <w:r>
        <w:rPr>
          <w:rFonts w:hint="eastAsia"/>
          <w:snapToGrid w:val="0"/>
          <w:color w:val="auto"/>
          <w:highlight w:val="none"/>
        </w:rPr>
        <w:t>潜在投标人可凭</w:t>
      </w:r>
      <w:r>
        <w:rPr>
          <w:rFonts w:hint="eastAsia" w:ascii="宋体" w:hAnsi="宋体" w:eastAsia="宋体" w:cs="宋体"/>
          <w:color w:val="auto"/>
          <w:spacing w:val="0"/>
          <w:w w:val="100"/>
          <w:sz w:val="21"/>
          <w:szCs w:val="21"/>
          <w:highlight w:val="none"/>
        </w:rPr>
        <w:t>本企业用 CA 数字证书</w:t>
      </w:r>
      <w:r>
        <w:rPr>
          <w:rFonts w:hint="eastAsia" w:ascii="宋体" w:hAnsi="宋体" w:cs="宋体"/>
          <w:color w:val="auto"/>
          <w:spacing w:val="0"/>
          <w:w w:val="100"/>
          <w:sz w:val="21"/>
          <w:szCs w:val="21"/>
          <w:highlight w:val="none"/>
          <w:lang w:val="en-US" w:eastAsia="zh-CN"/>
        </w:rPr>
        <w:t>登录</w:t>
      </w:r>
      <w:r>
        <w:rPr>
          <w:rFonts w:hint="eastAsia" w:ascii="宋体" w:hAnsi="宋体" w:eastAsia="宋体" w:cs="宋体"/>
          <w:b/>
          <w:bCs/>
          <w:color w:val="auto"/>
          <w:spacing w:val="0"/>
          <w:w w:val="100"/>
          <w:sz w:val="21"/>
          <w:szCs w:val="21"/>
          <w:highlight w:val="none"/>
          <w:u w:val="single"/>
          <w:lang w:eastAsia="zh-CN"/>
        </w:rPr>
        <w:t>“</w:t>
      </w:r>
      <w:r>
        <w:rPr>
          <w:rFonts w:hint="eastAsia" w:ascii="宋体" w:hAnsi="宋体"/>
          <w:b/>
          <w:bCs/>
          <w:color w:val="auto"/>
          <w:szCs w:val="21"/>
          <w:highlight w:val="none"/>
          <w:u w:val="single"/>
        </w:rPr>
        <w:t>绍兴市公共资源交易中心电子招投标交易平台</w:t>
      </w:r>
      <w:r>
        <w:rPr>
          <w:rFonts w:hint="eastAsia" w:ascii="宋体" w:hAnsi="宋体"/>
          <w:b/>
          <w:bCs/>
          <w:color w:val="auto"/>
          <w:szCs w:val="21"/>
          <w:highlight w:val="none"/>
          <w:u w:val="single"/>
          <w:lang w:eastAsia="zh-CN"/>
        </w:rPr>
        <w:t>”（</w:t>
      </w:r>
      <w:r>
        <w:rPr>
          <w:rFonts w:hint="eastAsia" w:ascii="宋体" w:hAnsi="宋体"/>
          <w:b/>
          <w:bCs/>
          <w:color w:val="auto"/>
          <w:szCs w:val="21"/>
          <w:highlight w:val="none"/>
          <w:u w:val="single"/>
          <w:lang w:val="en-US" w:eastAsia="zh-CN"/>
        </w:rPr>
        <w:t>以下简称“电子交易平台”）</w:t>
      </w:r>
      <w:r>
        <w:rPr>
          <w:rFonts w:hint="eastAsia" w:ascii="宋体" w:hAnsi="宋体"/>
          <w:b/>
          <w:bCs/>
          <w:color w:val="auto"/>
          <w:szCs w:val="21"/>
          <w:highlight w:val="none"/>
          <w:u w:val="single"/>
        </w:rPr>
        <w:t>（</w:t>
      </w:r>
      <w:r>
        <w:rPr>
          <w:rFonts w:hint="eastAsia" w:ascii="宋体" w:hAnsi="宋体"/>
          <w:b/>
          <w:bCs/>
          <w:color w:val="auto"/>
          <w:szCs w:val="21"/>
          <w:highlight w:val="none"/>
          <w:u w:val="single"/>
          <w:lang w:val="en-US" w:eastAsia="zh-CN"/>
        </w:rPr>
        <w:t>网址：</w:t>
      </w:r>
      <w:r>
        <w:rPr>
          <w:rFonts w:hint="eastAsia" w:ascii="宋体" w:hAnsi="宋体" w:eastAsia="宋体" w:cs="宋体"/>
          <w:b/>
          <w:bCs/>
          <w:color w:val="auto"/>
          <w:spacing w:val="0"/>
          <w:w w:val="100"/>
          <w:sz w:val="21"/>
          <w:szCs w:val="21"/>
          <w:highlight w:val="none"/>
          <w:u w:val="single"/>
          <w:lang w:val="en-US" w:eastAsia="zh-CN"/>
        </w:rPr>
        <w:t>http://220.187.225.202:8088/TPBidder-ztk/memberLogin）</w:t>
      </w:r>
      <w:r>
        <w:rPr>
          <w:rFonts w:hint="eastAsia" w:ascii="宋体" w:hAnsi="宋体" w:eastAsia="宋体" w:cs="宋体"/>
          <w:color w:val="auto"/>
          <w:spacing w:val="0"/>
          <w:w w:val="100"/>
          <w:sz w:val="21"/>
          <w:szCs w:val="21"/>
          <w:highlight w:val="none"/>
          <w:u w:val="none"/>
          <w:lang w:val="en-US" w:eastAsia="zh-CN"/>
        </w:rPr>
        <w:t>下载</w:t>
      </w:r>
      <w:r>
        <w:rPr>
          <w:rFonts w:hint="eastAsia" w:ascii="宋体" w:hAnsi="宋体" w:eastAsia="宋体" w:cs="宋体"/>
          <w:color w:val="auto"/>
          <w:spacing w:val="0"/>
          <w:w w:val="100"/>
          <w:sz w:val="21"/>
          <w:szCs w:val="21"/>
          <w:highlight w:val="none"/>
          <w:lang w:val="en-US" w:eastAsia="zh-CN"/>
        </w:rPr>
        <w:t>电子招标</w:t>
      </w:r>
      <w:r>
        <w:rPr>
          <w:rFonts w:hint="eastAsia" w:ascii="宋体" w:hAnsi="宋体" w:eastAsia="宋体" w:cs="宋体"/>
          <w:color w:val="auto"/>
          <w:spacing w:val="0"/>
          <w:w w:val="100"/>
          <w:sz w:val="21"/>
          <w:szCs w:val="21"/>
          <w:highlight w:val="none"/>
        </w:rPr>
        <w:t>文件</w:t>
      </w:r>
      <w:r>
        <w:rPr>
          <w:rFonts w:hint="eastAsia"/>
          <w:color w:val="auto"/>
          <w:szCs w:val="21"/>
          <w:highlight w:val="none"/>
        </w:rPr>
        <w:t>。</w:t>
      </w:r>
      <w:r>
        <w:rPr>
          <w:rFonts w:hint="eastAsia"/>
          <w:color w:val="auto"/>
          <w:szCs w:val="21"/>
          <w:highlight w:val="none"/>
          <w:lang w:val="en-US" w:eastAsia="zh-CN"/>
        </w:rPr>
        <w:t>本项目招标文</w:t>
      </w:r>
      <w:r>
        <w:rPr>
          <w:rFonts w:hint="eastAsia"/>
          <w:color w:val="auto"/>
          <w:szCs w:val="21"/>
          <w:highlight w:val="none"/>
        </w:rPr>
        <w:t>件（含图纸）和补充文件（答疑、</w:t>
      </w:r>
      <w:r>
        <w:rPr>
          <w:rFonts w:hint="eastAsia" w:ascii="宋体" w:hAnsi="宋体" w:eastAsia="宋体" w:cs="宋体"/>
          <w:color w:val="auto"/>
          <w:szCs w:val="21"/>
          <w:highlight w:val="none"/>
        </w:rPr>
        <w:t>澄清）、修改文件均以网上下载方式发放。请各潜在投标人使用CA锁登录绍兴市公共资源交易中心电子招投标交易平台（http://220.187.225.202:8088/TPBidder-ztk/memberLogin）获取。本招标公告附</w:t>
      </w:r>
      <w:r>
        <w:rPr>
          <w:rFonts w:hint="eastAsia"/>
          <w:color w:val="auto"/>
          <w:szCs w:val="21"/>
          <w:highlight w:val="none"/>
        </w:rPr>
        <w:t>件文档仅作查看，未使用CA锁登录并获取招标文件的投标将被拒绝（首次参与的潜在投标人可自行注册登记并领取CA锁）。</w:t>
      </w:r>
    </w:p>
    <w:p w14:paraId="0B4A26C2">
      <w:pPr>
        <w:pStyle w:val="9"/>
        <w:keepNext w:val="0"/>
        <w:keepLines w:val="0"/>
        <w:pageBreakBefore w:val="0"/>
        <w:widowControl w:val="0"/>
        <w:kinsoku/>
        <w:wordWrap w:val="0"/>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4.4未取得绍兴市公共资源交易中心CA数字证书的潜在投标人，应先办理交易主体注册手续。具体登记办法请登录“电子交易平台”—“工程建设数字化招标”—“统一数字招标系统”栏目进行操作。</w:t>
      </w:r>
    </w:p>
    <w:p w14:paraId="09DB8549">
      <w:pPr>
        <w:pStyle w:val="9"/>
        <w:keepNext w:val="0"/>
        <w:keepLines w:val="0"/>
        <w:pageBreakBefore w:val="0"/>
        <w:widowControl w:val="0"/>
        <w:kinsoku/>
        <w:wordWrap w:val="0"/>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4.5 潜在投标人对招标文件有疑问的，通过</w:t>
      </w:r>
      <w:r>
        <w:rPr>
          <w:rFonts w:hint="eastAsia" w:ascii="宋体" w:hAnsi="宋体" w:eastAsia="宋体" w:cs="宋体"/>
          <w:color w:val="auto"/>
          <w:sz w:val="21"/>
          <w:szCs w:val="21"/>
          <w:highlight w:val="none"/>
          <w:lang w:val="en-US" w:eastAsia="zh-CN"/>
        </w:rPr>
        <w:t>发送提疑函至电子邮箱（详见投标人须知前附表）</w:t>
      </w:r>
      <w:r>
        <w:rPr>
          <w:rFonts w:hint="eastAsia" w:ascii="宋体" w:hAnsi="宋体" w:eastAsia="宋体" w:cs="宋体"/>
          <w:color w:val="auto"/>
          <w:sz w:val="21"/>
          <w:szCs w:val="21"/>
          <w:highlight w:val="none"/>
        </w:rPr>
        <w:t>。招标人将在网上发布补遗书</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如有）</w:t>
      </w:r>
      <w:r>
        <w:rPr>
          <w:rFonts w:hint="eastAsia" w:ascii="宋体" w:hAnsi="宋体" w:eastAsia="宋体" w:cs="宋体"/>
          <w:color w:val="auto"/>
          <w:sz w:val="21"/>
          <w:szCs w:val="21"/>
          <w:highlight w:val="none"/>
        </w:rPr>
        <w:t>。潜在投标人应自行关注网站公告，招标人不再一一通知。投标人因自身贻误行为导致投标失败的，责任自负。</w:t>
      </w:r>
    </w:p>
    <w:p w14:paraId="4019C372">
      <w:pPr>
        <w:pStyle w:val="42"/>
        <w:pageBreakBefore w:val="0"/>
        <w:kinsoku/>
        <w:overflowPunct/>
        <w:topLinePunct w:val="0"/>
        <w:autoSpaceDE/>
        <w:autoSpaceDN/>
        <w:bidi w:val="0"/>
        <w:spacing w:line="288" w:lineRule="auto"/>
        <w:textAlignment w:val="auto"/>
        <w:rPr>
          <w:rFonts w:hint="default" w:ascii="宋体" w:hAnsi="宋体" w:eastAsia="宋体"/>
          <w:color w:val="auto"/>
          <w:szCs w:val="24"/>
          <w:highlight w:val="none"/>
          <w:lang w:val="en-US" w:eastAsia="zh-CN"/>
        </w:rPr>
      </w:pPr>
      <w:bookmarkStart w:id="50" w:name="_Toc9631"/>
      <w:r>
        <w:rPr>
          <w:rFonts w:hint="eastAsia" w:ascii="宋体" w:hAnsi="宋体"/>
          <w:color w:val="auto"/>
          <w:szCs w:val="24"/>
          <w:highlight w:val="none"/>
        </w:rPr>
        <w:t xml:space="preserve">5. </w:t>
      </w:r>
      <w:bookmarkEnd w:id="37"/>
      <w:bookmarkEnd w:id="38"/>
      <w:bookmarkEnd w:id="39"/>
      <w:bookmarkEnd w:id="40"/>
      <w:bookmarkEnd w:id="41"/>
      <w:bookmarkEnd w:id="42"/>
      <w:bookmarkEnd w:id="43"/>
      <w:bookmarkEnd w:id="44"/>
      <w:bookmarkEnd w:id="45"/>
      <w:bookmarkEnd w:id="46"/>
      <w:bookmarkEnd w:id="47"/>
      <w:bookmarkEnd w:id="48"/>
      <w:r>
        <w:rPr>
          <w:rFonts w:hint="eastAsia" w:ascii="宋体" w:hAnsi="宋体"/>
          <w:color w:val="auto"/>
          <w:szCs w:val="24"/>
          <w:highlight w:val="none"/>
        </w:rPr>
        <w:t>投标文件的递交</w:t>
      </w:r>
      <w:r>
        <w:rPr>
          <w:rFonts w:hint="eastAsia" w:ascii="宋体" w:hAnsi="宋体" w:eastAsia="宋体"/>
          <w:color w:val="auto"/>
          <w:szCs w:val="24"/>
          <w:highlight w:val="none"/>
          <w:lang w:val="en-US" w:eastAsia="zh-CN"/>
        </w:rPr>
        <w:t>及相关事宜</w:t>
      </w:r>
      <w:bookmarkEnd w:id="50"/>
    </w:p>
    <w:bookmarkEnd w:id="49"/>
    <w:p w14:paraId="3F9A2354">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5.1 招标人不组织工程现场踏勘，不召开投标预备会。</w:t>
      </w:r>
    </w:p>
    <w:p w14:paraId="5B0E6391">
      <w:pPr>
        <w:pStyle w:val="9"/>
        <w:keepNext w:val="0"/>
        <w:keepLines w:val="0"/>
        <w:pageBreakBefore w:val="0"/>
        <w:widowControl w:val="0"/>
        <w:kinsoku/>
        <w:wordWrap w:val="0"/>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电子投标文件采用网上递交的方式，上传至绍兴市统一数字招标系统，超过投标截止时间未完成上传的投标文件，交易平台将拒收。</w:t>
      </w:r>
    </w:p>
    <w:p w14:paraId="1EAADFAE">
      <w:pPr>
        <w:pStyle w:val="9"/>
        <w:keepNext w:val="0"/>
        <w:keepLines w:val="0"/>
        <w:pageBreakBefore w:val="0"/>
        <w:widowControl w:val="0"/>
        <w:kinsoku/>
        <w:wordWrap w:val="0"/>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5.3</w:t>
      </w:r>
      <w:r>
        <w:rPr>
          <w:rFonts w:hint="eastAsia" w:ascii="宋体" w:hAnsi="宋体" w:eastAsia="宋体" w:cs="宋体"/>
          <w:color w:val="auto"/>
          <w:sz w:val="21"/>
          <w:szCs w:val="21"/>
          <w:highlight w:val="none"/>
        </w:rPr>
        <w:t>本项目</w:t>
      </w:r>
      <w:r>
        <w:rPr>
          <w:rFonts w:hint="eastAsia" w:ascii="宋体" w:hAnsi="宋体" w:eastAsia="宋体" w:cs="宋体"/>
          <w:color w:val="auto"/>
          <w:sz w:val="21"/>
          <w:szCs w:val="21"/>
          <w:highlight w:val="none"/>
          <w:lang w:val="en-US" w:eastAsia="zh-CN"/>
        </w:rPr>
        <w:t>投标文件递交的截止时间及</w:t>
      </w:r>
      <w:r>
        <w:rPr>
          <w:rFonts w:hint="eastAsia" w:ascii="宋体" w:hAnsi="宋体" w:eastAsia="宋体" w:cs="宋体"/>
          <w:color w:val="auto"/>
          <w:sz w:val="21"/>
          <w:szCs w:val="21"/>
          <w:highlight w:val="none"/>
        </w:rPr>
        <w:t>开标时间为：</w:t>
      </w:r>
      <w:r>
        <w:rPr>
          <w:rFonts w:hint="eastAsia" w:ascii="宋体" w:hAnsi="宋体" w:eastAsia="宋体" w:cs="宋体"/>
          <w:b/>
          <w:bCs/>
          <w:color w:val="auto"/>
          <w:sz w:val="21"/>
          <w:szCs w:val="21"/>
          <w:highlight w:val="none"/>
          <w:u w:val="single"/>
          <w:lang w:val="en-US" w:eastAsia="zh-CN"/>
        </w:rPr>
        <w:t>2026</w:t>
      </w:r>
      <w:r>
        <w:rPr>
          <w:rFonts w:hint="eastAsia" w:ascii="宋体" w:hAnsi="宋体" w:eastAsia="宋体" w:cs="宋体"/>
          <w:b/>
          <w:bCs/>
          <w:color w:val="auto"/>
          <w:sz w:val="21"/>
          <w:szCs w:val="21"/>
          <w:highlight w:val="none"/>
          <w:u w:val="none"/>
          <w:lang w:val="en-US" w:eastAsia="zh-CN"/>
        </w:rPr>
        <w:t>年</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none"/>
          <w:lang w:val="en-US" w:eastAsia="zh-CN"/>
        </w:rPr>
        <w:t>月</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none"/>
          <w:lang w:val="en-US" w:eastAsia="zh-CN"/>
        </w:rPr>
        <w:t>日</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none"/>
          <w:lang w:val="en-US" w:eastAsia="zh-CN"/>
        </w:rPr>
        <w:t>时</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none"/>
          <w:lang w:val="en-US" w:eastAsia="zh-CN"/>
        </w:rPr>
        <w:t>分</w:t>
      </w:r>
      <w:r>
        <w:rPr>
          <w:rFonts w:hint="eastAsia" w:ascii="宋体" w:hAnsi="宋体" w:eastAsia="宋体" w:cs="宋体"/>
          <w:color w:val="auto"/>
          <w:sz w:val="21"/>
          <w:szCs w:val="21"/>
          <w:highlight w:val="none"/>
        </w:rPr>
        <w:t>；</w:t>
      </w:r>
    </w:p>
    <w:p w14:paraId="39FC7626">
      <w:pPr>
        <w:pStyle w:val="9"/>
        <w:keepNext w:val="0"/>
        <w:keepLines w:val="0"/>
        <w:pageBreakBefore w:val="0"/>
        <w:widowControl w:val="0"/>
        <w:kinsoku/>
        <w:wordWrap w:val="0"/>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5.4</w:t>
      </w:r>
      <w:r>
        <w:rPr>
          <w:rFonts w:hint="eastAsia" w:ascii="宋体" w:hAnsi="宋体" w:eastAsia="宋体" w:cs="宋体"/>
          <w:color w:val="auto"/>
          <w:sz w:val="21"/>
          <w:szCs w:val="21"/>
          <w:highlight w:val="none"/>
        </w:rPr>
        <w:t>本项目采用不见面开标系统开标，投标人须在本企业电脑上自行解密。</w:t>
      </w:r>
    </w:p>
    <w:p w14:paraId="1462EB95">
      <w:pPr>
        <w:pStyle w:val="42"/>
        <w:pageBreakBefore w:val="0"/>
        <w:kinsoku/>
        <w:overflowPunct/>
        <w:topLinePunct w:val="0"/>
        <w:autoSpaceDE/>
        <w:autoSpaceDN/>
        <w:bidi w:val="0"/>
        <w:spacing w:line="288" w:lineRule="auto"/>
        <w:textAlignment w:val="auto"/>
        <w:rPr>
          <w:rFonts w:hint="eastAsia" w:ascii="宋体" w:hAnsi="宋体"/>
          <w:color w:val="auto"/>
          <w:szCs w:val="24"/>
          <w:highlight w:val="none"/>
        </w:rPr>
      </w:pPr>
      <w:bookmarkStart w:id="51" w:name="_Toc29720"/>
      <w:r>
        <w:rPr>
          <w:rFonts w:hint="eastAsia" w:ascii="宋体" w:hAnsi="宋体"/>
          <w:color w:val="auto"/>
          <w:szCs w:val="24"/>
          <w:highlight w:val="none"/>
        </w:rPr>
        <w:t>6. 发布公告的媒体</w:t>
      </w:r>
      <w:bookmarkEnd w:id="51"/>
    </w:p>
    <w:p w14:paraId="48286A4B">
      <w:pPr>
        <w:pStyle w:val="9"/>
        <w:keepNext w:val="0"/>
        <w:keepLines w:val="0"/>
        <w:pageBreakBefore w:val="0"/>
        <w:widowControl w:val="0"/>
        <w:kinsoku/>
        <w:wordWrap w:val="0"/>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rPr>
      </w:pPr>
      <w:bookmarkStart w:id="52" w:name="_Hlk18243584"/>
      <w:r>
        <w:rPr>
          <w:rFonts w:hint="eastAsia" w:ascii="宋体" w:hAnsi="宋体" w:eastAsia="宋体" w:cs="宋体"/>
          <w:color w:val="auto"/>
          <w:sz w:val="21"/>
          <w:szCs w:val="21"/>
          <w:highlight w:val="none"/>
        </w:rPr>
        <w:t>本次招标公告在</w:t>
      </w:r>
      <w:r>
        <w:rPr>
          <w:rFonts w:hint="eastAsia" w:ascii="宋体" w:hAnsi="宋体" w:eastAsia="宋体" w:cs="宋体"/>
          <w:color w:val="auto"/>
          <w:sz w:val="21"/>
          <w:szCs w:val="21"/>
          <w:highlight w:val="none"/>
          <w:u w:val="single"/>
        </w:rPr>
        <w:t>浙江省公共资源交易服务平台</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lang w:val="en-US" w:eastAsia="zh-CN"/>
        </w:rPr>
        <w:t>绍兴公共资源交易网</w:t>
      </w:r>
      <w:r>
        <w:rPr>
          <w:rFonts w:hint="eastAsia" w:ascii="宋体" w:hAnsi="宋体" w:eastAsia="宋体" w:cs="宋体"/>
          <w:color w:val="auto"/>
          <w:sz w:val="21"/>
          <w:szCs w:val="21"/>
          <w:highlight w:val="none"/>
        </w:rPr>
        <w:t>上发布。</w:t>
      </w:r>
    </w:p>
    <w:p w14:paraId="41BA78C7">
      <w:pPr>
        <w:pStyle w:val="11"/>
        <w:rPr>
          <w:rFonts w:hint="eastAsia"/>
          <w:color w:val="auto"/>
          <w:highlight w:val="none"/>
        </w:rPr>
      </w:pPr>
    </w:p>
    <w:p w14:paraId="403DB065">
      <w:pPr>
        <w:pStyle w:val="42"/>
        <w:spacing w:line="440" w:lineRule="exact"/>
        <w:rPr>
          <w:rFonts w:hint="default" w:ascii="宋体" w:hAnsi="宋体" w:eastAsia="宋体"/>
          <w:color w:val="auto"/>
          <w:szCs w:val="24"/>
          <w:highlight w:val="none"/>
          <w:lang w:val="en-US" w:eastAsia="zh-CN"/>
        </w:rPr>
      </w:pPr>
      <w:bookmarkStart w:id="53" w:name="_Toc12758"/>
      <w:r>
        <w:rPr>
          <w:rFonts w:hint="eastAsia" w:ascii="宋体" w:hAnsi="宋体"/>
          <w:color w:val="auto"/>
          <w:szCs w:val="24"/>
          <w:highlight w:val="none"/>
          <w:lang w:val="en-US" w:eastAsia="zh-CN"/>
        </w:rPr>
        <w:t>7</w:t>
      </w:r>
      <w:r>
        <w:rPr>
          <w:rFonts w:hint="eastAsia" w:ascii="宋体" w:hAnsi="宋体"/>
          <w:color w:val="auto"/>
          <w:szCs w:val="24"/>
          <w:highlight w:val="none"/>
        </w:rPr>
        <w:t xml:space="preserve">. </w:t>
      </w:r>
      <w:r>
        <w:rPr>
          <w:rFonts w:hint="eastAsia" w:ascii="宋体" w:hAnsi="宋体" w:eastAsia="宋体"/>
          <w:color w:val="auto"/>
          <w:szCs w:val="24"/>
          <w:highlight w:val="none"/>
          <w:lang w:val="en-US" w:eastAsia="zh-CN"/>
        </w:rPr>
        <w:t>联系方式</w:t>
      </w:r>
      <w:bookmarkEnd w:id="53"/>
    </w:p>
    <w:tbl>
      <w:tblPr>
        <w:tblStyle w:val="23"/>
        <w:tblW w:w="8860" w:type="dxa"/>
        <w:jc w:val="center"/>
        <w:tblLayout w:type="fixed"/>
        <w:tblCellMar>
          <w:top w:w="0" w:type="dxa"/>
          <w:left w:w="108" w:type="dxa"/>
          <w:bottom w:w="0" w:type="dxa"/>
          <w:right w:w="108" w:type="dxa"/>
        </w:tblCellMar>
      </w:tblPr>
      <w:tblGrid>
        <w:gridCol w:w="4741"/>
        <w:gridCol w:w="4119"/>
      </w:tblGrid>
      <w:tr w14:paraId="62E3C23F">
        <w:tblPrEx>
          <w:tblCellMar>
            <w:top w:w="0" w:type="dxa"/>
            <w:left w:w="108" w:type="dxa"/>
            <w:bottom w:w="0" w:type="dxa"/>
            <w:right w:w="108" w:type="dxa"/>
          </w:tblCellMar>
        </w:tblPrEx>
        <w:trPr>
          <w:trHeight w:val="502" w:hRule="atLeast"/>
          <w:jc w:val="center"/>
        </w:trPr>
        <w:tc>
          <w:tcPr>
            <w:tcW w:w="4741" w:type="dxa"/>
            <w:noWrap w:val="0"/>
            <w:vAlign w:val="center"/>
          </w:tcPr>
          <w:p w14:paraId="7C1104FB">
            <w:pPr>
              <w:pStyle w:val="9"/>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招标人：新昌县公路与运输管理中心</w:t>
            </w:r>
          </w:p>
        </w:tc>
        <w:tc>
          <w:tcPr>
            <w:tcW w:w="4119" w:type="dxa"/>
            <w:noWrap w:val="0"/>
            <w:vAlign w:val="center"/>
          </w:tcPr>
          <w:p w14:paraId="24C93A0B">
            <w:pPr>
              <w:pStyle w:val="9"/>
              <w:keepNext w:val="0"/>
              <w:keepLines w:val="0"/>
              <w:pageBreakBefore w:val="0"/>
              <w:widowControl w:val="0"/>
              <w:kinsoku/>
              <w:wordWrap/>
              <w:overflowPunct w:val="0"/>
              <w:topLinePunct w:val="0"/>
              <w:autoSpaceDE w:val="0"/>
              <w:autoSpaceDN w:val="0"/>
              <w:bidi w:val="0"/>
              <w:adjustRightInd w:val="0"/>
              <w:snapToGrid/>
              <w:spacing w:line="420" w:lineRule="exact"/>
              <w:textAlignment w:val="baseline"/>
              <w:rPr>
                <w:rFonts w:hint="eastAsia" w:eastAsia="宋体"/>
                <w:color w:val="auto"/>
                <w:sz w:val="21"/>
                <w:highlight w:val="none"/>
                <w:lang w:eastAsia="zh-CN"/>
              </w:rPr>
            </w:pPr>
            <w:r>
              <w:rPr>
                <w:rFonts w:hint="eastAsia" w:ascii="宋体" w:hAnsi="宋体"/>
                <w:color w:val="auto"/>
                <w:sz w:val="21"/>
                <w:szCs w:val="21"/>
                <w:highlight w:val="none"/>
              </w:rPr>
              <w:t>招标代理机构：</w:t>
            </w:r>
            <w:r>
              <w:rPr>
                <w:rFonts w:hint="eastAsia" w:ascii="宋体" w:hAnsi="宋体" w:eastAsia="宋体" w:cs="Times New Roman"/>
                <w:color w:val="auto"/>
                <w:sz w:val="21"/>
                <w:highlight w:val="none"/>
                <w:lang w:eastAsia="zh-CN"/>
              </w:rPr>
              <w:t>建经投资咨询有限公司</w:t>
            </w:r>
          </w:p>
        </w:tc>
      </w:tr>
      <w:tr w14:paraId="4CB79199">
        <w:tblPrEx>
          <w:tblCellMar>
            <w:top w:w="0" w:type="dxa"/>
            <w:left w:w="108" w:type="dxa"/>
            <w:bottom w:w="0" w:type="dxa"/>
            <w:right w:w="108" w:type="dxa"/>
          </w:tblCellMar>
        </w:tblPrEx>
        <w:trPr>
          <w:trHeight w:val="533" w:hRule="atLeast"/>
          <w:jc w:val="center"/>
        </w:trPr>
        <w:tc>
          <w:tcPr>
            <w:tcW w:w="4741" w:type="dxa"/>
            <w:noWrap w:val="0"/>
            <w:vAlign w:val="center"/>
          </w:tcPr>
          <w:p w14:paraId="1C871E6D">
            <w:pPr>
              <w:pStyle w:val="9"/>
              <w:spacing w:line="400" w:lineRule="exact"/>
              <w:rPr>
                <w:rFonts w:ascii="宋体" w:hAnsi="宋体"/>
                <w:color w:val="auto"/>
                <w:sz w:val="21"/>
                <w:szCs w:val="21"/>
                <w:highlight w:val="none"/>
              </w:rPr>
            </w:pPr>
            <w:r>
              <w:rPr>
                <w:rFonts w:hint="eastAsia" w:ascii="宋体" w:hAnsi="宋体"/>
                <w:color w:val="auto"/>
                <w:sz w:val="21"/>
                <w:szCs w:val="21"/>
                <w:highlight w:val="none"/>
              </w:rPr>
              <w:t>地址： 新昌县七星街道鼓山西路650号</w:t>
            </w:r>
          </w:p>
        </w:tc>
        <w:tc>
          <w:tcPr>
            <w:tcW w:w="4119" w:type="dxa"/>
            <w:noWrap w:val="0"/>
            <w:vAlign w:val="center"/>
          </w:tcPr>
          <w:p w14:paraId="36F59F22">
            <w:pPr>
              <w:pStyle w:val="9"/>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color w:val="auto"/>
                <w:spacing w:val="-11"/>
                <w:sz w:val="21"/>
                <w:highlight w:val="none"/>
              </w:rPr>
            </w:pPr>
            <w:r>
              <w:rPr>
                <w:rFonts w:hint="eastAsia" w:ascii="宋体" w:hAnsi="宋体"/>
                <w:color w:val="auto"/>
                <w:sz w:val="21"/>
                <w:szCs w:val="21"/>
                <w:highlight w:val="none"/>
              </w:rPr>
              <w:t>地址</w:t>
            </w:r>
            <w:r>
              <w:rPr>
                <w:rFonts w:hint="eastAsia" w:ascii="宋体" w:hAnsi="宋体"/>
                <w:color w:val="auto"/>
                <w:spacing w:val="0"/>
                <w:sz w:val="21"/>
                <w:szCs w:val="21"/>
                <w:highlight w:val="none"/>
              </w:rPr>
              <w:t>：</w:t>
            </w:r>
            <w:r>
              <w:rPr>
                <w:rFonts w:hint="eastAsia" w:ascii="宋体" w:hAnsi="宋体" w:eastAsia="宋体" w:cs="Times New Roman"/>
                <w:color w:val="auto"/>
                <w:spacing w:val="0"/>
                <w:sz w:val="21"/>
                <w:highlight w:val="none"/>
                <w:lang w:val="en-US" w:eastAsia="zh-CN"/>
              </w:rPr>
              <w:t>绍兴市新昌县海洋城公寓楼21楼</w:t>
            </w:r>
          </w:p>
        </w:tc>
      </w:tr>
      <w:tr w14:paraId="5638208E">
        <w:tblPrEx>
          <w:tblCellMar>
            <w:top w:w="0" w:type="dxa"/>
            <w:left w:w="108" w:type="dxa"/>
            <w:bottom w:w="0" w:type="dxa"/>
            <w:right w:w="108" w:type="dxa"/>
          </w:tblCellMar>
        </w:tblPrEx>
        <w:trPr>
          <w:trHeight w:val="533" w:hRule="atLeast"/>
          <w:jc w:val="center"/>
        </w:trPr>
        <w:tc>
          <w:tcPr>
            <w:tcW w:w="4741" w:type="dxa"/>
            <w:noWrap w:val="0"/>
            <w:vAlign w:val="center"/>
          </w:tcPr>
          <w:p w14:paraId="595A0B20">
            <w:pPr>
              <w:pStyle w:val="9"/>
              <w:spacing w:line="400" w:lineRule="exact"/>
              <w:rPr>
                <w:rFonts w:ascii="宋体" w:hAnsi="宋体"/>
                <w:color w:val="auto"/>
                <w:sz w:val="21"/>
                <w:szCs w:val="21"/>
                <w:highlight w:val="none"/>
              </w:rPr>
            </w:pPr>
            <w:r>
              <w:rPr>
                <w:rFonts w:hint="eastAsia" w:ascii="宋体" w:hAnsi="宋体"/>
                <w:color w:val="auto"/>
                <w:sz w:val="21"/>
                <w:szCs w:val="21"/>
                <w:highlight w:val="none"/>
              </w:rPr>
              <w:t>联系人：</w:t>
            </w:r>
            <w:r>
              <w:rPr>
                <w:rFonts w:hint="eastAsia" w:ascii="宋体" w:hAnsi="宋体"/>
                <w:color w:val="auto"/>
                <w:sz w:val="21"/>
                <w:szCs w:val="21"/>
                <w:highlight w:val="none"/>
                <w:lang w:val="en-US" w:eastAsia="zh-CN"/>
              </w:rPr>
              <w:t>蔡</w:t>
            </w:r>
            <w:r>
              <w:rPr>
                <w:rFonts w:hint="eastAsia" w:ascii="宋体" w:hAnsi="宋体"/>
                <w:color w:val="auto"/>
                <w:sz w:val="21"/>
                <w:szCs w:val="21"/>
                <w:highlight w:val="none"/>
              </w:rPr>
              <w:t>工</w:t>
            </w:r>
          </w:p>
        </w:tc>
        <w:tc>
          <w:tcPr>
            <w:tcW w:w="4119" w:type="dxa"/>
            <w:noWrap w:val="0"/>
            <w:vAlign w:val="center"/>
          </w:tcPr>
          <w:p w14:paraId="04B58C38">
            <w:pPr>
              <w:pStyle w:val="9"/>
              <w:spacing w:line="400" w:lineRule="exact"/>
              <w:rPr>
                <w:rFonts w:hint="eastAsia"/>
                <w:color w:val="auto"/>
                <w:sz w:val="21"/>
                <w:highlight w:val="none"/>
              </w:rPr>
            </w:pPr>
            <w:r>
              <w:rPr>
                <w:rFonts w:hint="eastAsia" w:ascii="宋体" w:hAnsi="宋体"/>
                <w:color w:val="auto"/>
                <w:sz w:val="21"/>
                <w:szCs w:val="21"/>
                <w:highlight w:val="none"/>
              </w:rPr>
              <w:t>联系人：</w:t>
            </w:r>
            <w:r>
              <w:rPr>
                <w:rFonts w:hint="eastAsia" w:ascii="宋体" w:hAnsi="宋体" w:eastAsia="宋体" w:cs="Times New Roman"/>
                <w:color w:val="auto"/>
                <w:sz w:val="21"/>
                <w:highlight w:val="none"/>
                <w:lang w:val="en-US" w:eastAsia="zh-CN"/>
              </w:rPr>
              <w:t>顾工</w:t>
            </w:r>
          </w:p>
        </w:tc>
      </w:tr>
      <w:tr w14:paraId="55D21446">
        <w:tblPrEx>
          <w:tblCellMar>
            <w:top w:w="0" w:type="dxa"/>
            <w:left w:w="108" w:type="dxa"/>
            <w:bottom w:w="0" w:type="dxa"/>
            <w:right w:w="108" w:type="dxa"/>
          </w:tblCellMar>
        </w:tblPrEx>
        <w:trPr>
          <w:trHeight w:val="502" w:hRule="atLeast"/>
          <w:jc w:val="center"/>
        </w:trPr>
        <w:tc>
          <w:tcPr>
            <w:tcW w:w="4741" w:type="dxa"/>
            <w:noWrap w:val="0"/>
            <w:vAlign w:val="center"/>
          </w:tcPr>
          <w:p w14:paraId="35D07C2E">
            <w:pPr>
              <w:pStyle w:val="9"/>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电话：152</w:t>
            </w:r>
            <w:r>
              <w:rPr>
                <w:rFonts w:hint="eastAsia" w:ascii="宋体" w:hAnsi="宋体"/>
                <w:color w:val="auto"/>
                <w:sz w:val="21"/>
                <w:szCs w:val="21"/>
                <w:highlight w:val="none"/>
                <w:lang w:val="en-US" w:eastAsia="zh-CN"/>
              </w:rPr>
              <w:t>67597762</w:t>
            </w:r>
          </w:p>
        </w:tc>
        <w:tc>
          <w:tcPr>
            <w:tcW w:w="4119" w:type="dxa"/>
            <w:noWrap w:val="0"/>
            <w:vAlign w:val="center"/>
          </w:tcPr>
          <w:p w14:paraId="7BCF2948">
            <w:pPr>
              <w:pStyle w:val="9"/>
              <w:keepNext w:val="0"/>
              <w:keepLines w:val="0"/>
              <w:pageBreakBefore w:val="0"/>
              <w:widowControl w:val="0"/>
              <w:kinsoku/>
              <w:wordWrap/>
              <w:overflowPunct w:val="0"/>
              <w:topLinePunct w:val="0"/>
              <w:autoSpaceDE w:val="0"/>
              <w:autoSpaceDN w:val="0"/>
              <w:bidi w:val="0"/>
              <w:adjustRightInd w:val="0"/>
              <w:snapToGrid/>
              <w:spacing w:line="420" w:lineRule="exact"/>
              <w:textAlignment w:val="baseline"/>
              <w:rPr>
                <w:rFonts w:hint="default" w:eastAsia="宋体"/>
                <w:color w:val="auto"/>
                <w:sz w:val="21"/>
                <w:highlight w:val="none"/>
                <w:lang w:val="en-US" w:eastAsia="zh-CN"/>
              </w:rPr>
            </w:pPr>
            <w:r>
              <w:rPr>
                <w:rFonts w:hint="eastAsia" w:ascii="宋体" w:hAnsi="宋体"/>
                <w:color w:val="auto"/>
                <w:sz w:val="21"/>
                <w:szCs w:val="21"/>
                <w:highlight w:val="none"/>
              </w:rPr>
              <w:t>电话：</w:t>
            </w:r>
            <w:r>
              <w:rPr>
                <w:rFonts w:hint="eastAsia" w:ascii="宋体" w:hAnsi="宋体" w:eastAsia="宋体" w:cs="Times New Roman"/>
                <w:color w:val="auto"/>
                <w:sz w:val="21"/>
                <w:highlight w:val="none"/>
                <w:lang w:val="en-US" w:eastAsia="zh-CN"/>
              </w:rPr>
              <w:t>0575-86331916</w:t>
            </w:r>
          </w:p>
        </w:tc>
      </w:tr>
      <w:tr w14:paraId="64763C36">
        <w:tblPrEx>
          <w:tblCellMar>
            <w:top w:w="0" w:type="dxa"/>
            <w:left w:w="108" w:type="dxa"/>
            <w:bottom w:w="0" w:type="dxa"/>
            <w:right w:w="108" w:type="dxa"/>
          </w:tblCellMar>
        </w:tblPrEx>
        <w:trPr>
          <w:trHeight w:val="533" w:hRule="atLeast"/>
          <w:jc w:val="center"/>
        </w:trPr>
        <w:tc>
          <w:tcPr>
            <w:tcW w:w="4741" w:type="dxa"/>
            <w:noWrap w:val="0"/>
            <w:vAlign w:val="center"/>
          </w:tcPr>
          <w:p w14:paraId="02CEEC57">
            <w:pPr>
              <w:pStyle w:val="9"/>
              <w:spacing w:line="400" w:lineRule="exact"/>
              <w:rPr>
                <w:rFonts w:hint="eastAsia"/>
                <w:color w:val="auto"/>
                <w:highlight w:val="none"/>
              </w:rPr>
            </w:pPr>
          </w:p>
        </w:tc>
        <w:tc>
          <w:tcPr>
            <w:tcW w:w="4119" w:type="dxa"/>
            <w:noWrap w:val="0"/>
            <w:vAlign w:val="center"/>
          </w:tcPr>
          <w:p w14:paraId="17214639">
            <w:pPr>
              <w:pStyle w:val="9"/>
              <w:keepNext w:val="0"/>
              <w:keepLines w:val="0"/>
              <w:pageBreakBefore w:val="0"/>
              <w:widowControl w:val="0"/>
              <w:kinsoku/>
              <w:wordWrap/>
              <w:overflowPunct/>
              <w:topLinePunct w:val="0"/>
              <w:autoSpaceDE/>
              <w:autoSpaceDN/>
              <w:bidi w:val="0"/>
              <w:snapToGrid/>
              <w:spacing w:line="400" w:lineRule="exact"/>
              <w:rPr>
                <w:color w:val="auto"/>
                <w:highlight w:val="none"/>
              </w:rPr>
            </w:pPr>
            <w:r>
              <w:rPr>
                <w:rFonts w:hint="eastAsia"/>
                <w:color w:val="auto"/>
                <w:highlight w:val="none"/>
              </w:rPr>
              <w:t xml:space="preserve"> </w:t>
            </w:r>
            <w:r>
              <w:rPr>
                <w:color w:val="auto"/>
                <w:highlight w:val="none"/>
              </w:rPr>
              <w:t xml:space="preserve">            </w:t>
            </w:r>
          </w:p>
          <w:p w14:paraId="338FF231">
            <w:pPr>
              <w:pStyle w:val="9"/>
              <w:keepNext w:val="0"/>
              <w:keepLines w:val="0"/>
              <w:pageBreakBefore w:val="0"/>
              <w:widowControl w:val="0"/>
              <w:kinsoku/>
              <w:wordWrap/>
              <w:overflowPunct/>
              <w:topLinePunct w:val="0"/>
              <w:autoSpaceDE/>
              <w:autoSpaceDN/>
              <w:bidi w:val="0"/>
              <w:snapToGrid/>
              <w:spacing w:line="400" w:lineRule="exact"/>
              <w:jc w:val="right"/>
              <w:rPr>
                <w:rFonts w:hint="eastAsia" w:eastAsia="宋体"/>
                <w:color w:val="auto"/>
                <w:highlight w:val="none"/>
                <w:lang w:val="en-US" w:eastAsia="zh-CN"/>
              </w:rPr>
            </w:pPr>
            <w:r>
              <w:rPr>
                <w:rFonts w:hint="eastAsia"/>
                <w:color w:val="auto"/>
                <w:highlight w:val="none"/>
              </w:rPr>
              <w:t>202</w:t>
            </w:r>
            <w:r>
              <w:rPr>
                <w:rFonts w:hint="eastAsia"/>
                <w:color w:val="auto"/>
                <w:highlight w:val="none"/>
                <w:lang w:val="en-US" w:eastAsia="zh-CN"/>
              </w:rPr>
              <w:t>6</w:t>
            </w:r>
            <w:r>
              <w:rPr>
                <w:rFonts w:hint="eastAsia"/>
                <w:color w:val="auto"/>
                <w:highlight w:val="none"/>
              </w:rPr>
              <w:t>年</w:t>
            </w:r>
            <w:r>
              <w:rPr>
                <w:rFonts w:hint="eastAsia" w:eastAsia="宋体"/>
                <w:color w:val="auto"/>
                <w:highlight w:val="none"/>
                <w:lang w:val="en-US" w:eastAsia="zh-CN"/>
              </w:rPr>
              <w:t>7</w:t>
            </w:r>
            <w:r>
              <w:rPr>
                <w:rFonts w:hint="eastAsia"/>
                <w:color w:val="auto"/>
                <w:highlight w:val="none"/>
              </w:rPr>
              <w:t>月</w:t>
            </w:r>
            <w:r>
              <w:rPr>
                <w:rFonts w:hint="eastAsia" w:eastAsia="宋体"/>
                <w:color w:val="auto"/>
                <w:highlight w:val="none"/>
                <w:lang w:val="en-US" w:eastAsia="zh-CN"/>
              </w:rPr>
              <w:t>31日</w:t>
            </w:r>
          </w:p>
        </w:tc>
      </w:tr>
      <w:tr w14:paraId="5ECDAB20">
        <w:tblPrEx>
          <w:tblCellMar>
            <w:top w:w="0" w:type="dxa"/>
            <w:left w:w="108" w:type="dxa"/>
            <w:bottom w:w="0" w:type="dxa"/>
            <w:right w:w="108" w:type="dxa"/>
          </w:tblCellMar>
        </w:tblPrEx>
        <w:trPr>
          <w:trHeight w:val="533" w:hRule="atLeast"/>
          <w:jc w:val="center"/>
        </w:trPr>
        <w:tc>
          <w:tcPr>
            <w:tcW w:w="8860" w:type="dxa"/>
            <w:gridSpan w:val="2"/>
            <w:noWrap w:val="0"/>
            <w:vAlign w:val="center"/>
          </w:tcPr>
          <w:p w14:paraId="01607692">
            <w:pPr>
              <w:pStyle w:val="42"/>
              <w:keepNext/>
              <w:keepLines/>
              <w:pageBreakBefore w:val="0"/>
              <w:widowControl w:val="0"/>
              <w:kinsoku/>
              <w:wordWrap/>
              <w:overflowPunct/>
              <w:topLinePunct w:val="0"/>
              <w:autoSpaceDE/>
              <w:autoSpaceDN/>
              <w:bidi w:val="0"/>
              <w:adjustRightInd/>
              <w:snapToGrid/>
              <w:spacing w:line="360" w:lineRule="exact"/>
              <w:textAlignment w:val="auto"/>
              <w:outlineLvl w:val="9"/>
              <w:rPr>
                <w:rFonts w:hint="eastAsia" w:ascii="宋体" w:hAnsi="宋体" w:eastAsia="宋体" w:cs="宋体"/>
                <w:b w:val="0"/>
                <w:bCs w:val="0"/>
                <w:color w:val="auto"/>
                <w:sz w:val="21"/>
                <w:szCs w:val="21"/>
                <w:highlight w:val="none"/>
                <w:lang w:val="en-US" w:eastAsia="zh-CN"/>
              </w:rPr>
            </w:pPr>
            <w:bookmarkStart w:id="54" w:name="_Toc12173"/>
            <w:bookmarkStart w:id="55" w:name="EBafe92e2154ac4853a548cb174a27012f"/>
            <w:r>
              <w:rPr>
                <w:rFonts w:hint="eastAsia" w:ascii="宋体" w:hAnsi="宋体" w:eastAsia="宋体" w:cs="宋体"/>
                <w:b w:val="0"/>
                <w:bCs w:val="0"/>
                <w:color w:val="auto"/>
                <w:sz w:val="21"/>
                <w:szCs w:val="21"/>
                <w:highlight w:val="none"/>
                <w:lang w:val="en-US" w:eastAsia="zh-CN"/>
              </w:rPr>
              <w:t>监管机构：</w:t>
            </w:r>
            <w:r>
              <w:rPr>
                <w:rFonts w:hint="eastAsia" w:ascii="宋体" w:hAnsi="宋体" w:cs="宋体"/>
                <w:b w:val="0"/>
                <w:bCs w:val="0"/>
                <w:color w:val="auto"/>
                <w:sz w:val="21"/>
                <w:szCs w:val="21"/>
                <w:highlight w:val="none"/>
                <w:lang w:val="en-US" w:eastAsia="zh-CN"/>
              </w:rPr>
              <w:t>绍兴市</w:t>
            </w:r>
            <w:r>
              <w:rPr>
                <w:rFonts w:hint="eastAsia" w:ascii="宋体" w:hAnsi="宋体" w:eastAsia="宋体" w:cs="宋体"/>
                <w:b w:val="0"/>
                <w:bCs w:val="0"/>
                <w:color w:val="auto"/>
                <w:sz w:val="21"/>
                <w:szCs w:val="21"/>
                <w:highlight w:val="none"/>
                <w:lang w:val="en-US" w:eastAsia="zh-CN"/>
              </w:rPr>
              <w:t>交通运输局</w:t>
            </w:r>
            <w:bookmarkEnd w:id="54"/>
          </w:p>
          <w:p w14:paraId="4B5062A0">
            <w:pPr>
              <w:pStyle w:val="42"/>
              <w:keepNext/>
              <w:keepLines/>
              <w:pageBreakBefore w:val="0"/>
              <w:widowControl w:val="0"/>
              <w:kinsoku/>
              <w:wordWrap/>
              <w:overflowPunct/>
              <w:topLinePunct w:val="0"/>
              <w:autoSpaceDE/>
              <w:autoSpaceDN/>
              <w:bidi w:val="0"/>
              <w:adjustRightInd/>
              <w:snapToGrid/>
              <w:spacing w:line="360" w:lineRule="exact"/>
              <w:textAlignment w:val="auto"/>
              <w:outlineLvl w:val="9"/>
              <w:rPr>
                <w:rFonts w:hint="eastAsia" w:ascii="宋体" w:hAnsi="宋体" w:eastAsia="宋体" w:cs="宋体"/>
                <w:b w:val="0"/>
                <w:bCs w:val="0"/>
                <w:color w:val="auto"/>
                <w:sz w:val="21"/>
                <w:szCs w:val="21"/>
                <w:highlight w:val="none"/>
                <w:lang w:val="en-US" w:eastAsia="zh-CN"/>
              </w:rPr>
            </w:pPr>
            <w:bookmarkStart w:id="56" w:name="_Toc14912"/>
            <w:r>
              <w:rPr>
                <w:rFonts w:hint="eastAsia" w:ascii="宋体" w:hAnsi="宋体" w:eastAsia="宋体" w:cs="宋体"/>
                <w:b w:val="0"/>
                <w:bCs w:val="0"/>
                <w:color w:val="auto"/>
                <w:sz w:val="21"/>
                <w:szCs w:val="21"/>
                <w:highlight w:val="none"/>
                <w:lang w:val="en-US" w:eastAsia="zh-CN"/>
              </w:rPr>
              <w:t>地址：绍兴市镜湖新区凤林西路135号交投大厦</w:t>
            </w:r>
            <w:bookmarkEnd w:id="56"/>
          </w:p>
          <w:p w14:paraId="06404BD0">
            <w:pPr>
              <w:pStyle w:val="42"/>
              <w:keepNext/>
              <w:keepLines/>
              <w:pageBreakBefore w:val="0"/>
              <w:widowControl w:val="0"/>
              <w:kinsoku/>
              <w:wordWrap/>
              <w:overflowPunct/>
              <w:topLinePunct w:val="0"/>
              <w:autoSpaceDE/>
              <w:autoSpaceDN/>
              <w:bidi w:val="0"/>
              <w:adjustRightInd/>
              <w:snapToGrid/>
              <w:spacing w:line="360" w:lineRule="exact"/>
              <w:textAlignment w:val="auto"/>
              <w:outlineLvl w:val="9"/>
              <w:rPr>
                <w:rFonts w:hint="eastAsia" w:ascii="宋体" w:hAnsi="宋体" w:eastAsia="宋体" w:cs="宋体"/>
                <w:b w:val="0"/>
                <w:bCs w:val="0"/>
                <w:color w:val="auto"/>
                <w:sz w:val="21"/>
                <w:szCs w:val="21"/>
                <w:highlight w:val="none"/>
                <w:lang w:val="en-US" w:eastAsia="zh-CN"/>
              </w:rPr>
            </w:pPr>
            <w:bookmarkStart w:id="57" w:name="_Toc21645"/>
            <w:r>
              <w:rPr>
                <w:rFonts w:hint="eastAsia" w:ascii="宋体" w:hAnsi="宋体" w:eastAsia="宋体" w:cs="宋体"/>
                <w:b w:val="0"/>
                <w:bCs w:val="0"/>
                <w:color w:val="auto"/>
                <w:sz w:val="21"/>
                <w:szCs w:val="21"/>
                <w:highlight w:val="none"/>
                <w:lang w:val="en-US" w:eastAsia="zh-CN"/>
              </w:rPr>
              <w:t>邮编：312000</w:t>
            </w:r>
            <w:bookmarkEnd w:id="57"/>
          </w:p>
          <w:p w14:paraId="69DF9342">
            <w:pPr>
              <w:pStyle w:val="42"/>
              <w:keepNext/>
              <w:keepLines/>
              <w:pageBreakBefore w:val="0"/>
              <w:widowControl w:val="0"/>
              <w:kinsoku/>
              <w:wordWrap/>
              <w:overflowPunct/>
              <w:topLinePunct w:val="0"/>
              <w:autoSpaceDE/>
              <w:autoSpaceDN/>
              <w:bidi w:val="0"/>
              <w:adjustRightInd/>
              <w:snapToGrid/>
              <w:spacing w:line="360" w:lineRule="exact"/>
              <w:textAlignment w:val="auto"/>
              <w:outlineLvl w:val="9"/>
              <w:rPr>
                <w:rFonts w:hint="eastAsia"/>
                <w:color w:val="auto"/>
                <w:highlight w:val="none"/>
              </w:rPr>
            </w:pPr>
            <w:bookmarkStart w:id="58" w:name="_Toc17573"/>
            <w:r>
              <w:rPr>
                <w:rFonts w:hint="eastAsia" w:ascii="宋体" w:hAnsi="宋体" w:eastAsia="宋体" w:cs="宋体"/>
                <w:b w:val="0"/>
                <w:bCs w:val="0"/>
                <w:color w:val="auto"/>
                <w:sz w:val="21"/>
                <w:szCs w:val="21"/>
                <w:highlight w:val="none"/>
                <w:lang w:val="en-US" w:eastAsia="zh-CN"/>
              </w:rPr>
              <w:t>电话：0575-85335180</w:t>
            </w:r>
            <w:bookmarkEnd w:id="58"/>
          </w:p>
        </w:tc>
      </w:tr>
      <w:bookmarkEnd w:id="52"/>
    </w:tbl>
    <w:p w14:paraId="469A9888">
      <w:pPr>
        <w:pStyle w:val="41"/>
        <w:pageBreakBefore/>
        <w:spacing w:before="0" w:after="0" w:line="415" w:lineRule="auto"/>
        <w:jc w:val="center"/>
        <w:rPr>
          <w:rFonts w:hint="eastAsia"/>
          <w:color w:val="auto"/>
          <w:highlight w:val="none"/>
        </w:rPr>
      </w:pPr>
      <w:r>
        <w:rPr>
          <w:rFonts w:hint="eastAsia"/>
          <w:color w:val="auto"/>
          <w:highlight w:val="none"/>
        </w:rPr>
        <w:t xml:space="preserve"> </w:t>
      </w:r>
      <w:bookmarkEnd w:id="55"/>
      <w:bookmarkStart w:id="59" w:name="_Toc11475"/>
      <w:r>
        <w:rPr>
          <w:rFonts w:hint="eastAsia"/>
          <w:color w:val="auto"/>
          <w:highlight w:val="none"/>
        </w:rPr>
        <w:t>第二章  投标人须知</w:t>
      </w:r>
      <w:bookmarkEnd w:id="59"/>
    </w:p>
    <w:p w14:paraId="0E4B2634">
      <w:pPr>
        <w:pStyle w:val="42"/>
        <w:spacing w:line="260" w:lineRule="exact"/>
        <w:jc w:val="left"/>
        <w:rPr>
          <w:color w:val="auto"/>
          <w:highlight w:val="none"/>
        </w:rPr>
      </w:pPr>
      <w:bookmarkStart w:id="60" w:name="_Toc10908"/>
      <w:r>
        <w:rPr>
          <w:rFonts w:hint="eastAsia"/>
          <w:color w:val="auto"/>
          <w:highlight w:val="none"/>
        </w:rPr>
        <w:t>投标人须知前附表</w:t>
      </w:r>
      <w:bookmarkEnd w:id="60"/>
    </w:p>
    <w:tbl>
      <w:tblPr>
        <w:tblStyle w:val="23"/>
        <w:tblW w:w="9251" w:type="dxa"/>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1101"/>
        <w:gridCol w:w="1701"/>
        <w:gridCol w:w="6449"/>
      </w:tblGrid>
      <w:tr w14:paraId="0CC28B4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11" w:hRule="atLeast"/>
        </w:trPr>
        <w:tc>
          <w:tcPr>
            <w:tcW w:w="1101" w:type="dxa"/>
            <w:tcBorders>
              <w:tl2br w:val="nil"/>
              <w:tr2bl w:val="nil"/>
            </w:tcBorders>
            <w:noWrap w:val="0"/>
            <w:vAlign w:val="center"/>
          </w:tcPr>
          <w:p w14:paraId="636CA396">
            <w:pPr>
              <w:pStyle w:val="9"/>
              <w:spacing w:line="240" w:lineRule="exact"/>
              <w:jc w:val="center"/>
              <w:rPr>
                <w:rFonts w:ascii="宋体" w:hAnsi="宋体"/>
                <w:b/>
                <w:color w:val="auto"/>
                <w:szCs w:val="21"/>
                <w:highlight w:val="none"/>
              </w:rPr>
            </w:pPr>
            <w:r>
              <w:rPr>
                <w:rFonts w:hint="eastAsia" w:ascii="宋体" w:hAnsi="宋体"/>
                <w:b/>
                <w:color w:val="auto"/>
                <w:szCs w:val="21"/>
                <w:highlight w:val="none"/>
              </w:rPr>
              <w:t>条款号</w:t>
            </w:r>
          </w:p>
        </w:tc>
        <w:tc>
          <w:tcPr>
            <w:tcW w:w="1701" w:type="dxa"/>
            <w:tcBorders>
              <w:tl2br w:val="nil"/>
              <w:tr2bl w:val="nil"/>
            </w:tcBorders>
            <w:noWrap w:val="0"/>
            <w:vAlign w:val="center"/>
          </w:tcPr>
          <w:p w14:paraId="61375AAA">
            <w:pPr>
              <w:pStyle w:val="9"/>
              <w:spacing w:line="240" w:lineRule="exact"/>
              <w:jc w:val="center"/>
              <w:rPr>
                <w:rFonts w:ascii="宋体" w:hAnsi="宋体"/>
                <w:b/>
                <w:color w:val="auto"/>
                <w:szCs w:val="21"/>
                <w:highlight w:val="none"/>
              </w:rPr>
            </w:pPr>
            <w:r>
              <w:rPr>
                <w:rFonts w:hint="eastAsia" w:ascii="宋体" w:hAnsi="宋体"/>
                <w:b/>
                <w:color w:val="auto"/>
                <w:szCs w:val="21"/>
                <w:highlight w:val="none"/>
              </w:rPr>
              <w:t>条款名称</w:t>
            </w:r>
          </w:p>
        </w:tc>
        <w:tc>
          <w:tcPr>
            <w:tcW w:w="6449" w:type="dxa"/>
            <w:tcBorders>
              <w:tl2br w:val="nil"/>
              <w:tr2bl w:val="nil"/>
            </w:tcBorders>
            <w:noWrap w:val="0"/>
            <w:vAlign w:val="center"/>
          </w:tcPr>
          <w:p w14:paraId="744BB50F">
            <w:pPr>
              <w:pStyle w:val="9"/>
              <w:spacing w:line="240" w:lineRule="exact"/>
              <w:jc w:val="center"/>
              <w:rPr>
                <w:rFonts w:ascii="宋体" w:hAnsi="宋体"/>
                <w:b/>
                <w:color w:val="auto"/>
                <w:szCs w:val="21"/>
                <w:highlight w:val="none"/>
              </w:rPr>
            </w:pPr>
            <w:r>
              <w:rPr>
                <w:rFonts w:hint="eastAsia" w:ascii="宋体" w:hAnsi="宋体"/>
                <w:b/>
                <w:color w:val="auto"/>
                <w:szCs w:val="21"/>
                <w:highlight w:val="none"/>
              </w:rPr>
              <w:t>编列内容</w:t>
            </w:r>
          </w:p>
        </w:tc>
      </w:tr>
      <w:tr w14:paraId="64E7DD0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101" w:type="dxa"/>
            <w:tcBorders>
              <w:tl2br w:val="nil"/>
              <w:tr2bl w:val="nil"/>
            </w:tcBorders>
            <w:noWrap w:val="0"/>
            <w:vAlign w:val="center"/>
          </w:tcPr>
          <w:p w14:paraId="5BD88034">
            <w:pPr>
              <w:pStyle w:val="9"/>
              <w:keepNext w:val="0"/>
              <w:keepLines w:val="0"/>
              <w:pageBreakBefore w:val="0"/>
              <w:widowControl w:val="0"/>
              <w:kinsoku/>
              <w:wordWrap/>
              <w:overflowPunct/>
              <w:topLinePunct w:val="0"/>
              <w:autoSpaceDE/>
              <w:autoSpaceDN/>
              <w:bidi w:val="0"/>
              <w:adjustRightInd/>
              <w:snapToGrid/>
              <w:spacing w:line="290" w:lineRule="exact"/>
              <w:jc w:val="center"/>
              <w:textAlignment w:val="auto"/>
              <w:rPr>
                <w:rFonts w:ascii="宋体" w:hAnsi="宋体"/>
                <w:color w:val="auto"/>
                <w:szCs w:val="21"/>
                <w:highlight w:val="none"/>
              </w:rPr>
            </w:pPr>
            <w:r>
              <w:rPr>
                <w:rFonts w:hint="eastAsia" w:ascii="宋体" w:hAnsi="宋体"/>
                <w:color w:val="auto"/>
                <w:szCs w:val="21"/>
                <w:highlight w:val="none"/>
              </w:rPr>
              <w:t>1.1.2</w:t>
            </w:r>
          </w:p>
        </w:tc>
        <w:tc>
          <w:tcPr>
            <w:tcW w:w="1701" w:type="dxa"/>
            <w:tcBorders>
              <w:tl2br w:val="nil"/>
              <w:tr2bl w:val="nil"/>
            </w:tcBorders>
            <w:noWrap w:val="0"/>
            <w:vAlign w:val="center"/>
          </w:tcPr>
          <w:p w14:paraId="0E8559E2">
            <w:pPr>
              <w:pStyle w:val="9"/>
              <w:keepNext w:val="0"/>
              <w:keepLines w:val="0"/>
              <w:pageBreakBefore w:val="0"/>
              <w:widowControl w:val="0"/>
              <w:kinsoku/>
              <w:wordWrap/>
              <w:overflowPunct/>
              <w:topLinePunct w:val="0"/>
              <w:autoSpaceDE/>
              <w:autoSpaceDN/>
              <w:bidi w:val="0"/>
              <w:adjustRightInd/>
              <w:snapToGrid/>
              <w:spacing w:line="290" w:lineRule="exact"/>
              <w:jc w:val="center"/>
              <w:textAlignment w:val="auto"/>
              <w:rPr>
                <w:rFonts w:ascii="宋体" w:hAnsi="宋体"/>
                <w:color w:val="auto"/>
                <w:szCs w:val="21"/>
                <w:highlight w:val="none"/>
              </w:rPr>
            </w:pPr>
            <w:r>
              <w:rPr>
                <w:rFonts w:hint="eastAsia" w:ascii="宋体" w:hAnsi="宋体"/>
                <w:color w:val="auto"/>
                <w:szCs w:val="21"/>
                <w:highlight w:val="none"/>
              </w:rPr>
              <w:t>招标人</w:t>
            </w:r>
          </w:p>
        </w:tc>
        <w:tc>
          <w:tcPr>
            <w:tcW w:w="6449" w:type="dxa"/>
            <w:tcBorders>
              <w:tl2br w:val="nil"/>
              <w:tr2bl w:val="nil"/>
            </w:tcBorders>
            <w:noWrap w:val="0"/>
            <w:vAlign w:val="center"/>
          </w:tcPr>
          <w:p w14:paraId="75BEAEE8">
            <w:pPr>
              <w:pStyle w:val="9"/>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color w:val="auto"/>
                <w:szCs w:val="21"/>
                <w:highlight w:val="none"/>
              </w:rPr>
            </w:pPr>
            <w:r>
              <w:rPr>
                <w:rFonts w:hint="eastAsia" w:ascii="宋体" w:hAnsi="宋体"/>
                <w:color w:val="auto"/>
                <w:szCs w:val="21"/>
                <w:highlight w:val="none"/>
              </w:rPr>
              <w:t>名  称：新昌县公路与运输管理中心</w:t>
            </w:r>
          </w:p>
          <w:p w14:paraId="2E3C90BB">
            <w:pPr>
              <w:pStyle w:val="9"/>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color w:val="auto"/>
                <w:szCs w:val="21"/>
                <w:highlight w:val="none"/>
              </w:rPr>
            </w:pPr>
            <w:r>
              <w:rPr>
                <w:rFonts w:hint="eastAsia" w:ascii="宋体" w:hAnsi="宋体"/>
                <w:color w:val="auto"/>
                <w:szCs w:val="21"/>
                <w:highlight w:val="none"/>
              </w:rPr>
              <w:t>地  址：新昌县七星街道鼓山西路650号</w:t>
            </w:r>
          </w:p>
          <w:p w14:paraId="732FAE67">
            <w:pPr>
              <w:pStyle w:val="9"/>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color w:val="auto"/>
                <w:szCs w:val="21"/>
                <w:highlight w:val="none"/>
              </w:rPr>
            </w:pPr>
            <w:r>
              <w:rPr>
                <w:rFonts w:hint="eastAsia" w:ascii="宋体" w:hAnsi="宋体"/>
                <w:color w:val="auto"/>
                <w:szCs w:val="21"/>
                <w:highlight w:val="none"/>
              </w:rPr>
              <w:t>联系人：</w:t>
            </w:r>
            <w:r>
              <w:rPr>
                <w:rFonts w:hint="eastAsia" w:ascii="宋体" w:hAnsi="宋体"/>
                <w:color w:val="auto"/>
                <w:szCs w:val="21"/>
                <w:highlight w:val="none"/>
                <w:lang w:val="en-US" w:eastAsia="zh-CN"/>
              </w:rPr>
              <w:t>蔡</w:t>
            </w:r>
            <w:r>
              <w:rPr>
                <w:rFonts w:hint="eastAsia" w:ascii="宋体" w:hAnsi="宋体"/>
                <w:color w:val="auto"/>
                <w:szCs w:val="21"/>
                <w:highlight w:val="none"/>
              </w:rPr>
              <w:t>工</w:t>
            </w:r>
          </w:p>
          <w:p w14:paraId="2092EDBC">
            <w:pPr>
              <w:pStyle w:val="9"/>
              <w:keepNext w:val="0"/>
              <w:keepLines w:val="0"/>
              <w:pageBreakBefore w:val="0"/>
              <w:widowControl w:val="0"/>
              <w:kinsoku/>
              <w:wordWrap/>
              <w:overflowPunct/>
              <w:topLinePunct w:val="0"/>
              <w:autoSpaceDE/>
              <w:autoSpaceDN/>
              <w:bidi w:val="0"/>
              <w:adjustRightInd/>
              <w:snapToGrid/>
              <w:spacing w:line="380" w:lineRule="exact"/>
              <w:textAlignment w:val="auto"/>
              <w:rPr>
                <w:rFonts w:hint="default" w:ascii="宋体" w:hAnsi="宋体" w:eastAsia="宋体"/>
                <w:color w:val="auto"/>
                <w:szCs w:val="21"/>
                <w:highlight w:val="none"/>
                <w:lang w:val="en-US" w:eastAsia="zh-CN"/>
              </w:rPr>
            </w:pPr>
            <w:r>
              <w:rPr>
                <w:rFonts w:hint="eastAsia" w:ascii="宋体" w:hAnsi="宋体"/>
                <w:color w:val="auto"/>
                <w:szCs w:val="21"/>
                <w:highlight w:val="none"/>
              </w:rPr>
              <w:t>电  话：152</w:t>
            </w:r>
            <w:r>
              <w:rPr>
                <w:rFonts w:hint="eastAsia" w:ascii="宋体" w:hAnsi="宋体"/>
                <w:color w:val="auto"/>
                <w:szCs w:val="21"/>
                <w:highlight w:val="none"/>
                <w:lang w:val="en-US" w:eastAsia="zh-CN"/>
              </w:rPr>
              <w:t>67597762</w:t>
            </w:r>
          </w:p>
        </w:tc>
      </w:tr>
      <w:tr w14:paraId="5B00022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101" w:type="dxa"/>
            <w:tcBorders>
              <w:tl2br w:val="nil"/>
              <w:tr2bl w:val="nil"/>
            </w:tcBorders>
            <w:noWrap w:val="0"/>
            <w:vAlign w:val="center"/>
          </w:tcPr>
          <w:p w14:paraId="40299B21">
            <w:pPr>
              <w:pStyle w:val="9"/>
              <w:keepNext w:val="0"/>
              <w:keepLines w:val="0"/>
              <w:pageBreakBefore w:val="0"/>
              <w:widowControl w:val="0"/>
              <w:kinsoku/>
              <w:wordWrap/>
              <w:overflowPunct/>
              <w:topLinePunct w:val="0"/>
              <w:autoSpaceDE/>
              <w:autoSpaceDN/>
              <w:bidi w:val="0"/>
              <w:adjustRightInd/>
              <w:snapToGrid/>
              <w:spacing w:line="290" w:lineRule="exact"/>
              <w:jc w:val="center"/>
              <w:textAlignment w:val="auto"/>
              <w:rPr>
                <w:rFonts w:ascii="宋体" w:hAnsi="宋体"/>
                <w:color w:val="auto"/>
                <w:szCs w:val="21"/>
                <w:highlight w:val="none"/>
              </w:rPr>
            </w:pPr>
            <w:r>
              <w:rPr>
                <w:rFonts w:hint="eastAsia" w:ascii="宋体" w:hAnsi="宋体"/>
                <w:color w:val="auto"/>
                <w:szCs w:val="21"/>
                <w:highlight w:val="none"/>
              </w:rPr>
              <w:t>1.1.3</w:t>
            </w:r>
          </w:p>
        </w:tc>
        <w:tc>
          <w:tcPr>
            <w:tcW w:w="1701" w:type="dxa"/>
            <w:tcBorders>
              <w:tl2br w:val="nil"/>
              <w:tr2bl w:val="nil"/>
            </w:tcBorders>
            <w:noWrap w:val="0"/>
            <w:vAlign w:val="center"/>
          </w:tcPr>
          <w:p w14:paraId="4B11199F">
            <w:pPr>
              <w:pStyle w:val="9"/>
              <w:keepNext w:val="0"/>
              <w:keepLines w:val="0"/>
              <w:pageBreakBefore w:val="0"/>
              <w:widowControl w:val="0"/>
              <w:kinsoku/>
              <w:wordWrap/>
              <w:overflowPunct/>
              <w:topLinePunct w:val="0"/>
              <w:autoSpaceDE/>
              <w:autoSpaceDN/>
              <w:bidi w:val="0"/>
              <w:adjustRightInd/>
              <w:snapToGrid/>
              <w:spacing w:line="290" w:lineRule="exact"/>
              <w:jc w:val="center"/>
              <w:textAlignment w:val="auto"/>
              <w:rPr>
                <w:rFonts w:ascii="宋体" w:hAnsi="宋体"/>
                <w:color w:val="auto"/>
                <w:szCs w:val="21"/>
                <w:highlight w:val="none"/>
              </w:rPr>
            </w:pPr>
            <w:r>
              <w:rPr>
                <w:rFonts w:hint="eastAsia" w:ascii="宋体" w:hAnsi="宋体"/>
                <w:color w:val="auto"/>
                <w:szCs w:val="21"/>
                <w:highlight w:val="none"/>
              </w:rPr>
              <w:t>招标代理机构</w:t>
            </w:r>
          </w:p>
        </w:tc>
        <w:tc>
          <w:tcPr>
            <w:tcW w:w="6449" w:type="dxa"/>
            <w:tcBorders>
              <w:tl2br w:val="nil"/>
              <w:tr2bl w:val="nil"/>
            </w:tcBorders>
            <w:noWrap w:val="0"/>
            <w:vAlign w:val="center"/>
          </w:tcPr>
          <w:p w14:paraId="520D9144">
            <w:pPr>
              <w:pStyle w:val="9"/>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s="Times New Roman"/>
                <w:color w:val="auto"/>
                <w:spacing w:val="0"/>
                <w:sz w:val="21"/>
                <w:szCs w:val="21"/>
                <w:highlight w:val="none"/>
                <w:shd w:val="clear" w:color="auto" w:fill="FFFFFF"/>
                <w:lang w:eastAsia="zh-CN"/>
              </w:rPr>
            </w:pPr>
            <w:r>
              <w:rPr>
                <w:rFonts w:hint="eastAsia" w:ascii="宋体" w:hAnsi="宋体"/>
                <w:color w:val="auto"/>
                <w:szCs w:val="21"/>
                <w:highlight w:val="none"/>
              </w:rPr>
              <w:t>名  称：</w:t>
            </w:r>
            <w:r>
              <w:rPr>
                <w:rFonts w:hint="eastAsia" w:ascii="宋体" w:hAnsi="宋体" w:eastAsia="宋体" w:cs="Times New Roman"/>
                <w:color w:val="auto"/>
                <w:spacing w:val="0"/>
                <w:sz w:val="21"/>
                <w:highlight w:val="none"/>
                <w:lang w:eastAsia="zh-CN"/>
              </w:rPr>
              <w:t>建经投资咨询有限公司</w:t>
            </w:r>
          </w:p>
          <w:p w14:paraId="56FB0BAC">
            <w:pPr>
              <w:pStyle w:val="9"/>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eastAsia" w:ascii="宋体" w:hAnsi="宋体" w:cs="宋体"/>
                <w:color w:val="auto"/>
                <w:spacing w:val="0"/>
                <w:sz w:val="21"/>
                <w:szCs w:val="21"/>
                <w:highlight w:val="none"/>
                <w:shd w:val="clear" w:color="auto" w:fill="FFFFFF"/>
              </w:rPr>
            </w:pPr>
            <w:r>
              <w:rPr>
                <w:rFonts w:hint="eastAsia" w:ascii="宋体" w:hAnsi="宋体"/>
                <w:color w:val="auto"/>
                <w:spacing w:val="0"/>
                <w:sz w:val="21"/>
                <w:szCs w:val="21"/>
                <w:highlight w:val="none"/>
              </w:rPr>
              <w:t>地  址：</w:t>
            </w:r>
            <w:r>
              <w:rPr>
                <w:rFonts w:hint="eastAsia" w:ascii="宋体" w:hAnsi="宋体" w:eastAsia="宋体" w:cs="Times New Roman"/>
                <w:color w:val="auto"/>
                <w:spacing w:val="0"/>
                <w:sz w:val="21"/>
                <w:highlight w:val="none"/>
                <w:lang w:val="en-US" w:eastAsia="zh-CN"/>
              </w:rPr>
              <w:t>绍兴市新昌县海洋城公寓楼21楼</w:t>
            </w:r>
          </w:p>
          <w:p w14:paraId="40BF23F9">
            <w:pPr>
              <w:pStyle w:val="9"/>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color w:val="auto"/>
                <w:szCs w:val="21"/>
                <w:highlight w:val="none"/>
              </w:rPr>
            </w:pPr>
            <w:r>
              <w:rPr>
                <w:rFonts w:hint="eastAsia" w:ascii="宋体" w:hAnsi="宋体"/>
                <w:color w:val="auto"/>
                <w:szCs w:val="21"/>
                <w:highlight w:val="none"/>
              </w:rPr>
              <w:t>联系人：</w:t>
            </w:r>
            <w:r>
              <w:rPr>
                <w:rFonts w:hint="eastAsia" w:ascii="宋体" w:hAnsi="宋体"/>
                <w:color w:val="auto"/>
                <w:szCs w:val="21"/>
                <w:highlight w:val="none"/>
                <w:lang w:val="en-US" w:eastAsia="zh-CN"/>
              </w:rPr>
              <w:t>顾工</w:t>
            </w:r>
          </w:p>
          <w:p w14:paraId="56EDA590">
            <w:pPr>
              <w:pStyle w:val="9"/>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olor w:val="auto"/>
                <w:szCs w:val="21"/>
                <w:highlight w:val="none"/>
                <w:lang w:val="en-US" w:eastAsia="zh-CN"/>
              </w:rPr>
            </w:pPr>
            <w:r>
              <w:rPr>
                <w:rFonts w:hint="eastAsia" w:ascii="宋体" w:hAnsi="宋体"/>
                <w:color w:val="auto"/>
                <w:szCs w:val="21"/>
                <w:highlight w:val="none"/>
              </w:rPr>
              <w:t>电  话：</w:t>
            </w:r>
            <w:r>
              <w:rPr>
                <w:rFonts w:hint="eastAsia" w:ascii="宋体" w:hAnsi="宋体" w:eastAsia="宋体"/>
                <w:color w:val="auto"/>
                <w:szCs w:val="21"/>
                <w:highlight w:val="none"/>
                <w:lang w:eastAsia="zh-CN"/>
              </w:rPr>
              <w:t>0575-86331916</w:t>
            </w:r>
          </w:p>
        </w:tc>
      </w:tr>
      <w:tr w14:paraId="0813EB6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1101" w:type="dxa"/>
            <w:tcBorders>
              <w:tl2br w:val="nil"/>
              <w:tr2bl w:val="nil"/>
            </w:tcBorders>
            <w:noWrap w:val="0"/>
            <w:vAlign w:val="center"/>
          </w:tcPr>
          <w:p w14:paraId="544142AD">
            <w:pPr>
              <w:pStyle w:val="9"/>
              <w:keepNext w:val="0"/>
              <w:keepLines w:val="0"/>
              <w:pageBreakBefore w:val="0"/>
              <w:widowControl w:val="0"/>
              <w:kinsoku/>
              <w:wordWrap/>
              <w:overflowPunct/>
              <w:topLinePunct w:val="0"/>
              <w:autoSpaceDE/>
              <w:autoSpaceDN/>
              <w:bidi w:val="0"/>
              <w:adjustRightInd/>
              <w:snapToGrid/>
              <w:spacing w:line="290" w:lineRule="exact"/>
              <w:jc w:val="center"/>
              <w:textAlignment w:val="auto"/>
              <w:rPr>
                <w:rFonts w:ascii="宋体" w:hAnsi="宋体"/>
                <w:color w:val="auto"/>
                <w:szCs w:val="21"/>
                <w:highlight w:val="none"/>
              </w:rPr>
            </w:pPr>
            <w:r>
              <w:rPr>
                <w:rFonts w:hint="eastAsia" w:ascii="宋体" w:hAnsi="宋体"/>
                <w:color w:val="auto"/>
                <w:szCs w:val="21"/>
                <w:highlight w:val="none"/>
              </w:rPr>
              <w:t>1.1.4</w:t>
            </w:r>
          </w:p>
        </w:tc>
        <w:tc>
          <w:tcPr>
            <w:tcW w:w="1701" w:type="dxa"/>
            <w:tcBorders>
              <w:tl2br w:val="nil"/>
              <w:tr2bl w:val="nil"/>
            </w:tcBorders>
            <w:noWrap w:val="0"/>
            <w:vAlign w:val="center"/>
          </w:tcPr>
          <w:p w14:paraId="21637716">
            <w:pPr>
              <w:pStyle w:val="9"/>
              <w:keepNext w:val="0"/>
              <w:keepLines w:val="0"/>
              <w:pageBreakBefore w:val="0"/>
              <w:widowControl w:val="0"/>
              <w:kinsoku/>
              <w:wordWrap/>
              <w:overflowPunct/>
              <w:topLinePunct w:val="0"/>
              <w:autoSpaceDE/>
              <w:autoSpaceDN/>
              <w:bidi w:val="0"/>
              <w:adjustRightInd/>
              <w:snapToGrid/>
              <w:spacing w:line="290" w:lineRule="exact"/>
              <w:jc w:val="center"/>
              <w:textAlignment w:val="auto"/>
              <w:rPr>
                <w:rFonts w:ascii="宋体" w:hAnsi="宋体"/>
                <w:color w:val="auto"/>
                <w:szCs w:val="21"/>
                <w:highlight w:val="none"/>
              </w:rPr>
            </w:pPr>
            <w:r>
              <w:rPr>
                <w:rFonts w:hint="eastAsia" w:ascii="宋体" w:hAnsi="宋体"/>
                <w:color w:val="auto"/>
                <w:szCs w:val="21"/>
                <w:highlight w:val="none"/>
              </w:rPr>
              <w:t>项目名称</w:t>
            </w:r>
          </w:p>
        </w:tc>
        <w:tc>
          <w:tcPr>
            <w:tcW w:w="6449" w:type="dxa"/>
            <w:tcBorders>
              <w:tl2br w:val="nil"/>
              <w:tr2bl w:val="nil"/>
            </w:tcBorders>
            <w:noWrap w:val="0"/>
            <w:vAlign w:val="center"/>
          </w:tcPr>
          <w:p w14:paraId="071A0417">
            <w:pPr>
              <w:pStyle w:val="9"/>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2026年新昌县G104京岚线关岭隧道上行维修加固工程</w:t>
            </w:r>
          </w:p>
        </w:tc>
      </w:tr>
      <w:tr w14:paraId="065F2AE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1101" w:type="dxa"/>
            <w:tcBorders>
              <w:tl2br w:val="nil"/>
              <w:tr2bl w:val="nil"/>
            </w:tcBorders>
            <w:noWrap w:val="0"/>
            <w:vAlign w:val="center"/>
          </w:tcPr>
          <w:p w14:paraId="608FF9A0">
            <w:pPr>
              <w:pStyle w:val="9"/>
              <w:keepNext w:val="0"/>
              <w:keepLines w:val="0"/>
              <w:pageBreakBefore w:val="0"/>
              <w:widowControl w:val="0"/>
              <w:kinsoku/>
              <w:wordWrap/>
              <w:overflowPunct/>
              <w:topLinePunct w:val="0"/>
              <w:autoSpaceDE/>
              <w:autoSpaceDN/>
              <w:bidi w:val="0"/>
              <w:adjustRightInd/>
              <w:snapToGrid/>
              <w:spacing w:line="290" w:lineRule="exact"/>
              <w:jc w:val="center"/>
              <w:textAlignment w:val="auto"/>
              <w:rPr>
                <w:rFonts w:ascii="宋体" w:hAnsi="宋体"/>
                <w:color w:val="auto"/>
                <w:szCs w:val="21"/>
                <w:highlight w:val="none"/>
              </w:rPr>
            </w:pPr>
            <w:r>
              <w:rPr>
                <w:rFonts w:hint="eastAsia" w:ascii="宋体" w:hAnsi="宋体"/>
                <w:color w:val="auto"/>
                <w:szCs w:val="21"/>
                <w:highlight w:val="none"/>
              </w:rPr>
              <w:t>1.1.5</w:t>
            </w:r>
          </w:p>
        </w:tc>
        <w:tc>
          <w:tcPr>
            <w:tcW w:w="1701" w:type="dxa"/>
            <w:tcBorders>
              <w:tl2br w:val="nil"/>
              <w:tr2bl w:val="nil"/>
            </w:tcBorders>
            <w:noWrap w:val="0"/>
            <w:vAlign w:val="center"/>
          </w:tcPr>
          <w:p w14:paraId="6C8CD067">
            <w:pPr>
              <w:pStyle w:val="9"/>
              <w:keepNext w:val="0"/>
              <w:keepLines w:val="0"/>
              <w:pageBreakBefore w:val="0"/>
              <w:widowControl w:val="0"/>
              <w:kinsoku/>
              <w:wordWrap/>
              <w:overflowPunct/>
              <w:topLinePunct w:val="0"/>
              <w:autoSpaceDE/>
              <w:autoSpaceDN/>
              <w:bidi w:val="0"/>
              <w:adjustRightInd/>
              <w:snapToGrid/>
              <w:spacing w:line="290" w:lineRule="exact"/>
              <w:jc w:val="center"/>
              <w:textAlignment w:val="auto"/>
              <w:rPr>
                <w:rFonts w:ascii="宋体" w:hAnsi="宋体"/>
                <w:color w:val="auto"/>
                <w:szCs w:val="21"/>
                <w:highlight w:val="none"/>
              </w:rPr>
            </w:pPr>
            <w:r>
              <w:rPr>
                <w:rFonts w:hint="eastAsia" w:ascii="宋体" w:hAnsi="宋体" w:eastAsia="宋体"/>
                <w:color w:val="auto"/>
                <w:szCs w:val="21"/>
                <w:highlight w:val="none"/>
                <w:lang w:val="en-US" w:eastAsia="zh-CN"/>
              </w:rPr>
              <w:t>养护工程</w:t>
            </w:r>
            <w:r>
              <w:rPr>
                <w:rFonts w:hint="eastAsia" w:ascii="宋体" w:hAnsi="宋体"/>
                <w:color w:val="auto"/>
                <w:szCs w:val="21"/>
                <w:highlight w:val="none"/>
              </w:rPr>
              <w:t>地点</w:t>
            </w:r>
          </w:p>
        </w:tc>
        <w:tc>
          <w:tcPr>
            <w:tcW w:w="6449" w:type="dxa"/>
            <w:tcBorders>
              <w:tl2br w:val="nil"/>
              <w:tr2bl w:val="nil"/>
            </w:tcBorders>
            <w:noWrap w:val="0"/>
            <w:vAlign w:val="center"/>
          </w:tcPr>
          <w:p w14:paraId="1468C2D1">
            <w:pPr>
              <w:pStyle w:val="9"/>
              <w:keepNext w:val="0"/>
              <w:keepLines w:val="0"/>
              <w:pageBreakBefore w:val="0"/>
              <w:widowControl w:val="0"/>
              <w:kinsoku/>
              <w:wordWrap/>
              <w:overflowPunct/>
              <w:topLinePunct w:val="0"/>
              <w:autoSpaceDE/>
              <w:autoSpaceDN/>
              <w:bidi w:val="0"/>
              <w:adjustRightInd/>
              <w:snapToGrid/>
              <w:spacing w:line="380" w:lineRule="exact"/>
              <w:textAlignment w:val="auto"/>
              <w:rPr>
                <w:rFonts w:ascii="宋体" w:hAnsi="宋体"/>
                <w:color w:val="auto"/>
                <w:szCs w:val="21"/>
                <w:highlight w:val="none"/>
              </w:rPr>
            </w:pPr>
            <w:r>
              <w:rPr>
                <w:rFonts w:hint="eastAsia" w:ascii="宋体" w:hAnsi="宋体"/>
                <w:color w:val="auto"/>
                <w:szCs w:val="21"/>
                <w:highlight w:val="none"/>
              </w:rPr>
              <w:t>浙江省新昌县</w:t>
            </w:r>
          </w:p>
        </w:tc>
      </w:tr>
      <w:tr w14:paraId="67F794F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1101" w:type="dxa"/>
            <w:tcBorders>
              <w:tl2br w:val="nil"/>
              <w:tr2bl w:val="nil"/>
            </w:tcBorders>
            <w:noWrap w:val="0"/>
            <w:vAlign w:val="center"/>
          </w:tcPr>
          <w:p w14:paraId="0AB66C22">
            <w:pPr>
              <w:pStyle w:val="9"/>
              <w:keepNext w:val="0"/>
              <w:keepLines w:val="0"/>
              <w:pageBreakBefore w:val="0"/>
              <w:widowControl w:val="0"/>
              <w:kinsoku/>
              <w:wordWrap/>
              <w:overflowPunct/>
              <w:topLinePunct w:val="0"/>
              <w:autoSpaceDE/>
              <w:autoSpaceDN/>
              <w:bidi w:val="0"/>
              <w:adjustRightInd/>
              <w:snapToGrid/>
              <w:spacing w:line="290" w:lineRule="exact"/>
              <w:jc w:val="center"/>
              <w:textAlignment w:val="auto"/>
              <w:rPr>
                <w:rFonts w:ascii="宋体" w:hAnsi="宋体"/>
                <w:color w:val="auto"/>
                <w:szCs w:val="21"/>
                <w:highlight w:val="none"/>
              </w:rPr>
            </w:pPr>
            <w:r>
              <w:rPr>
                <w:rFonts w:hint="eastAsia" w:ascii="宋体" w:hAnsi="宋体"/>
                <w:color w:val="auto"/>
                <w:szCs w:val="21"/>
                <w:highlight w:val="none"/>
              </w:rPr>
              <w:t>1.2.1</w:t>
            </w:r>
          </w:p>
        </w:tc>
        <w:tc>
          <w:tcPr>
            <w:tcW w:w="1701" w:type="dxa"/>
            <w:tcBorders>
              <w:tl2br w:val="nil"/>
              <w:tr2bl w:val="nil"/>
            </w:tcBorders>
            <w:noWrap w:val="0"/>
            <w:vAlign w:val="center"/>
          </w:tcPr>
          <w:p w14:paraId="15A4DF24">
            <w:pPr>
              <w:pStyle w:val="9"/>
              <w:keepNext w:val="0"/>
              <w:keepLines w:val="0"/>
              <w:pageBreakBefore w:val="0"/>
              <w:widowControl w:val="0"/>
              <w:kinsoku/>
              <w:wordWrap/>
              <w:overflowPunct/>
              <w:topLinePunct w:val="0"/>
              <w:autoSpaceDE/>
              <w:autoSpaceDN/>
              <w:bidi w:val="0"/>
              <w:adjustRightInd/>
              <w:snapToGrid/>
              <w:spacing w:line="290" w:lineRule="exact"/>
              <w:jc w:val="center"/>
              <w:textAlignment w:val="auto"/>
              <w:rPr>
                <w:rFonts w:ascii="宋体" w:hAnsi="宋体"/>
                <w:color w:val="auto"/>
                <w:szCs w:val="21"/>
                <w:highlight w:val="none"/>
              </w:rPr>
            </w:pPr>
            <w:r>
              <w:rPr>
                <w:rFonts w:hint="eastAsia" w:ascii="宋体" w:hAnsi="宋体"/>
                <w:color w:val="auto"/>
                <w:szCs w:val="21"/>
                <w:highlight w:val="none"/>
              </w:rPr>
              <w:t>资金来源</w:t>
            </w:r>
          </w:p>
        </w:tc>
        <w:tc>
          <w:tcPr>
            <w:tcW w:w="6449" w:type="dxa"/>
            <w:tcBorders>
              <w:tl2br w:val="nil"/>
              <w:tr2bl w:val="nil"/>
            </w:tcBorders>
            <w:noWrap w:val="0"/>
            <w:vAlign w:val="center"/>
          </w:tcPr>
          <w:p w14:paraId="476D724C">
            <w:pPr>
              <w:pStyle w:val="9"/>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省补及</w:t>
            </w:r>
            <w:r>
              <w:rPr>
                <w:rFonts w:hint="eastAsia" w:ascii="宋体" w:hAnsi="宋体"/>
                <w:color w:val="auto"/>
                <w:szCs w:val="21"/>
                <w:highlight w:val="none"/>
              </w:rPr>
              <w:t>地方</w:t>
            </w:r>
            <w:r>
              <w:rPr>
                <w:rFonts w:hint="eastAsia" w:ascii="宋体" w:hAnsi="宋体" w:eastAsia="宋体"/>
                <w:color w:val="auto"/>
                <w:szCs w:val="21"/>
                <w:highlight w:val="none"/>
                <w:lang w:val="en-US" w:eastAsia="zh-CN"/>
              </w:rPr>
              <w:t>自筹</w:t>
            </w:r>
          </w:p>
        </w:tc>
      </w:tr>
      <w:tr w14:paraId="4BC74EB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1101" w:type="dxa"/>
            <w:tcBorders>
              <w:tl2br w:val="nil"/>
              <w:tr2bl w:val="nil"/>
            </w:tcBorders>
            <w:noWrap w:val="0"/>
            <w:vAlign w:val="center"/>
          </w:tcPr>
          <w:p w14:paraId="528FFEC2">
            <w:pPr>
              <w:pStyle w:val="9"/>
              <w:keepNext w:val="0"/>
              <w:keepLines w:val="0"/>
              <w:pageBreakBefore w:val="0"/>
              <w:widowControl w:val="0"/>
              <w:kinsoku/>
              <w:wordWrap/>
              <w:overflowPunct/>
              <w:topLinePunct w:val="0"/>
              <w:autoSpaceDE/>
              <w:autoSpaceDN/>
              <w:bidi w:val="0"/>
              <w:adjustRightInd/>
              <w:snapToGrid/>
              <w:spacing w:line="290" w:lineRule="exact"/>
              <w:jc w:val="center"/>
              <w:textAlignment w:val="auto"/>
              <w:rPr>
                <w:rFonts w:hint="eastAsia" w:ascii="宋体" w:hAnsi="宋体" w:eastAsia="宋体"/>
                <w:color w:val="auto"/>
                <w:szCs w:val="21"/>
                <w:highlight w:val="none"/>
                <w:lang w:eastAsia="zh-CN"/>
              </w:rPr>
            </w:pPr>
            <w:r>
              <w:rPr>
                <w:rFonts w:hint="eastAsia" w:ascii="宋体" w:hAnsi="宋体"/>
                <w:color w:val="auto"/>
                <w:szCs w:val="21"/>
                <w:highlight w:val="none"/>
              </w:rPr>
              <w:t>1.2.</w:t>
            </w:r>
            <w:r>
              <w:rPr>
                <w:rFonts w:hint="eastAsia" w:ascii="宋体" w:hAnsi="宋体" w:eastAsia="宋体"/>
                <w:color w:val="auto"/>
                <w:szCs w:val="21"/>
                <w:highlight w:val="none"/>
                <w:lang w:val="en-US" w:eastAsia="zh-CN"/>
              </w:rPr>
              <w:t>2</w:t>
            </w:r>
          </w:p>
        </w:tc>
        <w:tc>
          <w:tcPr>
            <w:tcW w:w="1701" w:type="dxa"/>
            <w:tcBorders>
              <w:tl2br w:val="nil"/>
              <w:tr2bl w:val="nil"/>
            </w:tcBorders>
            <w:noWrap w:val="0"/>
            <w:vAlign w:val="center"/>
          </w:tcPr>
          <w:p w14:paraId="79954930">
            <w:pPr>
              <w:pStyle w:val="9"/>
              <w:keepNext w:val="0"/>
              <w:keepLines w:val="0"/>
              <w:pageBreakBefore w:val="0"/>
              <w:widowControl w:val="0"/>
              <w:kinsoku/>
              <w:wordWrap/>
              <w:overflowPunct/>
              <w:topLinePunct w:val="0"/>
              <w:autoSpaceDE/>
              <w:autoSpaceDN/>
              <w:bidi w:val="0"/>
              <w:adjustRightInd/>
              <w:snapToGrid/>
              <w:spacing w:line="290" w:lineRule="exact"/>
              <w:jc w:val="center"/>
              <w:textAlignment w:val="auto"/>
              <w:rPr>
                <w:rFonts w:ascii="宋体" w:hAnsi="宋体"/>
                <w:color w:val="auto"/>
                <w:szCs w:val="21"/>
                <w:highlight w:val="none"/>
              </w:rPr>
            </w:pPr>
            <w:r>
              <w:rPr>
                <w:rFonts w:hint="eastAsia" w:ascii="宋体" w:hAnsi="宋体"/>
                <w:color w:val="auto"/>
                <w:szCs w:val="21"/>
                <w:highlight w:val="none"/>
              </w:rPr>
              <w:t>资金落实情况</w:t>
            </w:r>
          </w:p>
        </w:tc>
        <w:tc>
          <w:tcPr>
            <w:tcW w:w="6449" w:type="dxa"/>
            <w:tcBorders>
              <w:tl2br w:val="nil"/>
              <w:tr2bl w:val="nil"/>
            </w:tcBorders>
            <w:noWrap w:val="0"/>
            <w:vAlign w:val="center"/>
          </w:tcPr>
          <w:p w14:paraId="273D8332">
            <w:pPr>
              <w:pStyle w:val="9"/>
              <w:keepNext w:val="0"/>
              <w:keepLines w:val="0"/>
              <w:pageBreakBefore w:val="0"/>
              <w:widowControl w:val="0"/>
              <w:kinsoku/>
              <w:wordWrap/>
              <w:overflowPunct/>
              <w:topLinePunct w:val="0"/>
              <w:autoSpaceDE/>
              <w:autoSpaceDN/>
              <w:bidi w:val="0"/>
              <w:adjustRightInd/>
              <w:snapToGrid/>
              <w:spacing w:line="380" w:lineRule="exact"/>
              <w:textAlignment w:val="auto"/>
              <w:rPr>
                <w:rFonts w:ascii="宋体" w:hAnsi="宋体"/>
                <w:color w:val="auto"/>
                <w:szCs w:val="21"/>
                <w:highlight w:val="none"/>
              </w:rPr>
            </w:pPr>
            <w:bookmarkStart w:id="61" w:name="EBd76a357e5b6b44b09d8a46e3b51387d4"/>
            <w:r>
              <w:rPr>
                <w:rFonts w:hint="eastAsia" w:ascii="宋体" w:hAnsi="宋体"/>
                <w:color w:val="auto"/>
                <w:szCs w:val="21"/>
                <w:highlight w:val="none"/>
              </w:rPr>
              <w:t>已落实</w:t>
            </w:r>
            <w:bookmarkEnd w:id="61"/>
          </w:p>
        </w:tc>
      </w:tr>
      <w:tr w14:paraId="1928208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885" w:hRule="atLeast"/>
        </w:trPr>
        <w:tc>
          <w:tcPr>
            <w:tcW w:w="1101" w:type="dxa"/>
            <w:tcBorders>
              <w:tl2br w:val="nil"/>
              <w:tr2bl w:val="nil"/>
            </w:tcBorders>
            <w:noWrap w:val="0"/>
            <w:vAlign w:val="center"/>
          </w:tcPr>
          <w:p w14:paraId="14A6FFC5">
            <w:pPr>
              <w:pStyle w:val="9"/>
              <w:keepNext w:val="0"/>
              <w:keepLines w:val="0"/>
              <w:pageBreakBefore w:val="0"/>
              <w:widowControl w:val="0"/>
              <w:kinsoku/>
              <w:wordWrap/>
              <w:overflowPunct/>
              <w:topLinePunct w:val="0"/>
              <w:autoSpaceDE/>
              <w:autoSpaceDN/>
              <w:bidi w:val="0"/>
              <w:adjustRightInd/>
              <w:snapToGrid/>
              <w:spacing w:line="290" w:lineRule="exact"/>
              <w:jc w:val="center"/>
              <w:textAlignment w:val="auto"/>
              <w:rPr>
                <w:rFonts w:ascii="宋体" w:hAnsi="宋体"/>
                <w:color w:val="auto"/>
                <w:szCs w:val="21"/>
                <w:highlight w:val="none"/>
              </w:rPr>
            </w:pPr>
            <w:r>
              <w:rPr>
                <w:rFonts w:hint="eastAsia" w:ascii="宋体" w:hAnsi="宋体"/>
                <w:color w:val="auto"/>
                <w:szCs w:val="21"/>
                <w:highlight w:val="none"/>
              </w:rPr>
              <w:t>1.3.1</w:t>
            </w:r>
          </w:p>
        </w:tc>
        <w:tc>
          <w:tcPr>
            <w:tcW w:w="1701" w:type="dxa"/>
            <w:tcBorders>
              <w:tl2br w:val="nil"/>
              <w:tr2bl w:val="nil"/>
            </w:tcBorders>
            <w:noWrap w:val="0"/>
            <w:vAlign w:val="center"/>
          </w:tcPr>
          <w:p w14:paraId="7F34352C">
            <w:pPr>
              <w:pStyle w:val="9"/>
              <w:keepNext w:val="0"/>
              <w:keepLines w:val="0"/>
              <w:pageBreakBefore w:val="0"/>
              <w:widowControl w:val="0"/>
              <w:kinsoku/>
              <w:wordWrap/>
              <w:overflowPunct/>
              <w:topLinePunct w:val="0"/>
              <w:autoSpaceDE/>
              <w:autoSpaceDN/>
              <w:bidi w:val="0"/>
              <w:adjustRightInd/>
              <w:snapToGrid/>
              <w:spacing w:line="290" w:lineRule="exact"/>
              <w:jc w:val="center"/>
              <w:textAlignment w:val="auto"/>
              <w:rPr>
                <w:rFonts w:ascii="宋体" w:hAnsi="宋体"/>
                <w:color w:val="auto"/>
                <w:szCs w:val="21"/>
                <w:highlight w:val="none"/>
              </w:rPr>
            </w:pPr>
            <w:r>
              <w:rPr>
                <w:rFonts w:hint="eastAsia" w:ascii="宋体" w:hAnsi="宋体"/>
                <w:color w:val="auto"/>
                <w:szCs w:val="21"/>
                <w:highlight w:val="none"/>
              </w:rPr>
              <w:t>招标范围</w:t>
            </w:r>
          </w:p>
        </w:tc>
        <w:tc>
          <w:tcPr>
            <w:tcW w:w="6449" w:type="dxa"/>
            <w:tcBorders>
              <w:tl2br w:val="nil"/>
              <w:tr2bl w:val="nil"/>
            </w:tcBorders>
            <w:noWrap w:val="0"/>
            <w:vAlign w:val="center"/>
          </w:tcPr>
          <w:p w14:paraId="053267D9">
            <w:pPr>
              <w:keepNext w:val="0"/>
              <w:keepLines w:val="0"/>
              <w:pageBreakBefore w:val="0"/>
              <w:widowControl w:val="0"/>
              <w:kinsoku/>
              <w:wordWrap/>
              <w:overflowPunct/>
              <w:topLinePunct w:val="0"/>
              <w:autoSpaceDE/>
              <w:autoSpaceDN/>
              <w:bidi w:val="0"/>
              <w:spacing w:line="380" w:lineRule="exact"/>
              <w:jc w:val="both"/>
              <w:textAlignment w:val="auto"/>
              <w:rPr>
                <w:rFonts w:hint="eastAsia" w:ascii="宋体" w:hAnsi="宋体" w:eastAsia="Times New Roman" w:cs="Times New Roman"/>
                <w:color w:val="auto"/>
                <w:kern w:val="2"/>
                <w:sz w:val="21"/>
                <w:szCs w:val="21"/>
                <w:highlight w:val="none"/>
                <w:lang w:val="en-US" w:eastAsia="zh-CN" w:bidi="ar-SA"/>
              </w:rPr>
            </w:pPr>
            <w:r>
              <w:rPr>
                <w:rFonts w:hint="eastAsia" w:ascii="宋体" w:hAnsi="宋体" w:eastAsia="Times New Roman" w:cs="Times New Roman"/>
                <w:color w:val="auto"/>
                <w:kern w:val="2"/>
                <w:sz w:val="21"/>
                <w:szCs w:val="21"/>
                <w:highlight w:val="none"/>
                <w:lang w:val="en-US" w:eastAsia="zh-CN" w:bidi="ar-SA"/>
              </w:rPr>
              <w:t>本次施工招标设1个标段，即第SG-01标段。</w:t>
            </w:r>
          </w:p>
          <w:p w14:paraId="444A1D52">
            <w:pPr>
              <w:pStyle w:val="9"/>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Times New Roman" w:cs="Times New Roman"/>
                <w:color w:val="auto"/>
                <w:szCs w:val="21"/>
                <w:highlight w:val="none"/>
              </w:rPr>
            </w:pPr>
            <w:r>
              <w:rPr>
                <w:rFonts w:hint="eastAsia" w:ascii="宋体" w:hAnsi="宋体" w:eastAsia="Times New Roman" w:cs="Times New Roman"/>
                <w:color w:val="auto"/>
                <w:kern w:val="2"/>
                <w:sz w:val="21"/>
                <w:szCs w:val="21"/>
                <w:highlight w:val="none"/>
                <w:lang w:val="en-US" w:eastAsia="zh-CN" w:bidi="ar-SA"/>
              </w:rPr>
              <w:t>本标段主要工作内容为：对</w:t>
            </w:r>
            <w:r>
              <w:rPr>
                <w:rFonts w:hint="eastAsia" w:ascii="宋体" w:hAnsi="宋体" w:eastAsia="宋体" w:cs="宋体"/>
                <w:b w:val="0"/>
                <w:bCs w:val="0"/>
                <w:color w:val="auto"/>
                <w:kern w:val="2"/>
                <w:sz w:val="21"/>
                <w:szCs w:val="21"/>
                <w:highlight w:val="none"/>
                <w:lang w:val="en-US" w:eastAsia="zh-CN" w:bidi="ar-SA"/>
              </w:rPr>
              <w:t>关岭隧道进行维修加固</w:t>
            </w:r>
            <w:r>
              <w:rPr>
                <w:rFonts w:hint="eastAsia" w:ascii="宋体" w:hAnsi="宋体" w:eastAsia="Times New Roman" w:cs="Times New Roman"/>
                <w:color w:val="auto"/>
                <w:kern w:val="2"/>
                <w:sz w:val="21"/>
                <w:szCs w:val="21"/>
                <w:highlight w:val="none"/>
                <w:lang w:val="en-US" w:eastAsia="zh-CN" w:bidi="ar-SA"/>
              </w:rPr>
              <w:t>的施工及缺陷责任期缺陷修复等。</w:t>
            </w:r>
          </w:p>
        </w:tc>
      </w:tr>
      <w:tr w14:paraId="6823D61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40" w:hRule="atLeast"/>
        </w:trPr>
        <w:tc>
          <w:tcPr>
            <w:tcW w:w="1101" w:type="dxa"/>
            <w:tcBorders>
              <w:tl2br w:val="nil"/>
              <w:tr2bl w:val="nil"/>
            </w:tcBorders>
            <w:noWrap w:val="0"/>
            <w:vAlign w:val="center"/>
          </w:tcPr>
          <w:p w14:paraId="3C04B5C2">
            <w:pPr>
              <w:pStyle w:val="9"/>
              <w:keepNext w:val="0"/>
              <w:keepLines w:val="0"/>
              <w:pageBreakBefore w:val="0"/>
              <w:widowControl w:val="0"/>
              <w:kinsoku/>
              <w:wordWrap/>
              <w:overflowPunct/>
              <w:topLinePunct w:val="0"/>
              <w:autoSpaceDE/>
              <w:autoSpaceDN/>
              <w:bidi w:val="0"/>
              <w:adjustRightInd/>
              <w:snapToGrid/>
              <w:spacing w:line="290" w:lineRule="exact"/>
              <w:jc w:val="center"/>
              <w:textAlignment w:val="auto"/>
              <w:rPr>
                <w:rFonts w:ascii="宋体" w:hAnsi="宋体"/>
                <w:color w:val="auto"/>
                <w:szCs w:val="21"/>
                <w:highlight w:val="none"/>
              </w:rPr>
            </w:pPr>
            <w:r>
              <w:rPr>
                <w:rFonts w:hint="eastAsia" w:ascii="宋体" w:hAnsi="宋体"/>
                <w:color w:val="auto"/>
                <w:szCs w:val="21"/>
                <w:highlight w:val="none"/>
              </w:rPr>
              <w:t>1.3.2</w:t>
            </w:r>
          </w:p>
        </w:tc>
        <w:tc>
          <w:tcPr>
            <w:tcW w:w="1701" w:type="dxa"/>
            <w:tcBorders>
              <w:tl2br w:val="nil"/>
              <w:tr2bl w:val="nil"/>
            </w:tcBorders>
            <w:noWrap w:val="0"/>
            <w:vAlign w:val="center"/>
          </w:tcPr>
          <w:p w14:paraId="5B3F6E81">
            <w:pPr>
              <w:pStyle w:val="9"/>
              <w:keepNext w:val="0"/>
              <w:keepLines w:val="0"/>
              <w:pageBreakBefore w:val="0"/>
              <w:widowControl w:val="0"/>
              <w:kinsoku/>
              <w:wordWrap/>
              <w:overflowPunct/>
              <w:topLinePunct w:val="0"/>
              <w:autoSpaceDE/>
              <w:autoSpaceDN/>
              <w:bidi w:val="0"/>
              <w:adjustRightInd/>
              <w:snapToGrid/>
              <w:spacing w:line="290" w:lineRule="exact"/>
              <w:jc w:val="center"/>
              <w:textAlignment w:val="auto"/>
              <w:rPr>
                <w:rFonts w:ascii="宋体" w:hAnsi="宋体"/>
                <w:color w:val="auto"/>
                <w:szCs w:val="21"/>
                <w:highlight w:val="none"/>
              </w:rPr>
            </w:pPr>
            <w:r>
              <w:rPr>
                <w:rFonts w:hint="eastAsia" w:ascii="宋体" w:hAnsi="宋体"/>
                <w:color w:val="auto"/>
                <w:szCs w:val="21"/>
                <w:highlight w:val="none"/>
              </w:rPr>
              <w:t>计划工期</w:t>
            </w:r>
          </w:p>
        </w:tc>
        <w:tc>
          <w:tcPr>
            <w:tcW w:w="6449" w:type="dxa"/>
            <w:tcBorders>
              <w:tl2br w:val="nil"/>
              <w:tr2bl w:val="nil"/>
            </w:tcBorders>
            <w:noWrap w:val="0"/>
            <w:vAlign w:val="center"/>
          </w:tcPr>
          <w:p w14:paraId="36A5C684">
            <w:pPr>
              <w:pStyle w:val="9"/>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color w:val="auto"/>
                <w:szCs w:val="21"/>
                <w:highlight w:val="none"/>
              </w:rPr>
            </w:pPr>
            <w:r>
              <w:rPr>
                <w:rFonts w:hint="eastAsia" w:ascii="宋体" w:hAnsi="宋体"/>
                <w:color w:val="auto"/>
                <w:spacing w:val="-2"/>
                <w:szCs w:val="21"/>
                <w:highlight w:val="none"/>
                <w:lang w:val="en-US" w:eastAsia="zh-CN"/>
              </w:rPr>
              <w:t>计划工期：</w:t>
            </w:r>
            <w:r>
              <w:rPr>
                <w:rFonts w:hint="eastAsia" w:ascii="宋体" w:hAnsi="宋体" w:eastAsia="宋体" w:cs="宋体"/>
                <w:color w:val="auto"/>
                <w:szCs w:val="21"/>
                <w:highlight w:val="none"/>
                <w:u w:val="single"/>
                <w:lang w:val="en-US" w:eastAsia="zh-CN"/>
              </w:rPr>
              <w:t xml:space="preserve"> 4 </w:t>
            </w:r>
            <w:r>
              <w:rPr>
                <w:rFonts w:hint="eastAsia" w:ascii="宋体" w:hAnsi="宋体" w:eastAsia="宋体" w:cs="宋体"/>
                <w:color w:val="auto"/>
                <w:szCs w:val="21"/>
                <w:highlight w:val="none"/>
                <w:lang w:val="en-US" w:eastAsia="zh-CN"/>
              </w:rPr>
              <w:t>个月（120日历天）</w:t>
            </w:r>
            <w:r>
              <w:rPr>
                <w:rFonts w:hint="eastAsia" w:ascii="宋体" w:hAnsi="宋体"/>
                <w:color w:val="auto"/>
                <w:spacing w:val="-2"/>
                <w:szCs w:val="21"/>
                <w:highlight w:val="none"/>
                <w:lang w:eastAsia="zh-CN"/>
              </w:rPr>
              <w:t>（其中全封闭施工工期30天）</w:t>
            </w:r>
            <w:r>
              <w:rPr>
                <w:rFonts w:hint="eastAsia" w:ascii="宋体" w:hAnsi="宋体" w:eastAsia="宋体" w:cs="宋体"/>
                <w:color w:val="auto"/>
                <w:spacing w:val="5"/>
                <w:sz w:val="20"/>
                <w:szCs w:val="20"/>
                <w:highlight w:val="none"/>
                <w:lang w:eastAsia="zh-CN"/>
              </w:rPr>
              <w:t>；</w:t>
            </w:r>
            <w:r>
              <w:rPr>
                <w:rFonts w:hint="eastAsia" w:ascii="宋体" w:hAnsi="宋体"/>
                <w:color w:val="auto"/>
                <w:szCs w:val="21"/>
                <w:highlight w:val="none"/>
              </w:rPr>
              <w:t>缺陷责任期：12个月</w:t>
            </w:r>
          </w:p>
        </w:tc>
      </w:tr>
      <w:tr w14:paraId="731F8E8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40" w:hRule="atLeast"/>
        </w:trPr>
        <w:tc>
          <w:tcPr>
            <w:tcW w:w="1101" w:type="dxa"/>
            <w:tcBorders>
              <w:tl2br w:val="nil"/>
              <w:tr2bl w:val="nil"/>
            </w:tcBorders>
            <w:noWrap w:val="0"/>
            <w:vAlign w:val="center"/>
          </w:tcPr>
          <w:p w14:paraId="37906190">
            <w:pPr>
              <w:pStyle w:val="9"/>
              <w:keepNext w:val="0"/>
              <w:keepLines w:val="0"/>
              <w:pageBreakBefore w:val="0"/>
              <w:widowControl w:val="0"/>
              <w:kinsoku/>
              <w:wordWrap/>
              <w:overflowPunct/>
              <w:topLinePunct w:val="0"/>
              <w:autoSpaceDE/>
              <w:autoSpaceDN/>
              <w:bidi w:val="0"/>
              <w:adjustRightInd/>
              <w:snapToGrid/>
              <w:spacing w:line="290" w:lineRule="exact"/>
              <w:jc w:val="center"/>
              <w:textAlignment w:val="auto"/>
              <w:rPr>
                <w:rFonts w:hint="eastAsia" w:ascii="宋体" w:hAnsi="宋体" w:eastAsia="Times New Roman" w:cs="Times New Roman"/>
                <w:color w:val="auto"/>
                <w:kern w:val="2"/>
                <w:sz w:val="21"/>
                <w:szCs w:val="21"/>
                <w:highlight w:val="none"/>
                <w:lang w:val="en-US" w:eastAsia="zh-CN" w:bidi="ar-SA"/>
              </w:rPr>
            </w:pPr>
            <w:r>
              <w:rPr>
                <w:rFonts w:hint="eastAsia" w:ascii="宋体" w:hAnsi="宋体"/>
                <w:color w:val="auto"/>
                <w:szCs w:val="21"/>
                <w:highlight w:val="none"/>
              </w:rPr>
              <w:t>1.3.3</w:t>
            </w:r>
          </w:p>
        </w:tc>
        <w:tc>
          <w:tcPr>
            <w:tcW w:w="1701" w:type="dxa"/>
            <w:tcBorders>
              <w:tl2br w:val="nil"/>
              <w:tr2bl w:val="nil"/>
            </w:tcBorders>
            <w:noWrap w:val="0"/>
            <w:vAlign w:val="center"/>
          </w:tcPr>
          <w:p w14:paraId="08646700">
            <w:pPr>
              <w:pStyle w:val="9"/>
              <w:keepNext w:val="0"/>
              <w:keepLines w:val="0"/>
              <w:pageBreakBefore w:val="0"/>
              <w:widowControl w:val="0"/>
              <w:kinsoku/>
              <w:wordWrap/>
              <w:overflowPunct/>
              <w:topLinePunct w:val="0"/>
              <w:autoSpaceDE/>
              <w:autoSpaceDN/>
              <w:bidi w:val="0"/>
              <w:adjustRightInd/>
              <w:snapToGrid/>
              <w:spacing w:line="290" w:lineRule="exact"/>
              <w:jc w:val="center"/>
              <w:textAlignment w:val="auto"/>
              <w:rPr>
                <w:rFonts w:hint="eastAsia" w:ascii="宋体" w:hAnsi="宋体" w:eastAsia="Times New Roman" w:cs="Times New Roman"/>
                <w:color w:val="auto"/>
                <w:kern w:val="2"/>
                <w:sz w:val="21"/>
                <w:szCs w:val="21"/>
                <w:highlight w:val="none"/>
                <w:lang w:val="en-US" w:eastAsia="zh-CN" w:bidi="ar-SA"/>
              </w:rPr>
            </w:pPr>
            <w:r>
              <w:rPr>
                <w:rFonts w:hint="eastAsia" w:ascii="宋体" w:hAnsi="宋体"/>
                <w:color w:val="auto"/>
                <w:szCs w:val="21"/>
                <w:highlight w:val="none"/>
              </w:rPr>
              <w:t>质量要求</w:t>
            </w:r>
          </w:p>
        </w:tc>
        <w:tc>
          <w:tcPr>
            <w:tcW w:w="6449" w:type="dxa"/>
            <w:tcBorders>
              <w:tl2br w:val="nil"/>
              <w:tr2bl w:val="nil"/>
            </w:tcBorders>
            <w:noWrap w:val="0"/>
            <w:vAlign w:val="center"/>
          </w:tcPr>
          <w:p w14:paraId="4FB27628">
            <w:pPr>
              <w:pStyle w:val="9"/>
              <w:keepNext w:val="0"/>
              <w:keepLines w:val="0"/>
              <w:pageBreakBefore w:val="0"/>
              <w:widowControl w:val="0"/>
              <w:kinsoku/>
              <w:wordWrap/>
              <w:overflowPunct/>
              <w:topLinePunct w:val="0"/>
              <w:autoSpaceDE/>
              <w:autoSpaceDN/>
              <w:bidi w:val="0"/>
              <w:adjustRightInd/>
              <w:snapToGrid/>
              <w:spacing w:line="380" w:lineRule="exact"/>
              <w:textAlignment w:val="auto"/>
              <w:rPr>
                <w:rFonts w:hint="default"/>
                <w:color w:val="auto"/>
                <w:highlight w:val="none"/>
                <w:lang w:val="en-US" w:eastAsia="zh-CN"/>
              </w:rPr>
            </w:pPr>
            <w:r>
              <w:rPr>
                <w:rFonts w:hint="eastAsia"/>
                <w:color w:val="auto"/>
                <w:highlight w:val="none"/>
              </w:rPr>
              <w:t>标段工程竣（交）工验收的质量评定：</w:t>
            </w:r>
            <w:r>
              <w:rPr>
                <w:rFonts w:hint="eastAsia"/>
                <w:color w:val="auto"/>
                <w:highlight w:val="none"/>
                <w:lang w:val="en-US" w:eastAsia="zh-CN"/>
              </w:rPr>
              <w:t>合格；</w:t>
            </w:r>
          </w:p>
          <w:p w14:paraId="42C8079B">
            <w:pPr>
              <w:pStyle w:val="9"/>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color w:val="auto"/>
                <w:spacing w:val="-2"/>
                <w:szCs w:val="21"/>
                <w:highlight w:val="none"/>
                <w:lang w:val="en-US" w:eastAsia="zh-CN"/>
              </w:rPr>
            </w:pPr>
            <w:r>
              <w:rPr>
                <w:rFonts w:hint="eastAsia"/>
                <w:color w:val="auto"/>
                <w:highlight w:val="none"/>
                <w:lang w:val="en-US" w:eastAsia="zh-CN"/>
              </w:rPr>
              <w:t>技术状况评定：土建部分技术状况评分90分及以上，机电部分</w:t>
            </w:r>
            <w:r>
              <w:rPr>
                <w:rFonts w:hint="eastAsia" w:ascii="Times New Roman" w:eastAsia="宋体"/>
                <w:color w:val="auto"/>
                <w:highlight w:val="none"/>
                <w:lang w:val="en-US" w:eastAsia="zh-CN"/>
              </w:rPr>
              <w:t>技术状况评分</w:t>
            </w:r>
            <w:r>
              <w:rPr>
                <w:rFonts w:hint="eastAsia"/>
                <w:color w:val="auto"/>
                <w:highlight w:val="none"/>
                <w:lang w:val="en-US" w:eastAsia="zh-CN"/>
              </w:rPr>
              <w:t>98分及以上。</w:t>
            </w:r>
          </w:p>
        </w:tc>
      </w:tr>
      <w:tr w14:paraId="0F770EB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94" w:hRule="atLeast"/>
        </w:trPr>
        <w:tc>
          <w:tcPr>
            <w:tcW w:w="1101" w:type="dxa"/>
            <w:tcBorders>
              <w:tl2br w:val="nil"/>
              <w:tr2bl w:val="nil"/>
            </w:tcBorders>
            <w:noWrap w:val="0"/>
            <w:vAlign w:val="center"/>
          </w:tcPr>
          <w:p w14:paraId="6350F08E">
            <w:pPr>
              <w:pStyle w:val="9"/>
              <w:keepNext w:val="0"/>
              <w:keepLines w:val="0"/>
              <w:pageBreakBefore w:val="0"/>
              <w:widowControl w:val="0"/>
              <w:kinsoku/>
              <w:wordWrap/>
              <w:overflowPunct/>
              <w:topLinePunct w:val="0"/>
              <w:autoSpaceDE/>
              <w:autoSpaceDN/>
              <w:bidi w:val="0"/>
              <w:adjustRightInd/>
              <w:snapToGrid/>
              <w:spacing w:line="290" w:lineRule="exact"/>
              <w:jc w:val="center"/>
              <w:textAlignment w:val="auto"/>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1.3.4</w:t>
            </w:r>
          </w:p>
        </w:tc>
        <w:tc>
          <w:tcPr>
            <w:tcW w:w="1701" w:type="dxa"/>
            <w:tcBorders>
              <w:tl2br w:val="nil"/>
              <w:tr2bl w:val="nil"/>
            </w:tcBorders>
            <w:noWrap w:val="0"/>
            <w:vAlign w:val="center"/>
          </w:tcPr>
          <w:p w14:paraId="7B746C24">
            <w:pPr>
              <w:pStyle w:val="9"/>
              <w:keepNext w:val="0"/>
              <w:keepLines w:val="0"/>
              <w:pageBreakBefore w:val="0"/>
              <w:widowControl w:val="0"/>
              <w:kinsoku/>
              <w:wordWrap/>
              <w:overflowPunct/>
              <w:topLinePunct w:val="0"/>
              <w:autoSpaceDE/>
              <w:autoSpaceDN/>
              <w:bidi w:val="0"/>
              <w:adjustRightInd/>
              <w:snapToGrid/>
              <w:spacing w:line="290" w:lineRule="exact"/>
              <w:jc w:val="center"/>
              <w:textAlignment w:val="auto"/>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安全目标</w:t>
            </w:r>
          </w:p>
        </w:tc>
        <w:tc>
          <w:tcPr>
            <w:tcW w:w="6449" w:type="dxa"/>
            <w:tcBorders>
              <w:tl2br w:val="nil"/>
              <w:tr2bl w:val="nil"/>
            </w:tcBorders>
            <w:noWrap w:val="0"/>
            <w:vAlign w:val="center"/>
          </w:tcPr>
          <w:p w14:paraId="41EE85AF">
            <w:pPr>
              <w:pStyle w:val="9"/>
              <w:keepNext w:val="0"/>
              <w:keepLines w:val="0"/>
              <w:pageBreakBefore w:val="0"/>
              <w:widowControl w:val="0"/>
              <w:kinsoku/>
              <w:wordWrap/>
              <w:overflowPunct/>
              <w:topLinePunct w:val="0"/>
              <w:autoSpaceDE/>
              <w:autoSpaceDN/>
              <w:bidi w:val="0"/>
              <w:adjustRightInd/>
              <w:snapToGrid/>
              <w:spacing w:line="380" w:lineRule="exact"/>
              <w:textAlignment w:val="auto"/>
              <w:rPr>
                <w:rFonts w:hint="default" w:ascii="宋体" w:hAnsi="宋体"/>
                <w:color w:val="auto"/>
                <w:szCs w:val="21"/>
                <w:highlight w:val="none"/>
                <w:lang w:val="en-US"/>
              </w:rPr>
            </w:pPr>
            <w:r>
              <w:rPr>
                <w:rFonts w:hint="default" w:ascii="宋体" w:hAnsi="宋体"/>
                <w:color w:val="auto"/>
                <w:szCs w:val="21"/>
                <w:highlight w:val="none"/>
                <w:lang w:val="en-US"/>
              </w:rPr>
              <w:t>不发生较大及以上生产安全责任事故，人员零死亡</w:t>
            </w:r>
          </w:p>
        </w:tc>
      </w:tr>
      <w:tr w14:paraId="1C4AE95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394" w:hRule="atLeast"/>
        </w:trPr>
        <w:tc>
          <w:tcPr>
            <w:tcW w:w="1101" w:type="dxa"/>
            <w:tcBorders>
              <w:tl2br w:val="nil"/>
              <w:tr2bl w:val="nil"/>
            </w:tcBorders>
            <w:noWrap w:val="0"/>
            <w:vAlign w:val="center"/>
          </w:tcPr>
          <w:p w14:paraId="25A83277">
            <w:pPr>
              <w:pStyle w:val="9"/>
              <w:keepNext w:val="0"/>
              <w:keepLines w:val="0"/>
              <w:pageBreakBefore w:val="0"/>
              <w:widowControl w:val="0"/>
              <w:kinsoku/>
              <w:wordWrap/>
              <w:overflowPunct/>
              <w:topLinePunct w:val="0"/>
              <w:autoSpaceDE/>
              <w:autoSpaceDN/>
              <w:bidi w:val="0"/>
              <w:adjustRightInd/>
              <w:snapToGrid/>
              <w:spacing w:line="290" w:lineRule="exact"/>
              <w:jc w:val="center"/>
              <w:textAlignment w:val="auto"/>
              <w:rPr>
                <w:rFonts w:ascii="宋体" w:hAnsi="宋体"/>
                <w:color w:val="auto"/>
                <w:szCs w:val="21"/>
                <w:highlight w:val="none"/>
              </w:rPr>
            </w:pPr>
            <w:r>
              <w:rPr>
                <w:rFonts w:hint="eastAsia" w:ascii="宋体" w:hAnsi="宋体"/>
                <w:color w:val="auto"/>
                <w:szCs w:val="21"/>
                <w:highlight w:val="none"/>
              </w:rPr>
              <w:t>1.4.1</w:t>
            </w:r>
          </w:p>
        </w:tc>
        <w:tc>
          <w:tcPr>
            <w:tcW w:w="1701" w:type="dxa"/>
            <w:tcBorders>
              <w:tl2br w:val="nil"/>
              <w:tr2bl w:val="nil"/>
            </w:tcBorders>
            <w:noWrap w:val="0"/>
            <w:vAlign w:val="center"/>
          </w:tcPr>
          <w:p w14:paraId="498B9A13">
            <w:pPr>
              <w:pStyle w:val="9"/>
              <w:keepNext w:val="0"/>
              <w:keepLines w:val="0"/>
              <w:pageBreakBefore w:val="0"/>
              <w:widowControl w:val="0"/>
              <w:kinsoku/>
              <w:wordWrap/>
              <w:overflowPunct/>
              <w:topLinePunct w:val="0"/>
              <w:autoSpaceDE/>
              <w:autoSpaceDN/>
              <w:bidi w:val="0"/>
              <w:adjustRightInd/>
              <w:snapToGrid/>
              <w:spacing w:line="290" w:lineRule="exact"/>
              <w:jc w:val="center"/>
              <w:textAlignment w:val="auto"/>
              <w:rPr>
                <w:rFonts w:ascii="宋体" w:hAnsi="宋体"/>
                <w:color w:val="auto"/>
                <w:szCs w:val="21"/>
                <w:highlight w:val="none"/>
              </w:rPr>
            </w:pPr>
            <w:r>
              <w:rPr>
                <w:rFonts w:hint="eastAsia" w:ascii="宋体" w:hAnsi="宋体"/>
                <w:color w:val="auto"/>
                <w:szCs w:val="21"/>
                <w:highlight w:val="none"/>
              </w:rPr>
              <w:t>投标人资质条件、能力和信誉</w:t>
            </w:r>
          </w:p>
        </w:tc>
        <w:tc>
          <w:tcPr>
            <w:tcW w:w="6449" w:type="dxa"/>
            <w:tcBorders>
              <w:tl2br w:val="nil"/>
              <w:tr2bl w:val="nil"/>
            </w:tcBorders>
            <w:noWrap w:val="0"/>
            <w:vAlign w:val="center"/>
          </w:tcPr>
          <w:p w14:paraId="76EAC043">
            <w:pPr>
              <w:pStyle w:val="9"/>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color w:val="auto"/>
                <w:szCs w:val="21"/>
                <w:highlight w:val="none"/>
              </w:rPr>
            </w:pPr>
            <w:r>
              <w:rPr>
                <w:rFonts w:hint="eastAsia" w:ascii="宋体" w:hAnsi="宋体"/>
                <w:color w:val="auto"/>
                <w:szCs w:val="21"/>
                <w:highlight w:val="none"/>
              </w:rPr>
              <w:t>资质条件：见附录1</w:t>
            </w:r>
          </w:p>
          <w:p w14:paraId="220A9949">
            <w:pPr>
              <w:pStyle w:val="9"/>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color w:val="auto"/>
                <w:szCs w:val="21"/>
                <w:highlight w:val="none"/>
              </w:rPr>
            </w:pPr>
            <w:r>
              <w:rPr>
                <w:rFonts w:hint="eastAsia" w:ascii="宋体" w:hAnsi="宋体"/>
                <w:color w:val="auto"/>
                <w:szCs w:val="21"/>
                <w:highlight w:val="none"/>
              </w:rPr>
              <w:t>财务要求：见附录2</w:t>
            </w:r>
          </w:p>
          <w:p w14:paraId="364CAEDD">
            <w:pPr>
              <w:pStyle w:val="9"/>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color w:val="auto"/>
                <w:szCs w:val="21"/>
                <w:highlight w:val="none"/>
              </w:rPr>
            </w:pPr>
            <w:r>
              <w:rPr>
                <w:rFonts w:hint="eastAsia" w:ascii="宋体" w:hAnsi="宋体"/>
                <w:color w:val="auto"/>
                <w:szCs w:val="21"/>
                <w:highlight w:val="none"/>
              </w:rPr>
              <w:t>业绩要求：见附录3</w:t>
            </w:r>
          </w:p>
          <w:p w14:paraId="36D6F4E2">
            <w:pPr>
              <w:pStyle w:val="9"/>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color w:val="auto"/>
                <w:szCs w:val="21"/>
                <w:highlight w:val="none"/>
              </w:rPr>
            </w:pPr>
            <w:r>
              <w:rPr>
                <w:rFonts w:hint="eastAsia" w:ascii="宋体" w:hAnsi="宋体"/>
                <w:color w:val="auto"/>
                <w:szCs w:val="21"/>
                <w:highlight w:val="none"/>
              </w:rPr>
              <w:t>信誉要求：见附录4</w:t>
            </w:r>
          </w:p>
          <w:p w14:paraId="5AD6AE57">
            <w:pPr>
              <w:pStyle w:val="9"/>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color w:val="auto"/>
                <w:szCs w:val="21"/>
                <w:highlight w:val="none"/>
              </w:rPr>
            </w:pPr>
            <w:r>
              <w:rPr>
                <w:rFonts w:hint="eastAsia" w:ascii="宋体" w:hAnsi="宋体"/>
                <w:color w:val="auto"/>
                <w:szCs w:val="21"/>
                <w:highlight w:val="none"/>
              </w:rPr>
              <w:t>项目经理</w:t>
            </w:r>
            <w:r>
              <w:rPr>
                <w:rFonts w:hint="eastAsia" w:ascii="宋体" w:hAnsi="宋体" w:eastAsia="宋体"/>
                <w:color w:val="auto"/>
                <w:szCs w:val="21"/>
                <w:highlight w:val="none"/>
                <w:lang w:eastAsia="zh-CN"/>
              </w:rPr>
              <w:t>、</w:t>
            </w:r>
            <w:r>
              <w:rPr>
                <w:rFonts w:hint="eastAsia" w:ascii="宋体" w:hAnsi="宋体"/>
                <w:color w:val="auto"/>
                <w:szCs w:val="21"/>
                <w:highlight w:val="none"/>
              </w:rPr>
              <w:t>项目</w:t>
            </w:r>
            <w:r>
              <w:rPr>
                <w:rFonts w:hint="eastAsia" w:ascii="宋体" w:hAnsi="宋体" w:eastAsia="宋体"/>
                <w:color w:val="auto"/>
                <w:szCs w:val="21"/>
                <w:highlight w:val="none"/>
                <w:lang w:val="en-US" w:eastAsia="zh-CN"/>
              </w:rPr>
              <w:t>技术负责人和安全负责人</w:t>
            </w:r>
            <w:r>
              <w:rPr>
                <w:rFonts w:hint="eastAsia" w:ascii="宋体" w:hAnsi="宋体"/>
                <w:color w:val="auto"/>
                <w:szCs w:val="21"/>
                <w:highlight w:val="none"/>
              </w:rPr>
              <w:t>资格：见附录5</w:t>
            </w:r>
          </w:p>
          <w:p w14:paraId="3705E146">
            <w:pPr>
              <w:pStyle w:val="9"/>
              <w:keepNext w:val="0"/>
              <w:keepLines w:val="0"/>
              <w:pageBreakBefore w:val="0"/>
              <w:widowControl w:val="0"/>
              <w:kinsoku/>
              <w:wordWrap/>
              <w:overflowPunct/>
              <w:topLinePunct w:val="0"/>
              <w:autoSpaceDE/>
              <w:autoSpaceDN/>
              <w:bidi w:val="0"/>
              <w:adjustRightInd/>
              <w:snapToGrid/>
              <w:spacing w:line="380" w:lineRule="exact"/>
              <w:textAlignment w:val="auto"/>
              <w:rPr>
                <w:rFonts w:ascii="宋体" w:hAnsi="宋体"/>
                <w:color w:val="auto"/>
                <w:szCs w:val="21"/>
                <w:highlight w:val="none"/>
              </w:rPr>
            </w:pPr>
            <w:r>
              <w:rPr>
                <w:rFonts w:hint="eastAsia" w:ascii="宋体" w:hAnsi="宋体"/>
                <w:color w:val="auto"/>
                <w:szCs w:val="21"/>
                <w:highlight w:val="none"/>
              </w:rPr>
              <w:t>其他要求：无</w:t>
            </w:r>
          </w:p>
        </w:tc>
      </w:tr>
      <w:tr w14:paraId="2B74E04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98" w:hRule="atLeast"/>
        </w:trPr>
        <w:tc>
          <w:tcPr>
            <w:tcW w:w="1101" w:type="dxa"/>
            <w:tcBorders>
              <w:tl2br w:val="nil"/>
              <w:tr2bl w:val="nil"/>
            </w:tcBorders>
            <w:noWrap w:val="0"/>
            <w:vAlign w:val="center"/>
          </w:tcPr>
          <w:p w14:paraId="36F78BBC">
            <w:pPr>
              <w:pStyle w:val="9"/>
              <w:keepNext w:val="0"/>
              <w:keepLines w:val="0"/>
              <w:pageBreakBefore w:val="0"/>
              <w:widowControl w:val="0"/>
              <w:kinsoku/>
              <w:wordWrap/>
              <w:overflowPunct/>
              <w:topLinePunct w:val="0"/>
              <w:autoSpaceDE/>
              <w:autoSpaceDN/>
              <w:bidi w:val="0"/>
              <w:adjustRightInd/>
              <w:snapToGrid/>
              <w:spacing w:line="290" w:lineRule="exact"/>
              <w:jc w:val="center"/>
              <w:textAlignment w:val="auto"/>
              <w:rPr>
                <w:rFonts w:hint="eastAsia" w:ascii="宋体" w:hAnsi="宋体" w:eastAsia="Times New Roman"/>
                <w:color w:val="auto"/>
                <w:kern w:val="2"/>
                <w:sz w:val="21"/>
                <w:szCs w:val="21"/>
                <w:highlight w:val="none"/>
                <w:lang w:val="en-US" w:eastAsia="zh-CN" w:bidi="ar-SA"/>
              </w:rPr>
            </w:pPr>
            <w:r>
              <w:rPr>
                <w:rFonts w:hint="eastAsia" w:ascii="宋体" w:hAnsi="宋体"/>
                <w:color w:val="auto"/>
                <w:szCs w:val="21"/>
                <w:highlight w:val="none"/>
              </w:rPr>
              <w:t>1.4.2</w:t>
            </w:r>
          </w:p>
        </w:tc>
        <w:tc>
          <w:tcPr>
            <w:tcW w:w="1701" w:type="dxa"/>
            <w:tcBorders>
              <w:tl2br w:val="nil"/>
              <w:tr2bl w:val="nil"/>
            </w:tcBorders>
            <w:noWrap w:val="0"/>
            <w:vAlign w:val="center"/>
          </w:tcPr>
          <w:p w14:paraId="08EC6C3E">
            <w:pPr>
              <w:pStyle w:val="9"/>
              <w:keepNext w:val="0"/>
              <w:keepLines w:val="0"/>
              <w:pageBreakBefore w:val="0"/>
              <w:widowControl w:val="0"/>
              <w:kinsoku/>
              <w:wordWrap/>
              <w:overflowPunct/>
              <w:topLinePunct w:val="0"/>
              <w:autoSpaceDE/>
              <w:autoSpaceDN/>
              <w:bidi w:val="0"/>
              <w:adjustRightInd/>
              <w:snapToGrid/>
              <w:spacing w:line="290" w:lineRule="exact"/>
              <w:jc w:val="center"/>
              <w:textAlignment w:val="auto"/>
              <w:rPr>
                <w:rFonts w:hint="eastAsia" w:ascii="宋体" w:hAnsi="宋体" w:eastAsia="Times New Roman"/>
                <w:color w:val="auto"/>
                <w:kern w:val="2"/>
                <w:sz w:val="21"/>
                <w:szCs w:val="21"/>
                <w:highlight w:val="none"/>
                <w:lang w:val="en-US" w:eastAsia="zh-CN" w:bidi="ar-SA"/>
              </w:rPr>
            </w:pPr>
            <w:r>
              <w:rPr>
                <w:rFonts w:hint="eastAsia" w:ascii="宋体" w:hAnsi="宋体"/>
                <w:color w:val="auto"/>
                <w:szCs w:val="21"/>
                <w:highlight w:val="none"/>
              </w:rPr>
              <w:t>是否接受联合体投标</w:t>
            </w:r>
          </w:p>
        </w:tc>
        <w:tc>
          <w:tcPr>
            <w:tcW w:w="6449" w:type="dxa"/>
            <w:tcBorders>
              <w:tl2br w:val="nil"/>
              <w:tr2bl w:val="nil"/>
            </w:tcBorders>
            <w:noWrap w:val="0"/>
            <w:vAlign w:val="center"/>
          </w:tcPr>
          <w:p w14:paraId="74891E3E">
            <w:pPr>
              <w:pStyle w:val="9"/>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rPr>
              <w:t>接受</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lang w:val="en-US" w:eastAsia="zh-CN"/>
              </w:rPr>
              <w:t>联合体应</w:t>
            </w:r>
            <w:r>
              <w:rPr>
                <w:rFonts w:hint="eastAsia" w:ascii="宋体" w:hAnsi="宋体" w:eastAsia="Times New Roman" w:cs="Times New Roman"/>
                <w:color w:val="auto"/>
                <w:szCs w:val="21"/>
                <w:highlight w:val="none"/>
                <w:lang w:val="en-US" w:eastAsia="zh-CN"/>
              </w:rPr>
              <w:t>满足以下要求：</w:t>
            </w:r>
          </w:p>
          <w:p w14:paraId="29FC7371">
            <w:pPr>
              <w:keepNext w:val="0"/>
              <w:keepLines w:val="0"/>
              <w:pageBreakBefore w:val="0"/>
              <w:widowControl w:val="0"/>
              <w:kinsoku/>
              <w:wordWrap/>
              <w:overflowPunct/>
              <w:topLinePunct w:val="0"/>
              <w:autoSpaceDE/>
              <w:autoSpaceDN/>
              <w:bidi w:val="0"/>
              <w:adjustRightInd/>
              <w:snapToGrid w:val="0"/>
              <w:spacing w:line="300" w:lineRule="exact"/>
              <w:jc w:val="left"/>
              <w:textAlignment w:val="auto"/>
              <w:rPr>
                <w:rFonts w:hint="default" w:ascii="Times New Roman" w:hAnsi="Times New Roman" w:eastAsia="宋体" w:cs="Times New Roman"/>
                <w:bCs/>
                <w:color w:val="auto"/>
                <w:szCs w:val="21"/>
                <w:highlight w:val="none"/>
              </w:rPr>
            </w:pPr>
            <w:r>
              <w:rPr>
                <w:rFonts w:hint="default" w:ascii="宋体" w:hAnsi="宋体" w:eastAsia="Times New Roman" w:cs="Times New Roman"/>
                <w:color w:val="auto"/>
                <w:szCs w:val="21"/>
                <w:highlight w:val="none"/>
              </w:rPr>
              <w:t>（1）</w:t>
            </w:r>
            <w:r>
              <w:rPr>
                <w:rFonts w:hint="default" w:ascii="Times New Roman" w:hAnsi="Times New Roman" w:eastAsia="宋体" w:cs="Times New Roman"/>
                <w:bCs/>
                <w:color w:val="auto"/>
                <w:szCs w:val="21"/>
                <w:highlight w:val="none"/>
              </w:rPr>
              <w:t>联合体牵头人</w:t>
            </w:r>
            <w:r>
              <w:rPr>
                <w:rFonts w:hint="eastAsia" w:ascii="宋体" w:hAnsi="宋体"/>
                <w:color w:val="auto"/>
                <w:szCs w:val="21"/>
                <w:highlight w:val="none"/>
              </w:rPr>
              <w:t>须具备独立法人资格，</w:t>
            </w:r>
            <w:r>
              <w:rPr>
                <w:rFonts w:hint="eastAsia" w:ascii="宋体" w:hAnsi="宋体"/>
                <w:color w:val="auto"/>
                <w:szCs w:val="21"/>
                <w:highlight w:val="none"/>
                <w:lang w:val="en-US" w:eastAsia="zh-CN"/>
              </w:rPr>
              <w:t>并</w:t>
            </w:r>
            <w:r>
              <w:rPr>
                <w:rFonts w:hint="eastAsia"/>
                <w:color w:val="auto"/>
                <w:highlight w:val="none"/>
              </w:rPr>
              <w:t>具有</w:t>
            </w:r>
            <w:r>
              <w:rPr>
                <w:rFonts w:hint="eastAsia" w:ascii="宋体" w:hAnsi="宋体" w:eastAsia="宋体"/>
                <w:color w:val="auto"/>
                <w:szCs w:val="21"/>
                <w:highlight w:val="none"/>
                <w:lang w:val="en-US" w:eastAsia="zh-CN"/>
              </w:rPr>
              <w:t>住建部颁发的</w:t>
            </w:r>
            <w:r>
              <w:rPr>
                <w:rFonts w:hint="eastAsia" w:ascii="宋体" w:hAnsi="宋体"/>
                <w:color w:val="auto"/>
                <w:szCs w:val="21"/>
                <w:highlight w:val="none"/>
              </w:rPr>
              <w:t>公路交通工程（公路机电工程）专业承包</w:t>
            </w:r>
            <w:r>
              <w:rPr>
                <w:rFonts w:hint="eastAsia" w:ascii="宋体" w:hAnsi="宋体"/>
                <w:color w:val="auto"/>
                <w:szCs w:val="21"/>
                <w:highlight w:val="none"/>
                <w:lang w:val="en-US" w:eastAsia="zh-CN"/>
              </w:rPr>
              <w:t>二</w:t>
            </w:r>
            <w:r>
              <w:rPr>
                <w:rFonts w:hint="eastAsia" w:ascii="宋体" w:hAnsi="宋体"/>
                <w:color w:val="auto"/>
                <w:szCs w:val="21"/>
                <w:highlight w:val="none"/>
              </w:rPr>
              <w:t>级</w:t>
            </w:r>
            <w:r>
              <w:rPr>
                <w:rFonts w:hint="eastAsia" w:ascii="宋体" w:hAnsi="宋体"/>
                <w:color w:val="auto"/>
                <w:szCs w:val="21"/>
                <w:highlight w:val="none"/>
                <w:lang w:val="en-US" w:eastAsia="zh-CN"/>
              </w:rPr>
              <w:t>及以上</w:t>
            </w:r>
            <w:r>
              <w:rPr>
                <w:rFonts w:hint="eastAsia" w:ascii="宋体" w:hAnsi="宋体"/>
                <w:color w:val="auto"/>
                <w:szCs w:val="21"/>
                <w:highlight w:val="none"/>
              </w:rPr>
              <w:t>资质</w:t>
            </w:r>
            <w:r>
              <w:rPr>
                <w:rFonts w:hint="default" w:ascii="Times New Roman" w:hAnsi="Times New Roman" w:eastAsia="宋体" w:cs="Times New Roman"/>
                <w:bCs/>
                <w:color w:val="auto"/>
                <w:szCs w:val="21"/>
                <w:highlight w:val="none"/>
              </w:rPr>
              <w:t>；联合体成员方须具备独立法人资格，并具有</w:t>
            </w:r>
            <w:r>
              <w:rPr>
                <w:rFonts w:hint="eastAsia" w:ascii="宋体" w:hAnsi="宋体" w:eastAsia="宋体" w:cs="Times New Roman"/>
                <w:color w:val="auto"/>
                <w:szCs w:val="21"/>
                <w:highlight w:val="none"/>
                <w:lang w:val="en-US" w:eastAsia="zh-CN"/>
              </w:rPr>
              <w:t>省级交通运输主管部门颁发的</w:t>
            </w:r>
            <w:r>
              <w:rPr>
                <w:rFonts w:hint="eastAsia" w:ascii="宋体" w:hAnsi="宋体"/>
                <w:color w:val="auto"/>
                <w:szCs w:val="21"/>
                <w:highlight w:val="none"/>
              </w:rPr>
              <w:t>隧道养护甲级资质</w:t>
            </w:r>
            <w:r>
              <w:rPr>
                <w:rFonts w:hint="eastAsia" w:ascii="宋体" w:hAnsi="宋体"/>
                <w:color w:val="auto"/>
                <w:szCs w:val="21"/>
                <w:highlight w:val="none"/>
                <w:lang w:val="en-US" w:eastAsia="zh-CN"/>
              </w:rPr>
              <w:t>或</w:t>
            </w:r>
            <w:r>
              <w:rPr>
                <w:rFonts w:hint="eastAsia" w:ascii="宋体" w:hAnsi="宋体" w:eastAsia="宋体"/>
                <w:color w:val="auto"/>
                <w:szCs w:val="21"/>
                <w:highlight w:val="none"/>
                <w:lang w:val="en-US" w:eastAsia="zh-CN"/>
              </w:rPr>
              <w:t>路基路面养护甲级资质。</w:t>
            </w:r>
          </w:p>
          <w:p w14:paraId="15150B89">
            <w:pPr>
              <w:pStyle w:val="9"/>
              <w:keepNext w:val="0"/>
              <w:keepLines w:val="0"/>
              <w:pageBreakBefore w:val="0"/>
              <w:widowControl w:val="0"/>
              <w:kinsoku/>
              <w:wordWrap/>
              <w:overflowPunct/>
              <w:topLinePunct w:val="0"/>
              <w:autoSpaceDE/>
              <w:autoSpaceDN/>
              <w:bidi w:val="0"/>
              <w:adjustRightInd/>
              <w:snapToGrid/>
              <w:spacing w:line="300" w:lineRule="exact"/>
              <w:textAlignment w:val="auto"/>
              <w:rPr>
                <w:rFonts w:hint="default" w:ascii="宋体" w:hAnsi="宋体" w:eastAsia="Times New Roman" w:cs="Times New Roman"/>
                <w:color w:val="auto"/>
                <w:szCs w:val="21"/>
                <w:highlight w:val="none"/>
              </w:rPr>
            </w:pPr>
            <w:r>
              <w:rPr>
                <w:rFonts w:hint="default" w:ascii="宋体" w:hAnsi="宋体" w:eastAsia="Times New Roman" w:cs="Times New Roman"/>
                <w:color w:val="auto"/>
                <w:szCs w:val="21"/>
                <w:highlight w:val="none"/>
              </w:rPr>
              <w:t>（2）联合体各方不得再单独参加或者与其他投标人另外组成联合体参加本次投标活动；</w:t>
            </w:r>
          </w:p>
          <w:p w14:paraId="1158A687">
            <w:pPr>
              <w:pStyle w:val="9"/>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宋体" w:hAnsi="宋体" w:eastAsia="Times New Roman" w:cs="Times New Roman"/>
                <w:color w:val="auto"/>
                <w:kern w:val="2"/>
                <w:sz w:val="21"/>
                <w:szCs w:val="21"/>
                <w:highlight w:val="none"/>
                <w:lang w:val="en-US" w:eastAsia="zh-CN" w:bidi="ar-SA"/>
              </w:rPr>
            </w:pPr>
            <w:r>
              <w:rPr>
                <w:rFonts w:hint="default" w:ascii="宋体" w:hAnsi="宋体" w:eastAsia="Times New Roman" w:cs="Times New Roman"/>
                <w:color w:val="auto"/>
                <w:szCs w:val="21"/>
                <w:highlight w:val="none"/>
              </w:rPr>
              <w:t>（3）联合体应提交联合体协议并注明牵头人及各方拟承担的工作和责任，并承诺一旦中标，联合体各方将向发包人承担连带责任。</w:t>
            </w:r>
          </w:p>
        </w:tc>
      </w:tr>
      <w:tr w14:paraId="0977191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98" w:hRule="atLeast"/>
        </w:trPr>
        <w:tc>
          <w:tcPr>
            <w:tcW w:w="1101" w:type="dxa"/>
            <w:tcBorders>
              <w:tl2br w:val="nil"/>
              <w:tr2bl w:val="nil"/>
            </w:tcBorders>
            <w:noWrap w:val="0"/>
            <w:vAlign w:val="center"/>
          </w:tcPr>
          <w:p w14:paraId="0CF95508">
            <w:pPr>
              <w:pStyle w:val="74"/>
              <w:spacing w:line="300" w:lineRule="exact"/>
              <w:jc w:val="center"/>
              <w:rPr>
                <w:rFonts w:hint="eastAsia" w:ascii="宋体" w:hAnsi="宋体" w:eastAsia="宋体" w:cs="宋体"/>
                <w:color w:val="auto"/>
                <w:sz w:val="24"/>
                <w:szCs w:val="21"/>
                <w:highlight w:val="none"/>
                <w:lang w:val="en-US" w:eastAsia="zh-CN" w:bidi="ar-SA"/>
              </w:rPr>
            </w:pPr>
            <w:r>
              <w:rPr>
                <w:rFonts w:hint="eastAsia" w:hAnsi="宋体"/>
                <w:color w:val="auto"/>
                <w:sz w:val="21"/>
                <w:szCs w:val="21"/>
                <w:highlight w:val="none"/>
                <w:lang w:val="en-US" w:eastAsia="zh-CN"/>
              </w:rPr>
              <w:t>1.4.3</w:t>
            </w:r>
          </w:p>
        </w:tc>
        <w:tc>
          <w:tcPr>
            <w:tcW w:w="1701" w:type="dxa"/>
            <w:tcBorders>
              <w:tl2br w:val="nil"/>
              <w:tr2bl w:val="nil"/>
            </w:tcBorders>
            <w:noWrap w:val="0"/>
            <w:vAlign w:val="center"/>
          </w:tcPr>
          <w:p w14:paraId="39E9BA99">
            <w:pPr>
              <w:pStyle w:val="74"/>
              <w:keepNext w:val="0"/>
              <w:keepLines w:val="0"/>
              <w:pageBreakBefore w:val="0"/>
              <w:widowControl w:val="0"/>
              <w:kinsoku/>
              <w:wordWrap/>
              <w:overflowPunct/>
              <w:topLinePunct w:val="0"/>
              <w:autoSpaceDE w:val="0"/>
              <w:autoSpaceDN w:val="0"/>
              <w:bidi w:val="0"/>
              <w:adjustRightInd w:val="0"/>
              <w:snapToGrid/>
              <w:spacing w:line="300" w:lineRule="exact"/>
              <w:jc w:val="center"/>
              <w:textAlignment w:val="auto"/>
              <w:rPr>
                <w:rFonts w:hint="eastAsia" w:ascii="宋体" w:hAnsi="宋体" w:eastAsia="宋体" w:cs="宋体"/>
                <w:color w:val="auto"/>
                <w:sz w:val="24"/>
                <w:szCs w:val="21"/>
                <w:highlight w:val="none"/>
                <w:lang w:val="en-US" w:eastAsia="zh-CN" w:bidi="ar-SA"/>
              </w:rPr>
            </w:pPr>
            <w:r>
              <w:rPr>
                <w:rFonts w:hint="eastAsia" w:hAnsi="宋体"/>
                <w:color w:val="auto"/>
                <w:sz w:val="21"/>
                <w:szCs w:val="21"/>
                <w:highlight w:val="none"/>
                <w:lang w:val="en-US" w:eastAsia="zh-CN"/>
              </w:rPr>
              <w:t>投标人不得存在的其他关联情形</w:t>
            </w:r>
          </w:p>
        </w:tc>
        <w:tc>
          <w:tcPr>
            <w:tcW w:w="6449" w:type="dxa"/>
            <w:tcBorders>
              <w:tl2br w:val="nil"/>
              <w:tr2bl w:val="nil"/>
            </w:tcBorders>
            <w:noWrap w:val="0"/>
            <w:vAlign w:val="center"/>
          </w:tcPr>
          <w:p w14:paraId="75939115">
            <w:pPr>
              <w:pStyle w:val="74"/>
              <w:keepNext w:val="0"/>
              <w:keepLines w:val="0"/>
              <w:pageBreakBefore w:val="0"/>
              <w:widowControl w:val="0"/>
              <w:kinsoku/>
              <w:wordWrap/>
              <w:overflowPunct/>
              <w:topLinePunct w:val="0"/>
              <w:autoSpaceDE w:val="0"/>
              <w:autoSpaceDN w:val="0"/>
              <w:bidi w:val="0"/>
              <w:adjustRightInd w:val="0"/>
              <w:snapToGrid/>
              <w:spacing w:line="300" w:lineRule="exact"/>
              <w:textAlignment w:val="auto"/>
              <w:rPr>
                <w:rFonts w:hint="eastAsia" w:ascii="宋体" w:hAnsi="宋体" w:eastAsia="Times New Roman" w:cs="Times New Roman"/>
                <w:color w:val="auto"/>
                <w:sz w:val="24"/>
                <w:szCs w:val="21"/>
                <w:highlight w:val="none"/>
                <w:lang w:val="en-US" w:eastAsia="zh-CN" w:bidi="ar-SA"/>
              </w:rPr>
            </w:pPr>
            <w:r>
              <w:rPr>
                <w:rFonts w:hint="eastAsia" w:hAnsi="宋体"/>
                <w:color w:val="auto"/>
                <w:sz w:val="21"/>
                <w:szCs w:val="21"/>
                <w:highlight w:val="none"/>
                <w:lang w:val="en-US" w:eastAsia="zh-CN"/>
              </w:rPr>
              <w:t>无</w:t>
            </w:r>
          </w:p>
        </w:tc>
      </w:tr>
      <w:tr w14:paraId="2D20C3D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98" w:hRule="atLeast"/>
        </w:trPr>
        <w:tc>
          <w:tcPr>
            <w:tcW w:w="1101" w:type="dxa"/>
            <w:tcBorders>
              <w:tl2br w:val="nil"/>
              <w:tr2bl w:val="nil"/>
            </w:tcBorders>
            <w:noWrap w:val="0"/>
            <w:vAlign w:val="center"/>
          </w:tcPr>
          <w:p w14:paraId="22B0E15E">
            <w:pPr>
              <w:pStyle w:val="74"/>
              <w:spacing w:line="300" w:lineRule="exact"/>
              <w:jc w:val="center"/>
              <w:rPr>
                <w:rFonts w:hint="eastAsia" w:ascii="宋体" w:hAnsi="宋体" w:eastAsia="宋体" w:cs="宋体"/>
                <w:color w:val="auto"/>
                <w:sz w:val="24"/>
                <w:szCs w:val="21"/>
                <w:highlight w:val="none"/>
                <w:lang w:val="en-US" w:eastAsia="zh-CN" w:bidi="ar-SA"/>
              </w:rPr>
            </w:pPr>
            <w:r>
              <w:rPr>
                <w:rFonts w:hint="eastAsia" w:hAnsi="宋体"/>
                <w:color w:val="auto"/>
                <w:sz w:val="21"/>
                <w:szCs w:val="21"/>
                <w:highlight w:val="none"/>
                <w:lang w:val="en-US" w:eastAsia="zh-CN"/>
              </w:rPr>
              <w:t>1.4.4</w:t>
            </w:r>
          </w:p>
        </w:tc>
        <w:tc>
          <w:tcPr>
            <w:tcW w:w="1701" w:type="dxa"/>
            <w:tcBorders>
              <w:tl2br w:val="nil"/>
              <w:tr2bl w:val="nil"/>
            </w:tcBorders>
            <w:noWrap w:val="0"/>
            <w:vAlign w:val="center"/>
          </w:tcPr>
          <w:p w14:paraId="7F39E344">
            <w:pPr>
              <w:pStyle w:val="74"/>
              <w:keepNext w:val="0"/>
              <w:keepLines w:val="0"/>
              <w:pageBreakBefore w:val="0"/>
              <w:widowControl w:val="0"/>
              <w:kinsoku/>
              <w:wordWrap/>
              <w:overflowPunct/>
              <w:topLinePunct w:val="0"/>
              <w:autoSpaceDE w:val="0"/>
              <w:autoSpaceDN w:val="0"/>
              <w:bidi w:val="0"/>
              <w:adjustRightInd w:val="0"/>
              <w:snapToGrid/>
              <w:spacing w:line="300" w:lineRule="exact"/>
              <w:jc w:val="center"/>
              <w:textAlignment w:val="auto"/>
              <w:rPr>
                <w:rFonts w:hint="eastAsia" w:ascii="宋体" w:hAnsi="宋体" w:eastAsia="宋体" w:cs="宋体"/>
                <w:color w:val="auto"/>
                <w:sz w:val="24"/>
                <w:szCs w:val="21"/>
                <w:highlight w:val="none"/>
                <w:lang w:val="en-US" w:eastAsia="zh-CN" w:bidi="ar-SA"/>
              </w:rPr>
            </w:pPr>
            <w:r>
              <w:rPr>
                <w:rFonts w:hint="eastAsia" w:hAnsi="宋体"/>
                <w:color w:val="auto"/>
                <w:sz w:val="21"/>
                <w:szCs w:val="21"/>
                <w:highlight w:val="none"/>
                <w:lang w:val="en-US" w:eastAsia="zh-CN"/>
              </w:rPr>
              <w:t>投标人不得存在的其他不良状况或不良信用记录</w:t>
            </w:r>
          </w:p>
        </w:tc>
        <w:tc>
          <w:tcPr>
            <w:tcW w:w="6449" w:type="dxa"/>
            <w:tcBorders>
              <w:tl2br w:val="nil"/>
              <w:tr2bl w:val="nil"/>
            </w:tcBorders>
            <w:noWrap w:val="0"/>
            <w:vAlign w:val="center"/>
          </w:tcPr>
          <w:p w14:paraId="3127A7C9">
            <w:pPr>
              <w:pStyle w:val="74"/>
              <w:keepNext w:val="0"/>
              <w:keepLines w:val="0"/>
              <w:pageBreakBefore w:val="0"/>
              <w:widowControl w:val="0"/>
              <w:kinsoku/>
              <w:wordWrap/>
              <w:overflowPunct/>
              <w:topLinePunct w:val="0"/>
              <w:autoSpaceDE w:val="0"/>
              <w:autoSpaceDN w:val="0"/>
              <w:bidi w:val="0"/>
              <w:adjustRightInd w:val="0"/>
              <w:snapToGrid/>
              <w:spacing w:line="300" w:lineRule="exact"/>
              <w:textAlignment w:val="auto"/>
              <w:rPr>
                <w:rFonts w:hint="eastAsia" w:hAnsi="宋体"/>
                <w:color w:val="auto"/>
                <w:sz w:val="21"/>
                <w:szCs w:val="21"/>
                <w:highlight w:val="none"/>
                <w:lang w:val="en-US" w:eastAsia="zh-CN"/>
              </w:rPr>
            </w:pPr>
            <w:r>
              <w:rPr>
                <w:rFonts w:hint="eastAsia" w:hAnsi="宋体"/>
                <w:color w:val="auto"/>
                <w:sz w:val="21"/>
                <w:szCs w:val="21"/>
                <w:highlight w:val="none"/>
                <w:lang w:val="en-US" w:eastAsia="zh-CN"/>
              </w:rPr>
              <w:t>有行贿犯罪行为的时间：</w:t>
            </w:r>
            <w:r>
              <w:rPr>
                <w:rFonts w:hint="eastAsia" w:hAnsi="宋体"/>
                <w:color w:val="auto"/>
                <w:sz w:val="21"/>
                <w:szCs w:val="21"/>
                <w:highlight w:val="none"/>
                <w:u w:val="single"/>
                <w:lang w:val="en-US" w:eastAsia="zh-CN"/>
              </w:rPr>
              <w:t>2023年7月1日以来</w:t>
            </w:r>
          </w:p>
          <w:p w14:paraId="01DE5F6B">
            <w:pPr>
              <w:pStyle w:val="74"/>
              <w:keepNext w:val="0"/>
              <w:keepLines w:val="0"/>
              <w:pageBreakBefore w:val="0"/>
              <w:widowControl w:val="0"/>
              <w:kinsoku/>
              <w:wordWrap/>
              <w:overflowPunct/>
              <w:topLinePunct w:val="0"/>
              <w:autoSpaceDE w:val="0"/>
              <w:autoSpaceDN w:val="0"/>
              <w:bidi w:val="0"/>
              <w:adjustRightInd w:val="0"/>
              <w:snapToGrid/>
              <w:spacing w:line="300" w:lineRule="exact"/>
              <w:textAlignment w:val="auto"/>
              <w:rPr>
                <w:rFonts w:hint="eastAsia" w:ascii="宋体" w:hAnsi="宋体" w:eastAsia="Times New Roman" w:cs="Times New Roman"/>
                <w:color w:val="auto"/>
                <w:sz w:val="24"/>
                <w:szCs w:val="21"/>
                <w:highlight w:val="none"/>
                <w:lang w:val="en-US" w:eastAsia="zh-CN" w:bidi="ar-SA"/>
              </w:rPr>
            </w:pPr>
            <w:r>
              <w:rPr>
                <w:rFonts w:hint="eastAsia" w:hAnsi="宋体"/>
                <w:color w:val="auto"/>
                <w:sz w:val="21"/>
                <w:szCs w:val="21"/>
                <w:highlight w:val="none"/>
                <w:lang w:val="en-US" w:eastAsia="zh-CN"/>
              </w:rPr>
              <w:t>投标人不得存在的其他不良状况或不良信用记录：</w:t>
            </w:r>
            <w:r>
              <w:rPr>
                <w:rFonts w:hint="eastAsia" w:hAnsi="宋体"/>
                <w:color w:val="auto"/>
                <w:sz w:val="21"/>
                <w:szCs w:val="21"/>
                <w:highlight w:val="none"/>
                <w:u w:val="single"/>
                <w:lang w:val="en-US" w:eastAsia="zh-CN"/>
              </w:rPr>
              <w:t>无</w:t>
            </w:r>
          </w:p>
        </w:tc>
      </w:tr>
      <w:tr w14:paraId="3331912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1101" w:type="dxa"/>
            <w:tcBorders>
              <w:tl2br w:val="nil"/>
              <w:tr2bl w:val="nil"/>
            </w:tcBorders>
            <w:noWrap w:val="0"/>
            <w:vAlign w:val="center"/>
          </w:tcPr>
          <w:p w14:paraId="23AF1C95">
            <w:pPr>
              <w:pStyle w:val="9"/>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ascii="宋体" w:hAnsi="宋体"/>
                <w:color w:val="auto"/>
                <w:szCs w:val="21"/>
                <w:highlight w:val="none"/>
              </w:rPr>
            </w:pPr>
            <w:r>
              <w:rPr>
                <w:rFonts w:hint="eastAsia" w:ascii="宋体" w:hAnsi="宋体"/>
                <w:color w:val="auto"/>
                <w:szCs w:val="21"/>
                <w:highlight w:val="none"/>
              </w:rPr>
              <w:t>1.10.2</w:t>
            </w:r>
          </w:p>
        </w:tc>
        <w:tc>
          <w:tcPr>
            <w:tcW w:w="1701" w:type="dxa"/>
            <w:tcBorders>
              <w:tl2br w:val="nil"/>
              <w:tr2bl w:val="nil"/>
            </w:tcBorders>
            <w:noWrap w:val="0"/>
            <w:vAlign w:val="center"/>
          </w:tcPr>
          <w:p w14:paraId="794D5291">
            <w:pPr>
              <w:pStyle w:val="9"/>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ascii="宋体" w:hAnsi="宋体" w:cs="宋体"/>
                <w:color w:val="auto"/>
                <w:highlight w:val="none"/>
              </w:rPr>
            </w:pPr>
            <w:r>
              <w:rPr>
                <w:rFonts w:hint="eastAsia" w:ascii="宋体" w:hAnsi="宋体" w:cs="宋体"/>
                <w:color w:val="auto"/>
                <w:highlight w:val="none"/>
              </w:rPr>
              <w:t>投标人</w:t>
            </w:r>
            <w:r>
              <w:rPr>
                <w:rFonts w:hint="eastAsia" w:ascii="宋体" w:hAnsi="宋体" w:cs="宋体"/>
                <w:color w:val="auto"/>
                <w:highlight w:val="none"/>
                <w:lang w:val="en-US" w:eastAsia="zh-CN"/>
              </w:rPr>
              <w:t>投标预备会</w:t>
            </w:r>
            <w:r>
              <w:rPr>
                <w:rFonts w:hint="eastAsia" w:ascii="宋体" w:hAnsi="宋体" w:cs="宋体"/>
                <w:color w:val="auto"/>
                <w:highlight w:val="none"/>
              </w:rPr>
              <w:t>提出问题的截止时间、提出疑问的方式</w:t>
            </w:r>
          </w:p>
        </w:tc>
        <w:tc>
          <w:tcPr>
            <w:tcW w:w="6449" w:type="dxa"/>
            <w:tcBorders>
              <w:tl2br w:val="nil"/>
              <w:tr2bl w:val="nil"/>
            </w:tcBorders>
            <w:noWrap w:val="0"/>
            <w:vAlign w:val="center"/>
          </w:tcPr>
          <w:p w14:paraId="69E739A9">
            <w:pPr>
              <w:pStyle w:val="9"/>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宋体" w:hAnsi="宋体" w:eastAsia="宋体"/>
                <w:color w:val="auto"/>
                <w:szCs w:val="21"/>
                <w:highlight w:val="none"/>
                <w:lang w:val="en-US" w:eastAsia="zh-CN"/>
              </w:rPr>
            </w:pPr>
            <w:r>
              <w:rPr>
                <w:rFonts w:hint="eastAsia" w:ascii="宋体" w:hAnsi="宋体" w:cs="宋体"/>
                <w:color w:val="auto"/>
                <w:highlight w:val="none"/>
                <w:lang w:val="en-US" w:eastAsia="zh-CN"/>
              </w:rPr>
              <w:t>/</w:t>
            </w:r>
          </w:p>
        </w:tc>
      </w:tr>
      <w:tr w14:paraId="409D876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64" w:hRule="atLeast"/>
        </w:trPr>
        <w:tc>
          <w:tcPr>
            <w:tcW w:w="1101" w:type="dxa"/>
            <w:tcBorders>
              <w:tl2br w:val="nil"/>
              <w:tr2bl w:val="nil"/>
            </w:tcBorders>
            <w:noWrap w:val="0"/>
            <w:vAlign w:val="center"/>
          </w:tcPr>
          <w:p w14:paraId="4D2025A9">
            <w:pPr>
              <w:pStyle w:val="9"/>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ascii="宋体" w:hAnsi="宋体"/>
                <w:color w:val="auto"/>
                <w:szCs w:val="21"/>
                <w:highlight w:val="none"/>
              </w:rPr>
            </w:pPr>
            <w:r>
              <w:rPr>
                <w:rFonts w:hint="eastAsia" w:ascii="宋体" w:hAnsi="宋体"/>
                <w:color w:val="auto"/>
                <w:szCs w:val="21"/>
                <w:highlight w:val="none"/>
              </w:rPr>
              <w:t>1.12</w:t>
            </w:r>
          </w:p>
        </w:tc>
        <w:tc>
          <w:tcPr>
            <w:tcW w:w="1701" w:type="dxa"/>
            <w:tcBorders>
              <w:tl2br w:val="nil"/>
              <w:tr2bl w:val="nil"/>
            </w:tcBorders>
            <w:noWrap w:val="0"/>
            <w:vAlign w:val="center"/>
          </w:tcPr>
          <w:p w14:paraId="215C202D">
            <w:pPr>
              <w:pStyle w:val="9"/>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ascii="宋体" w:hAnsi="宋体"/>
                <w:color w:val="auto"/>
                <w:szCs w:val="21"/>
                <w:highlight w:val="none"/>
              </w:rPr>
            </w:pPr>
            <w:r>
              <w:rPr>
                <w:rFonts w:hint="eastAsia" w:ascii="宋体" w:hAnsi="宋体"/>
                <w:color w:val="auto"/>
                <w:szCs w:val="21"/>
                <w:highlight w:val="none"/>
              </w:rPr>
              <w:t>偏离</w:t>
            </w:r>
          </w:p>
        </w:tc>
        <w:tc>
          <w:tcPr>
            <w:tcW w:w="6449" w:type="dxa"/>
            <w:tcBorders>
              <w:tl2br w:val="nil"/>
              <w:tr2bl w:val="nil"/>
            </w:tcBorders>
            <w:noWrap w:val="0"/>
            <w:vAlign w:val="center"/>
          </w:tcPr>
          <w:p w14:paraId="16618B7C">
            <w:pPr>
              <w:pStyle w:val="9"/>
              <w:keepNext w:val="0"/>
              <w:keepLines w:val="0"/>
              <w:pageBreakBefore w:val="0"/>
              <w:widowControl w:val="0"/>
              <w:kinsoku/>
              <w:wordWrap/>
              <w:overflowPunct/>
              <w:topLinePunct w:val="0"/>
              <w:autoSpaceDE/>
              <w:autoSpaceDN/>
              <w:bidi w:val="0"/>
              <w:adjustRightInd/>
              <w:snapToGrid/>
              <w:spacing w:line="300" w:lineRule="exact"/>
              <w:textAlignment w:val="auto"/>
              <w:rPr>
                <w:rFonts w:ascii="宋体" w:hAnsi="宋体"/>
                <w:color w:val="auto"/>
                <w:szCs w:val="21"/>
                <w:highlight w:val="none"/>
              </w:rPr>
            </w:pPr>
            <w:r>
              <w:rPr>
                <w:rFonts w:hint="eastAsia" w:ascii="宋体" w:hAnsi="宋体"/>
                <w:color w:val="auto"/>
                <w:szCs w:val="21"/>
                <w:highlight w:val="none"/>
              </w:rPr>
              <w:t>允许细微偏差，不允许重大偏差</w:t>
            </w:r>
          </w:p>
        </w:tc>
      </w:tr>
      <w:tr w14:paraId="0023015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623" w:hRule="atLeast"/>
        </w:trPr>
        <w:tc>
          <w:tcPr>
            <w:tcW w:w="1101" w:type="dxa"/>
            <w:tcBorders>
              <w:tl2br w:val="nil"/>
              <w:tr2bl w:val="nil"/>
            </w:tcBorders>
            <w:noWrap w:val="0"/>
            <w:vAlign w:val="center"/>
          </w:tcPr>
          <w:p w14:paraId="6F7D89B8">
            <w:pPr>
              <w:pStyle w:val="9"/>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ascii="宋体" w:hAnsi="宋体"/>
                <w:color w:val="auto"/>
                <w:szCs w:val="21"/>
                <w:highlight w:val="none"/>
              </w:rPr>
            </w:pPr>
            <w:r>
              <w:rPr>
                <w:rFonts w:hint="eastAsia" w:ascii="宋体" w:hAnsi="宋体"/>
                <w:color w:val="auto"/>
                <w:szCs w:val="21"/>
                <w:highlight w:val="none"/>
              </w:rPr>
              <w:t>2.1</w:t>
            </w:r>
          </w:p>
        </w:tc>
        <w:tc>
          <w:tcPr>
            <w:tcW w:w="1701" w:type="dxa"/>
            <w:tcBorders>
              <w:tl2br w:val="nil"/>
              <w:tr2bl w:val="nil"/>
            </w:tcBorders>
            <w:noWrap w:val="0"/>
            <w:vAlign w:val="center"/>
          </w:tcPr>
          <w:p w14:paraId="5E07B546">
            <w:pPr>
              <w:pStyle w:val="9"/>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cs="宋体"/>
                <w:color w:val="auto"/>
                <w:highlight w:val="none"/>
              </w:rPr>
            </w:pPr>
            <w:r>
              <w:rPr>
                <w:rFonts w:hint="eastAsia" w:ascii="宋体" w:hAnsi="宋体" w:cs="宋体"/>
                <w:color w:val="auto"/>
                <w:highlight w:val="none"/>
              </w:rPr>
              <w:t>构成招标文件的其他材料</w:t>
            </w:r>
          </w:p>
        </w:tc>
        <w:tc>
          <w:tcPr>
            <w:tcW w:w="6449" w:type="dxa"/>
            <w:tcBorders>
              <w:tl2br w:val="nil"/>
              <w:tr2bl w:val="nil"/>
            </w:tcBorders>
            <w:noWrap w:val="0"/>
            <w:vAlign w:val="center"/>
          </w:tcPr>
          <w:p w14:paraId="2E8C1503">
            <w:pPr>
              <w:pStyle w:val="9"/>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宋体" w:hAnsi="宋体" w:cs="宋体"/>
                <w:color w:val="auto"/>
                <w:highlight w:val="none"/>
              </w:rPr>
            </w:pPr>
            <w:bookmarkStart w:id="62" w:name="EBe33406fbd4d2452294668c36c1327c7f"/>
            <w:r>
              <w:rPr>
                <w:rFonts w:hint="eastAsia" w:ascii="宋体" w:hAnsi="宋体" w:cs="宋体"/>
                <w:color w:val="auto"/>
                <w:highlight w:val="none"/>
              </w:rPr>
              <w:t>招标人按规定报备后的标有编号的补遗书（如有）</w:t>
            </w:r>
            <w:bookmarkEnd w:id="62"/>
          </w:p>
        </w:tc>
      </w:tr>
      <w:tr w14:paraId="433E9A9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01" w:type="dxa"/>
            <w:tcBorders>
              <w:tl2br w:val="nil"/>
              <w:tr2bl w:val="nil"/>
            </w:tcBorders>
            <w:noWrap w:val="0"/>
            <w:vAlign w:val="center"/>
          </w:tcPr>
          <w:p w14:paraId="4BFE0B05">
            <w:pPr>
              <w:pStyle w:val="9"/>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ascii="宋体" w:hAnsi="宋体"/>
                <w:color w:val="auto"/>
                <w:szCs w:val="21"/>
                <w:highlight w:val="none"/>
              </w:rPr>
            </w:pPr>
            <w:r>
              <w:rPr>
                <w:rFonts w:hint="eastAsia" w:ascii="宋体" w:hAnsi="宋体"/>
                <w:color w:val="auto"/>
                <w:szCs w:val="21"/>
                <w:highlight w:val="none"/>
              </w:rPr>
              <w:t>2.2.1</w:t>
            </w:r>
          </w:p>
        </w:tc>
        <w:tc>
          <w:tcPr>
            <w:tcW w:w="1701" w:type="dxa"/>
            <w:tcBorders>
              <w:tl2br w:val="nil"/>
              <w:tr2bl w:val="nil"/>
            </w:tcBorders>
            <w:noWrap w:val="0"/>
            <w:vAlign w:val="center"/>
          </w:tcPr>
          <w:p w14:paraId="74216BE0">
            <w:pPr>
              <w:pStyle w:val="9"/>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cs="宋体"/>
                <w:color w:val="auto"/>
                <w:highlight w:val="none"/>
              </w:rPr>
            </w:pPr>
            <w:r>
              <w:rPr>
                <w:rFonts w:hint="eastAsia" w:ascii="宋体" w:hAnsi="宋体" w:cs="宋体"/>
                <w:color w:val="auto"/>
                <w:szCs w:val="21"/>
                <w:highlight w:val="none"/>
              </w:rPr>
              <w:t>投标人要求澄清招标文件的截止时间</w:t>
            </w:r>
          </w:p>
        </w:tc>
        <w:tc>
          <w:tcPr>
            <w:tcW w:w="6449" w:type="dxa"/>
            <w:tcBorders>
              <w:tl2br w:val="nil"/>
              <w:tr2bl w:val="nil"/>
            </w:tcBorders>
            <w:noWrap w:val="0"/>
            <w:vAlign w:val="center"/>
          </w:tcPr>
          <w:p w14:paraId="3D27C8A8">
            <w:pPr>
              <w:pStyle w:val="9"/>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投标人提出问题的截止时间：递交投标文件截止之日15天前（以收到日期为准）。</w:t>
            </w:r>
          </w:p>
          <w:p w14:paraId="34A113CC">
            <w:pPr>
              <w:pStyle w:val="9"/>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宋体" w:hAnsi="宋体" w:cs="宋体"/>
                <w:color w:val="auto"/>
                <w:highlight w:val="none"/>
              </w:rPr>
            </w:pPr>
            <w:r>
              <w:rPr>
                <w:rFonts w:hint="eastAsia" w:ascii="宋体" w:hAnsi="宋体" w:eastAsia="宋体" w:cs="Times New Roman"/>
                <w:color w:val="auto"/>
                <w:szCs w:val="21"/>
                <w:highlight w:val="none"/>
                <w:lang w:val="en-US" w:eastAsia="zh-CN"/>
              </w:rPr>
              <w:t xml:space="preserve">提出疑问的方式：潜在投标人将加盖单位公章的疑问函扫描件发送至 </w:t>
            </w:r>
            <w:r>
              <w:rPr>
                <w:rFonts w:hint="eastAsia" w:ascii="宋体" w:hAnsi="宋体" w:eastAsia="宋体" w:cs="宋体"/>
                <w:color w:val="auto"/>
                <w:sz w:val="21"/>
                <w:szCs w:val="21"/>
                <w:highlight w:val="none"/>
                <w:lang w:val="en-US" w:eastAsia="zh-CN"/>
              </w:rPr>
              <w:t>14552671</w:t>
            </w:r>
            <w:r>
              <w:rPr>
                <w:rFonts w:hint="eastAsia" w:ascii="宋体" w:hAnsi="宋体" w:eastAsia="宋体" w:cs="宋体"/>
                <w:color w:val="auto"/>
                <w:sz w:val="21"/>
                <w:szCs w:val="21"/>
                <w:highlight w:val="none"/>
              </w:rPr>
              <w:t>@qq.com</w:t>
            </w:r>
            <w:r>
              <w:rPr>
                <w:rFonts w:hint="eastAsia" w:ascii="宋体" w:hAnsi="宋体" w:eastAsia="宋体" w:cs="Times New Roman"/>
                <w:color w:val="auto"/>
                <w:szCs w:val="21"/>
                <w:highlight w:val="none"/>
                <w:lang w:val="en-US" w:eastAsia="zh-CN"/>
              </w:rPr>
              <w:t xml:space="preserve"> 邮箱并致电（联系电话0575-86331916）。</w:t>
            </w:r>
          </w:p>
        </w:tc>
      </w:tr>
      <w:tr w14:paraId="40B184B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664" w:hRule="atLeast"/>
        </w:trPr>
        <w:tc>
          <w:tcPr>
            <w:tcW w:w="1101" w:type="dxa"/>
            <w:tcBorders>
              <w:tl2br w:val="nil"/>
              <w:tr2bl w:val="nil"/>
            </w:tcBorders>
            <w:noWrap w:val="0"/>
            <w:vAlign w:val="center"/>
          </w:tcPr>
          <w:p w14:paraId="24EAA63E">
            <w:pPr>
              <w:pStyle w:val="9"/>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3.1.1</w:t>
            </w:r>
          </w:p>
        </w:tc>
        <w:tc>
          <w:tcPr>
            <w:tcW w:w="1701" w:type="dxa"/>
            <w:tcBorders>
              <w:tl2br w:val="nil"/>
              <w:tr2bl w:val="nil"/>
            </w:tcBorders>
            <w:noWrap w:val="0"/>
            <w:vAlign w:val="center"/>
          </w:tcPr>
          <w:p w14:paraId="194D7388">
            <w:pPr>
              <w:pStyle w:val="9"/>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投标文件密封</w:t>
            </w:r>
          </w:p>
          <w:p w14:paraId="10ED4742">
            <w:pPr>
              <w:pStyle w:val="9"/>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形式</w:t>
            </w:r>
          </w:p>
        </w:tc>
        <w:tc>
          <w:tcPr>
            <w:tcW w:w="6449" w:type="dxa"/>
            <w:tcBorders>
              <w:tl2br w:val="nil"/>
              <w:tr2bl w:val="nil"/>
            </w:tcBorders>
            <w:noWrap w:val="0"/>
            <w:vAlign w:val="center"/>
          </w:tcPr>
          <w:p w14:paraId="29AD7A8A">
            <w:pPr>
              <w:pStyle w:val="9"/>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双信封</w:t>
            </w:r>
          </w:p>
        </w:tc>
      </w:tr>
      <w:tr w14:paraId="7B7D443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04" w:hRule="atLeast"/>
        </w:trPr>
        <w:tc>
          <w:tcPr>
            <w:tcW w:w="1101" w:type="dxa"/>
            <w:tcBorders>
              <w:tl2br w:val="nil"/>
              <w:tr2bl w:val="nil"/>
            </w:tcBorders>
            <w:noWrap w:val="0"/>
            <w:vAlign w:val="center"/>
          </w:tcPr>
          <w:p w14:paraId="13F23E24">
            <w:pPr>
              <w:pStyle w:val="9"/>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olor w:val="auto"/>
                <w:szCs w:val="21"/>
                <w:highlight w:val="none"/>
                <w:lang w:val="en-US" w:eastAsia="zh-CN"/>
              </w:rPr>
            </w:pPr>
            <w:r>
              <w:rPr>
                <w:rFonts w:hint="eastAsia" w:ascii="宋体" w:hAnsi="宋体"/>
                <w:color w:val="auto"/>
                <w:szCs w:val="21"/>
                <w:highlight w:val="none"/>
              </w:rPr>
              <w:t>3.1</w:t>
            </w:r>
            <w:r>
              <w:rPr>
                <w:rFonts w:hint="eastAsia" w:ascii="宋体" w:hAnsi="宋体" w:eastAsia="宋体"/>
                <w:color w:val="auto"/>
                <w:szCs w:val="21"/>
                <w:highlight w:val="none"/>
                <w:lang w:val="en-US" w:eastAsia="zh-CN"/>
              </w:rPr>
              <w:t>.1</w:t>
            </w:r>
          </w:p>
        </w:tc>
        <w:tc>
          <w:tcPr>
            <w:tcW w:w="1701" w:type="dxa"/>
            <w:tcBorders>
              <w:tl2br w:val="nil"/>
              <w:tr2bl w:val="nil"/>
            </w:tcBorders>
            <w:noWrap w:val="0"/>
            <w:vAlign w:val="center"/>
          </w:tcPr>
          <w:p w14:paraId="2E6C6BE0">
            <w:pPr>
              <w:pStyle w:val="9"/>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color w:val="auto"/>
                <w:highlight w:val="none"/>
                <w:lang w:val="en-US" w:eastAsia="zh-CN"/>
              </w:rPr>
            </w:pPr>
            <w:r>
              <w:rPr>
                <w:rFonts w:hint="eastAsia" w:ascii="宋体" w:hAnsi="宋体"/>
                <w:color w:val="auto"/>
                <w:szCs w:val="21"/>
                <w:highlight w:val="none"/>
              </w:rPr>
              <w:t>构成投标文件的其他材料</w:t>
            </w:r>
          </w:p>
        </w:tc>
        <w:tc>
          <w:tcPr>
            <w:tcW w:w="6449" w:type="dxa"/>
            <w:tcBorders>
              <w:tl2br w:val="nil"/>
              <w:tr2bl w:val="nil"/>
            </w:tcBorders>
            <w:noWrap w:val="0"/>
            <w:vAlign w:val="center"/>
          </w:tcPr>
          <w:p w14:paraId="745473A9">
            <w:pPr>
              <w:pStyle w:val="9"/>
              <w:keepNext w:val="0"/>
              <w:keepLines w:val="0"/>
              <w:pageBreakBefore w:val="0"/>
              <w:widowControl w:val="0"/>
              <w:kinsoku/>
              <w:wordWrap/>
              <w:overflowPunct/>
              <w:topLinePunct w:val="0"/>
              <w:autoSpaceDE/>
              <w:autoSpaceDN/>
              <w:bidi w:val="0"/>
              <w:adjustRightInd/>
              <w:snapToGrid/>
              <w:spacing w:line="300" w:lineRule="exact"/>
              <w:textAlignment w:val="auto"/>
              <w:rPr>
                <w:rFonts w:hint="default" w:ascii="宋体" w:hAnsi="宋体" w:eastAsia="宋体" w:cs="宋体"/>
                <w:color w:val="auto"/>
                <w:highlight w:val="none"/>
                <w:lang w:val="en-US" w:eastAsia="zh-CN"/>
              </w:rPr>
            </w:pPr>
            <w:r>
              <w:rPr>
                <w:rFonts w:hint="eastAsia" w:ascii="宋体" w:hAnsi="宋体" w:cs="宋体"/>
                <w:color w:val="auto"/>
                <w:highlight w:val="none"/>
              </w:rPr>
              <w:t>招标人按规定报备后的标有编号的补遗书（如有）；</w:t>
            </w:r>
          </w:p>
        </w:tc>
      </w:tr>
      <w:tr w14:paraId="73A1002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664" w:hRule="atLeast"/>
        </w:trPr>
        <w:tc>
          <w:tcPr>
            <w:tcW w:w="1101" w:type="dxa"/>
            <w:tcBorders>
              <w:tl2br w:val="nil"/>
              <w:tr2bl w:val="nil"/>
            </w:tcBorders>
            <w:noWrap w:val="0"/>
            <w:vAlign w:val="center"/>
          </w:tcPr>
          <w:p w14:paraId="5236A51C">
            <w:pPr>
              <w:pStyle w:val="9"/>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olor w:val="auto"/>
                <w:kern w:val="2"/>
                <w:sz w:val="21"/>
                <w:szCs w:val="21"/>
                <w:highlight w:val="none"/>
                <w:lang w:val="en-US" w:eastAsia="zh-CN" w:bidi="ar-SA"/>
              </w:rPr>
            </w:pPr>
            <w:r>
              <w:rPr>
                <w:rFonts w:hint="eastAsia" w:ascii="宋体" w:hAnsi="宋体" w:eastAsia="宋体"/>
                <w:color w:val="auto"/>
                <w:szCs w:val="21"/>
                <w:highlight w:val="none"/>
                <w:lang w:val="en-US" w:eastAsia="zh-CN"/>
              </w:rPr>
              <w:t>3.1.4</w:t>
            </w:r>
          </w:p>
        </w:tc>
        <w:tc>
          <w:tcPr>
            <w:tcW w:w="1701" w:type="dxa"/>
            <w:tcBorders>
              <w:tl2br w:val="nil"/>
              <w:tr2bl w:val="nil"/>
            </w:tcBorders>
            <w:noWrap w:val="0"/>
            <w:vAlign w:val="center"/>
          </w:tcPr>
          <w:p w14:paraId="21C295EC">
            <w:pPr>
              <w:pStyle w:val="9"/>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kern w:val="2"/>
                <w:sz w:val="21"/>
                <w:szCs w:val="22"/>
                <w:highlight w:val="none"/>
                <w:lang w:val="en-US" w:eastAsia="zh-CN" w:bidi="ar-SA"/>
              </w:rPr>
            </w:pPr>
            <w:r>
              <w:rPr>
                <w:rFonts w:hint="eastAsia" w:ascii="宋体" w:hAnsi="宋体" w:eastAsia="宋体" w:cs="宋体"/>
                <w:color w:val="auto"/>
                <w:highlight w:val="none"/>
                <w:lang w:val="en-US" w:eastAsia="zh-CN"/>
              </w:rPr>
              <w:t>已标价工程量清单电子版</w:t>
            </w:r>
          </w:p>
        </w:tc>
        <w:tc>
          <w:tcPr>
            <w:tcW w:w="6449" w:type="dxa"/>
            <w:tcBorders>
              <w:tl2br w:val="nil"/>
              <w:tr2bl w:val="nil"/>
            </w:tcBorders>
            <w:noWrap w:val="0"/>
            <w:vAlign w:val="center"/>
          </w:tcPr>
          <w:p w14:paraId="509A8AC2">
            <w:pPr>
              <w:pStyle w:val="9"/>
              <w:keepNext w:val="0"/>
              <w:keepLines w:val="0"/>
              <w:pageBreakBefore w:val="0"/>
              <w:widowControl w:val="0"/>
              <w:kinsoku/>
              <w:wordWrap/>
              <w:overflowPunct/>
              <w:topLinePunct w:val="0"/>
              <w:autoSpaceDE/>
              <w:autoSpaceDN/>
              <w:bidi w:val="0"/>
              <w:adjustRightInd w:val="0"/>
              <w:snapToGrid/>
              <w:spacing w:line="300" w:lineRule="exact"/>
              <w:ind w:right="241" w:rightChars="115"/>
              <w:textAlignment w:val="auto"/>
              <w:rPr>
                <w:rFonts w:hint="eastAsia" w:ascii="宋体" w:hAnsi="宋体" w:eastAsia="宋体" w:cs="宋体"/>
                <w:color w:val="auto"/>
                <w:kern w:val="2"/>
                <w:sz w:val="21"/>
                <w:szCs w:val="22"/>
                <w:highlight w:val="none"/>
                <w:lang w:val="en-US" w:eastAsia="zh-CN" w:bidi="ar-SA"/>
              </w:rPr>
            </w:pPr>
            <w:r>
              <w:rPr>
                <w:rFonts w:hint="eastAsia" w:ascii="宋体" w:hAnsi="宋体"/>
                <w:color w:val="auto"/>
                <w:szCs w:val="21"/>
                <w:highlight w:val="none"/>
                <w:lang w:val="en-US" w:eastAsia="zh-CN"/>
              </w:rPr>
              <w:t>根据</w:t>
            </w:r>
            <w:r>
              <w:rPr>
                <w:rFonts w:ascii="宋体" w:hAnsi="宋体"/>
                <w:color w:val="auto"/>
                <w:szCs w:val="21"/>
                <w:highlight w:val="none"/>
                <w:lang w:val="zh-CN"/>
              </w:rPr>
              <w:t>下载的招标文件中的工程量清单文件，完成工程量清单制作</w:t>
            </w:r>
          </w:p>
        </w:tc>
      </w:tr>
      <w:tr w14:paraId="522512E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101" w:type="dxa"/>
            <w:tcBorders>
              <w:tl2br w:val="nil"/>
              <w:tr2bl w:val="nil"/>
            </w:tcBorders>
            <w:noWrap w:val="0"/>
            <w:vAlign w:val="center"/>
          </w:tcPr>
          <w:p w14:paraId="5BD27A48">
            <w:pPr>
              <w:pStyle w:val="9"/>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3.2.1</w:t>
            </w:r>
          </w:p>
        </w:tc>
        <w:tc>
          <w:tcPr>
            <w:tcW w:w="1701" w:type="dxa"/>
            <w:tcBorders>
              <w:tl2br w:val="nil"/>
              <w:tr2bl w:val="nil"/>
            </w:tcBorders>
            <w:noWrap w:val="0"/>
            <w:vAlign w:val="center"/>
          </w:tcPr>
          <w:p w14:paraId="6B360F81">
            <w:pPr>
              <w:pStyle w:val="9"/>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增值税税金的计算方法</w:t>
            </w:r>
          </w:p>
        </w:tc>
        <w:tc>
          <w:tcPr>
            <w:tcW w:w="6449" w:type="dxa"/>
            <w:tcBorders>
              <w:tl2br w:val="nil"/>
              <w:tr2bl w:val="nil"/>
            </w:tcBorders>
            <w:noWrap w:val="0"/>
            <w:vAlign w:val="center"/>
          </w:tcPr>
          <w:p w14:paraId="349E991A">
            <w:pPr>
              <w:pStyle w:val="9"/>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一般计税法</w:t>
            </w:r>
          </w:p>
        </w:tc>
      </w:tr>
      <w:tr w14:paraId="0CA8DAB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92" w:hRule="atLeast"/>
        </w:trPr>
        <w:tc>
          <w:tcPr>
            <w:tcW w:w="1101" w:type="dxa"/>
            <w:tcBorders>
              <w:tl2br w:val="nil"/>
              <w:tr2bl w:val="nil"/>
            </w:tcBorders>
            <w:noWrap w:val="0"/>
            <w:vAlign w:val="center"/>
          </w:tcPr>
          <w:p w14:paraId="3C3BC76F">
            <w:pPr>
              <w:pStyle w:val="9"/>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b/>
                <w:color w:val="auto"/>
                <w:szCs w:val="21"/>
                <w:highlight w:val="none"/>
              </w:rPr>
            </w:pPr>
            <w:r>
              <w:rPr>
                <w:rFonts w:hint="eastAsia" w:ascii="宋体" w:hAnsi="宋体"/>
                <w:color w:val="auto"/>
                <w:szCs w:val="21"/>
                <w:highlight w:val="none"/>
              </w:rPr>
              <w:t>3.2.1</w:t>
            </w:r>
          </w:p>
        </w:tc>
        <w:tc>
          <w:tcPr>
            <w:tcW w:w="1701" w:type="dxa"/>
            <w:tcBorders>
              <w:tl2br w:val="nil"/>
              <w:tr2bl w:val="nil"/>
            </w:tcBorders>
            <w:noWrap w:val="0"/>
            <w:vAlign w:val="center"/>
          </w:tcPr>
          <w:p w14:paraId="207E47C9">
            <w:pPr>
              <w:pStyle w:val="9"/>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b/>
                <w:color w:val="auto"/>
                <w:szCs w:val="21"/>
                <w:highlight w:val="none"/>
              </w:rPr>
            </w:pPr>
            <w:r>
              <w:rPr>
                <w:rFonts w:hint="eastAsia" w:ascii="宋体" w:hAnsi="宋体"/>
                <w:color w:val="auto"/>
                <w:szCs w:val="21"/>
                <w:highlight w:val="none"/>
              </w:rPr>
              <w:t>工程量清单的填写方式</w:t>
            </w:r>
          </w:p>
        </w:tc>
        <w:tc>
          <w:tcPr>
            <w:tcW w:w="6449" w:type="dxa"/>
            <w:tcBorders>
              <w:tl2br w:val="nil"/>
              <w:tr2bl w:val="nil"/>
            </w:tcBorders>
            <w:noWrap w:val="0"/>
            <w:vAlign w:val="center"/>
          </w:tcPr>
          <w:p w14:paraId="7FCF6533">
            <w:pPr>
              <w:pStyle w:val="9"/>
              <w:keepNext w:val="0"/>
              <w:keepLines w:val="0"/>
              <w:pageBreakBefore w:val="0"/>
              <w:widowControl w:val="0"/>
              <w:kinsoku/>
              <w:wordWrap/>
              <w:overflowPunct/>
              <w:topLinePunct w:val="0"/>
              <w:autoSpaceDE/>
              <w:autoSpaceDN/>
              <w:bidi w:val="0"/>
              <w:adjustRightInd w:val="0"/>
              <w:snapToGrid/>
              <w:spacing w:line="300" w:lineRule="exact"/>
              <w:textAlignment w:val="auto"/>
              <w:rPr>
                <w:rFonts w:hint="eastAsia" w:ascii="宋体" w:hAnsi="宋体"/>
                <w:b/>
                <w:color w:val="auto"/>
                <w:szCs w:val="21"/>
                <w:highlight w:val="none"/>
              </w:rPr>
            </w:pPr>
            <w:r>
              <w:rPr>
                <w:rFonts w:ascii="宋体" w:hAnsi="宋体"/>
                <w:color w:val="auto"/>
                <w:szCs w:val="21"/>
                <w:highlight w:val="none"/>
                <w:lang w:val="zh-CN"/>
              </w:rPr>
              <w:t>投标人按照招标人网上提供的</w:t>
            </w:r>
            <w:r>
              <w:rPr>
                <w:rFonts w:hint="eastAsia" w:ascii="宋体" w:hAnsi="宋体"/>
                <w:color w:val="auto"/>
                <w:szCs w:val="21"/>
                <w:highlight w:val="none"/>
                <w:lang w:val="en-US" w:eastAsia="zh-CN"/>
              </w:rPr>
              <w:t>招标文件中的</w:t>
            </w:r>
            <w:r>
              <w:rPr>
                <w:rFonts w:ascii="宋体" w:hAnsi="宋体"/>
                <w:color w:val="auto"/>
                <w:szCs w:val="21"/>
                <w:highlight w:val="none"/>
                <w:lang w:val="zh-CN"/>
              </w:rPr>
              <w:t>工程量清单填写工程量清单</w:t>
            </w:r>
          </w:p>
        </w:tc>
      </w:tr>
      <w:tr w14:paraId="27D4389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92" w:hRule="atLeast"/>
        </w:trPr>
        <w:tc>
          <w:tcPr>
            <w:tcW w:w="1101" w:type="dxa"/>
            <w:tcBorders>
              <w:tl2br w:val="nil"/>
              <w:tr2bl w:val="nil"/>
            </w:tcBorders>
            <w:noWrap w:val="0"/>
            <w:vAlign w:val="center"/>
          </w:tcPr>
          <w:p w14:paraId="19212015">
            <w:pPr>
              <w:pStyle w:val="9"/>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b/>
                <w:color w:val="auto"/>
                <w:szCs w:val="21"/>
                <w:highlight w:val="none"/>
              </w:rPr>
            </w:pPr>
            <w:r>
              <w:rPr>
                <w:rFonts w:hint="eastAsia" w:ascii="宋体" w:hAnsi="宋体"/>
                <w:color w:val="auto"/>
                <w:szCs w:val="21"/>
                <w:highlight w:val="none"/>
              </w:rPr>
              <w:t>3.2.</w:t>
            </w:r>
            <w:r>
              <w:rPr>
                <w:rFonts w:hint="eastAsia" w:ascii="宋体" w:hAnsi="宋体" w:eastAsia="宋体"/>
                <w:color w:val="auto"/>
                <w:szCs w:val="21"/>
                <w:highlight w:val="none"/>
                <w:lang w:val="en-US" w:eastAsia="zh-CN"/>
              </w:rPr>
              <w:t>6</w:t>
            </w:r>
          </w:p>
        </w:tc>
        <w:tc>
          <w:tcPr>
            <w:tcW w:w="1701" w:type="dxa"/>
            <w:tcBorders>
              <w:tl2br w:val="nil"/>
              <w:tr2bl w:val="nil"/>
            </w:tcBorders>
            <w:noWrap w:val="0"/>
            <w:vAlign w:val="center"/>
          </w:tcPr>
          <w:p w14:paraId="79ED5013">
            <w:pPr>
              <w:pStyle w:val="9"/>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b/>
                <w:color w:val="auto"/>
                <w:szCs w:val="21"/>
                <w:highlight w:val="none"/>
              </w:rPr>
            </w:pPr>
            <w:r>
              <w:rPr>
                <w:rFonts w:hint="eastAsia" w:ascii="宋体" w:hAnsi="宋体"/>
                <w:color w:val="auto"/>
                <w:szCs w:val="21"/>
                <w:highlight w:val="none"/>
              </w:rPr>
              <w:t>是否接受调价函</w:t>
            </w:r>
          </w:p>
        </w:tc>
        <w:tc>
          <w:tcPr>
            <w:tcW w:w="6449" w:type="dxa"/>
            <w:tcBorders>
              <w:tl2br w:val="nil"/>
              <w:tr2bl w:val="nil"/>
            </w:tcBorders>
            <w:noWrap w:val="0"/>
            <w:vAlign w:val="center"/>
          </w:tcPr>
          <w:p w14:paraId="208C2684">
            <w:pPr>
              <w:pStyle w:val="9"/>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宋体" w:hAnsi="宋体"/>
                <w:b/>
                <w:color w:val="auto"/>
                <w:szCs w:val="21"/>
                <w:highlight w:val="none"/>
              </w:rPr>
            </w:pPr>
            <w:r>
              <w:rPr>
                <w:rFonts w:hint="eastAsia" w:ascii="宋体" w:hAnsi="宋体"/>
                <w:color w:val="auto"/>
                <w:szCs w:val="21"/>
                <w:highlight w:val="none"/>
              </w:rPr>
              <w:t>不接受</w:t>
            </w:r>
          </w:p>
        </w:tc>
      </w:tr>
      <w:tr w14:paraId="32DA920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92" w:hRule="atLeast"/>
        </w:trPr>
        <w:tc>
          <w:tcPr>
            <w:tcW w:w="1101" w:type="dxa"/>
            <w:tcBorders>
              <w:tl2br w:val="nil"/>
              <w:tr2bl w:val="nil"/>
            </w:tcBorders>
            <w:noWrap w:val="0"/>
            <w:vAlign w:val="center"/>
          </w:tcPr>
          <w:p w14:paraId="68DC07D7">
            <w:pPr>
              <w:pStyle w:val="9"/>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b/>
                <w:color w:val="auto"/>
                <w:szCs w:val="21"/>
                <w:highlight w:val="none"/>
              </w:rPr>
            </w:pPr>
            <w:r>
              <w:rPr>
                <w:rFonts w:hint="eastAsia" w:ascii="宋体" w:hAnsi="宋体" w:eastAsia="宋体"/>
                <w:color w:val="auto"/>
                <w:szCs w:val="21"/>
                <w:highlight w:val="none"/>
                <w:lang w:val="en-US" w:eastAsia="zh-CN"/>
              </w:rPr>
              <w:t>3.2.8</w:t>
            </w:r>
          </w:p>
        </w:tc>
        <w:tc>
          <w:tcPr>
            <w:tcW w:w="1701" w:type="dxa"/>
            <w:tcBorders>
              <w:tl2br w:val="nil"/>
              <w:tr2bl w:val="nil"/>
            </w:tcBorders>
            <w:noWrap w:val="0"/>
            <w:vAlign w:val="center"/>
          </w:tcPr>
          <w:p w14:paraId="58E51364">
            <w:pPr>
              <w:pStyle w:val="9"/>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b/>
                <w:color w:val="auto"/>
                <w:szCs w:val="21"/>
                <w:highlight w:val="none"/>
              </w:rPr>
            </w:pPr>
            <w:r>
              <w:rPr>
                <w:rFonts w:hint="eastAsia" w:ascii="宋体" w:hAnsi="宋体" w:eastAsia="宋体"/>
                <w:color w:val="auto"/>
                <w:szCs w:val="21"/>
                <w:highlight w:val="none"/>
                <w:lang w:val="en-US" w:eastAsia="zh-CN"/>
              </w:rPr>
              <w:t>最高投标限价</w:t>
            </w:r>
          </w:p>
        </w:tc>
        <w:tc>
          <w:tcPr>
            <w:tcW w:w="6449" w:type="dxa"/>
            <w:tcBorders>
              <w:tl2br w:val="nil"/>
              <w:tr2bl w:val="nil"/>
            </w:tcBorders>
            <w:noWrap w:val="0"/>
            <w:vAlign w:val="center"/>
          </w:tcPr>
          <w:p w14:paraId="3CDE0765">
            <w:pPr>
              <w:pStyle w:val="9"/>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eastAsia" w:ascii="宋体" w:hAnsi="宋体" w:eastAsia="宋体" w:cs="Times New Roman"/>
                <w:color w:val="auto"/>
                <w:szCs w:val="21"/>
                <w:highlight w:val="none"/>
                <w:lang w:val="zh-CN"/>
              </w:rPr>
            </w:pPr>
            <w:r>
              <w:rPr>
                <w:rFonts w:hint="eastAsia" w:ascii="宋体" w:hAnsi="宋体" w:eastAsia="宋体" w:cs="宋体"/>
                <w:color w:val="auto"/>
                <w:highlight w:val="none"/>
                <w:lang w:val="en-US" w:eastAsia="zh-CN"/>
              </w:rPr>
              <w:t>最高投标限价以工程量清单预算乘以随机抽取的调整系数来确定。</w:t>
            </w:r>
          </w:p>
          <w:p w14:paraId="23855CAB">
            <w:pPr>
              <w:pStyle w:val="9"/>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highlight w:val="none"/>
                <w:lang w:val="en-US" w:eastAsia="zh-CN"/>
              </w:rPr>
            </w:pPr>
            <w:r>
              <w:rPr>
                <w:rFonts w:hint="eastAsia" w:ascii="宋体" w:hAnsi="宋体" w:eastAsia="宋体" w:cs="Times New Roman"/>
                <w:color w:val="auto"/>
                <w:szCs w:val="21"/>
                <w:highlight w:val="none"/>
                <w:lang w:val="zh-CN"/>
              </w:rPr>
              <w:t>工程量清单预算为</w:t>
            </w:r>
            <w:r>
              <w:rPr>
                <w:rFonts w:hint="eastAsia" w:ascii="宋体" w:hAnsi="宋体" w:eastAsia="宋体" w:cs="Times New Roman"/>
                <w:color w:val="auto"/>
                <w:szCs w:val="21"/>
                <w:highlight w:val="none"/>
                <w:u w:val="single"/>
                <w:lang w:val="en-US" w:eastAsia="zh-CN"/>
              </w:rPr>
              <w:t xml:space="preserve"> 16877289 </w:t>
            </w:r>
            <w:r>
              <w:rPr>
                <w:rFonts w:hint="eastAsia" w:ascii="宋体" w:hAnsi="宋体" w:eastAsia="宋体" w:cs="Times New Roman"/>
                <w:color w:val="auto"/>
                <w:szCs w:val="21"/>
                <w:highlight w:val="none"/>
                <w:lang w:val="en-US" w:eastAsia="zh-CN"/>
              </w:rPr>
              <w:t>元。</w:t>
            </w:r>
            <w:r>
              <w:rPr>
                <w:rFonts w:hint="eastAsia" w:ascii="宋体" w:hAnsi="宋体" w:eastAsia="宋体" w:cs="宋体"/>
                <w:color w:val="auto"/>
                <w:highlight w:val="none"/>
                <w:lang w:val="en-US" w:eastAsia="zh-CN"/>
              </w:rPr>
              <w:t xml:space="preserve"> </w:t>
            </w:r>
          </w:p>
          <w:p w14:paraId="15C941B1">
            <w:pPr>
              <w:pStyle w:val="9"/>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b/>
                <w:color w:val="auto"/>
                <w:szCs w:val="21"/>
                <w:highlight w:val="none"/>
              </w:rPr>
            </w:pPr>
            <w:r>
              <w:rPr>
                <w:rFonts w:hint="eastAsia" w:ascii="宋体" w:hAnsi="宋体" w:eastAsia="宋体" w:cs="宋体"/>
                <w:color w:val="auto"/>
                <w:highlight w:val="none"/>
                <w:lang w:val="en-US" w:eastAsia="zh-CN"/>
              </w:rPr>
              <w:t>调整系数在三个连续值（</w:t>
            </w:r>
            <w:r>
              <w:rPr>
                <w:rFonts w:hint="eastAsia" w:ascii="宋体" w:hAnsi="宋体" w:eastAsia="宋体"/>
                <w:color w:val="auto"/>
                <w:szCs w:val="21"/>
                <w:highlight w:val="none"/>
                <w:lang w:val="en-US" w:eastAsia="zh-CN"/>
              </w:rPr>
              <w:t>0.97、0.98、0.99</w:t>
            </w:r>
            <w:r>
              <w:rPr>
                <w:rFonts w:hint="eastAsia" w:ascii="宋体" w:hAnsi="宋体" w:eastAsia="宋体" w:cs="宋体"/>
                <w:color w:val="auto"/>
                <w:highlight w:val="none"/>
                <w:lang w:val="en-US" w:eastAsia="zh-CN"/>
              </w:rPr>
              <w:t xml:space="preserve">）中开标时随机抽取其中一个为调整系数。 </w:t>
            </w:r>
          </w:p>
        </w:tc>
      </w:tr>
      <w:tr w14:paraId="4B10696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92" w:hRule="atLeast"/>
        </w:trPr>
        <w:tc>
          <w:tcPr>
            <w:tcW w:w="1101" w:type="dxa"/>
            <w:tcBorders>
              <w:tl2br w:val="nil"/>
              <w:tr2bl w:val="nil"/>
            </w:tcBorders>
            <w:noWrap w:val="0"/>
            <w:vAlign w:val="center"/>
          </w:tcPr>
          <w:p w14:paraId="176325AE">
            <w:pPr>
              <w:pStyle w:val="9"/>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b/>
                <w:color w:val="auto"/>
                <w:szCs w:val="21"/>
                <w:highlight w:val="none"/>
              </w:rPr>
            </w:pPr>
            <w:r>
              <w:rPr>
                <w:rFonts w:hint="eastAsia" w:ascii="宋体" w:hAnsi="宋体" w:eastAsia="宋体"/>
                <w:color w:val="auto"/>
                <w:szCs w:val="21"/>
                <w:highlight w:val="none"/>
                <w:lang w:val="en-US" w:eastAsia="zh-CN"/>
              </w:rPr>
              <w:t>3.2.9</w:t>
            </w:r>
          </w:p>
        </w:tc>
        <w:tc>
          <w:tcPr>
            <w:tcW w:w="1701" w:type="dxa"/>
            <w:tcBorders>
              <w:tl2br w:val="nil"/>
              <w:tr2bl w:val="nil"/>
            </w:tcBorders>
            <w:noWrap w:val="0"/>
            <w:vAlign w:val="center"/>
          </w:tcPr>
          <w:p w14:paraId="2C3E2864">
            <w:pPr>
              <w:pStyle w:val="9"/>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b/>
                <w:color w:val="auto"/>
                <w:szCs w:val="21"/>
                <w:highlight w:val="none"/>
              </w:rPr>
            </w:pPr>
            <w:r>
              <w:rPr>
                <w:rFonts w:hint="eastAsia" w:ascii="宋体" w:hAnsi="宋体" w:eastAsia="宋体"/>
                <w:color w:val="auto"/>
                <w:szCs w:val="21"/>
                <w:highlight w:val="none"/>
                <w:lang w:val="en-US" w:eastAsia="zh-CN"/>
              </w:rPr>
              <w:t>投标报价的其他要求</w:t>
            </w:r>
          </w:p>
        </w:tc>
        <w:tc>
          <w:tcPr>
            <w:tcW w:w="6449" w:type="dxa"/>
            <w:tcBorders>
              <w:tl2br w:val="nil"/>
              <w:tr2bl w:val="nil"/>
            </w:tcBorders>
            <w:noWrap w:val="0"/>
            <w:vAlign w:val="center"/>
          </w:tcPr>
          <w:p w14:paraId="5447C24D">
            <w:pPr>
              <w:pStyle w:val="9"/>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b/>
                <w:color w:val="auto"/>
                <w:szCs w:val="21"/>
                <w:highlight w:val="none"/>
              </w:rPr>
            </w:pPr>
            <w:r>
              <w:rPr>
                <w:rFonts w:hint="eastAsia" w:ascii="宋体" w:hAnsi="宋体" w:eastAsia="宋体" w:cs="宋体"/>
                <w:color w:val="auto"/>
                <w:highlight w:val="none"/>
                <w:lang w:val="en-US" w:eastAsia="zh-CN"/>
              </w:rPr>
              <w:t>无</w:t>
            </w:r>
          </w:p>
        </w:tc>
      </w:tr>
      <w:tr w14:paraId="3B78CD4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92" w:hRule="atLeast"/>
        </w:trPr>
        <w:tc>
          <w:tcPr>
            <w:tcW w:w="1101" w:type="dxa"/>
            <w:tcBorders>
              <w:tl2br w:val="nil"/>
              <w:tr2bl w:val="nil"/>
            </w:tcBorders>
            <w:noWrap w:val="0"/>
            <w:vAlign w:val="center"/>
          </w:tcPr>
          <w:p w14:paraId="25F28198">
            <w:pPr>
              <w:pStyle w:val="9"/>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b/>
                <w:color w:val="auto"/>
                <w:szCs w:val="21"/>
                <w:highlight w:val="none"/>
              </w:rPr>
            </w:pPr>
            <w:r>
              <w:rPr>
                <w:rFonts w:hint="eastAsia" w:ascii="宋体" w:hAnsi="宋体"/>
                <w:color w:val="auto"/>
                <w:szCs w:val="21"/>
                <w:highlight w:val="none"/>
              </w:rPr>
              <w:t>3.3.1</w:t>
            </w:r>
          </w:p>
        </w:tc>
        <w:tc>
          <w:tcPr>
            <w:tcW w:w="1701" w:type="dxa"/>
            <w:tcBorders>
              <w:tl2br w:val="nil"/>
              <w:tr2bl w:val="nil"/>
            </w:tcBorders>
            <w:noWrap w:val="0"/>
            <w:vAlign w:val="center"/>
          </w:tcPr>
          <w:p w14:paraId="26EFADAF">
            <w:pPr>
              <w:pStyle w:val="9"/>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b/>
                <w:color w:val="auto"/>
                <w:szCs w:val="21"/>
                <w:highlight w:val="none"/>
              </w:rPr>
            </w:pPr>
            <w:r>
              <w:rPr>
                <w:rFonts w:hint="eastAsia" w:ascii="宋体" w:hAnsi="宋体"/>
                <w:color w:val="auto"/>
                <w:szCs w:val="21"/>
                <w:highlight w:val="none"/>
              </w:rPr>
              <w:t>投标有效期</w:t>
            </w:r>
          </w:p>
        </w:tc>
        <w:tc>
          <w:tcPr>
            <w:tcW w:w="6449" w:type="dxa"/>
            <w:tcBorders>
              <w:tl2br w:val="nil"/>
              <w:tr2bl w:val="nil"/>
            </w:tcBorders>
            <w:noWrap w:val="0"/>
            <w:vAlign w:val="center"/>
          </w:tcPr>
          <w:p w14:paraId="5FA17231">
            <w:pPr>
              <w:pStyle w:val="9"/>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宋体" w:hAnsi="宋体"/>
                <w:b/>
                <w:color w:val="auto"/>
                <w:szCs w:val="21"/>
                <w:highlight w:val="none"/>
              </w:rPr>
            </w:pPr>
            <w:r>
              <w:rPr>
                <w:rFonts w:hint="eastAsia" w:ascii="宋体" w:hAnsi="宋体"/>
                <w:color w:val="auto"/>
                <w:szCs w:val="21"/>
                <w:highlight w:val="none"/>
              </w:rPr>
              <w:t>自投标人提交投标文件截止之日起计算90天</w:t>
            </w:r>
          </w:p>
        </w:tc>
      </w:tr>
      <w:tr w14:paraId="6F1FC52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56" w:hRule="atLeast"/>
        </w:trPr>
        <w:tc>
          <w:tcPr>
            <w:tcW w:w="1101" w:type="dxa"/>
            <w:tcBorders>
              <w:tl2br w:val="nil"/>
              <w:tr2bl w:val="nil"/>
            </w:tcBorders>
            <w:noWrap w:val="0"/>
            <w:vAlign w:val="center"/>
          </w:tcPr>
          <w:p w14:paraId="2C494CFA">
            <w:pPr>
              <w:pStyle w:val="9"/>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宋体" w:hAnsi="宋体"/>
                <w:color w:val="auto"/>
                <w:szCs w:val="21"/>
                <w:highlight w:val="none"/>
              </w:rPr>
            </w:pPr>
            <w:r>
              <w:rPr>
                <w:rFonts w:hint="eastAsia" w:ascii="宋体" w:hAnsi="宋体"/>
                <w:color w:val="auto"/>
                <w:szCs w:val="21"/>
                <w:highlight w:val="none"/>
              </w:rPr>
              <w:t>3.4.1</w:t>
            </w:r>
          </w:p>
        </w:tc>
        <w:tc>
          <w:tcPr>
            <w:tcW w:w="1701" w:type="dxa"/>
            <w:tcBorders>
              <w:tl2br w:val="nil"/>
              <w:tr2bl w:val="nil"/>
            </w:tcBorders>
            <w:noWrap w:val="0"/>
            <w:vAlign w:val="center"/>
          </w:tcPr>
          <w:p w14:paraId="62CA9218">
            <w:pPr>
              <w:pStyle w:val="9"/>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olor w:val="auto"/>
                <w:szCs w:val="21"/>
                <w:highlight w:val="none"/>
                <w:lang w:val="en-US" w:eastAsia="zh-CN"/>
              </w:rPr>
            </w:pPr>
            <w:r>
              <w:rPr>
                <w:rFonts w:hint="eastAsia" w:ascii="宋体" w:hAnsi="宋体"/>
                <w:color w:val="auto"/>
                <w:szCs w:val="21"/>
                <w:highlight w:val="none"/>
              </w:rPr>
              <w:t>投标保证金</w:t>
            </w:r>
            <w:r>
              <w:rPr>
                <w:rFonts w:hint="eastAsia" w:ascii="宋体" w:hAnsi="宋体" w:eastAsia="宋体"/>
                <w:color w:val="auto"/>
                <w:szCs w:val="21"/>
                <w:highlight w:val="none"/>
                <w:lang w:val="en-US" w:eastAsia="zh-CN"/>
              </w:rPr>
              <w:t>的</w:t>
            </w:r>
          </w:p>
          <w:p w14:paraId="11D0C18C">
            <w:pPr>
              <w:pStyle w:val="9"/>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递交</w:t>
            </w:r>
          </w:p>
        </w:tc>
        <w:tc>
          <w:tcPr>
            <w:tcW w:w="6449" w:type="dxa"/>
            <w:tcBorders>
              <w:tl2br w:val="nil"/>
              <w:tr2bl w:val="nil"/>
            </w:tcBorders>
            <w:noWrap w:val="0"/>
            <w:vAlign w:val="center"/>
          </w:tcPr>
          <w:p w14:paraId="18DEB0DD">
            <w:pPr>
              <w:pStyle w:val="43"/>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sym w:font="Wingdings 2" w:char="00A3"/>
            </w:r>
            <w:r>
              <w:rPr>
                <w:rFonts w:hint="eastAsia" w:ascii="宋体" w:hAnsi="宋体" w:eastAsia="宋体" w:cs="宋体"/>
                <w:color w:val="auto"/>
                <w:highlight w:val="none"/>
              </w:rPr>
              <w:t>不要求递交投标保证金</w:t>
            </w:r>
          </w:p>
          <w:p w14:paraId="6ED10354">
            <w:pPr>
              <w:pStyle w:val="43"/>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要求递交投标保证金</w:t>
            </w:r>
          </w:p>
          <w:p w14:paraId="63711385">
            <w:pPr>
              <w:pStyle w:val="43"/>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根据浙江省交通运输厅公布的养护企业信用评价结果（以投标截止日有效的信用等级为准），AA级的投标人可免缴投标保证金（必须提供相关证明材料）（联合体投标的，以联合体所有成员中信用评价等级低的为准）。</w:t>
            </w:r>
          </w:p>
          <w:p w14:paraId="2DBADBAD">
            <w:pPr>
              <w:pStyle w:val="43"/>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投标保证金的金额：人民币</w:t>
            </w:r>
            <w:r>
              <w:rPr>
                <w:rFonts w:hint="eastAsia" w:ascii="宋体" w:hAnsi="宋体" w:cs="宋体"/>
                <w:color w:val="auto"/>
                <w:highlight w:val="none"/>
                <w:lang w:val="en-US" w:eastAsia="zh-CN"/>
              </w:rPr>
              <w:t>10</w:t>
            </w:r>
            <w:r>
              <w:rPr>
                <w:rFonts w:hint="eastAsia" w:ascii="宋体" w:hAnsi="宋体" w:eastAsia="宋体" w:cs="宋体"/>
                <w:color w:val="auto"/>
                <w:highlight w:val="none"/>
              </w:rPr>
              <w:t>万元，投标保证金在投标人自行获取招标文件后，在投标截止时间前缴纳。缴纳方式为（投标人可以选择以下任意一种形式）：</w:t>
            </w:r>
          </w:p>
          <w:p w14:paraId="4B070C4B">
            <w:pPr>
              <w:pStyle w:val="43"/>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（1）投标人基本账户开具的保函/保证保险/担保公司</w:t>
            </w:r>
          </w:p>
          <w:p w14:paraId="45380974">
            <w:pPr>
              <w:pStyle w:val="43"/>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担保/转账/数字保函等（不包括现金）。</w:t>
            </w:r>
          </w:p>
          <w:p w14:paraId="7DD228DF">
            <w:pPr>
              <w:pStyle w:val="43"/>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保证金缴入账户：</w:t>
            </w:r>
          </w:p>
          <w:p w14:paraId="59F2512E">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开户单位名称：绍兴市公共资源交易中心保证金专户，</w:t>
            </w:r>
          </w:p>
          <w:p w14:paraId="5402C213">
            <w:pPr>
              <w:pStyle w:val="43"/>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kern w:val="2"/>
                <w:sz w:val="21"/>
                <w:szCs w:val="21"/>
                <w:highlight w:val="none"/>
                <w:lang w:val="en-US" w:eastAsia="zh-CN" w:bidi="ar-SA"/>
              </w:rPr>
              <w:t>开户行：绍兴银行股份有限公司营业部：账号：</w:t>
            </w:r>
            <w:r>
              <w:rPr>
                <w:rFonts w:hint="eastAsia" w:ascii="宋体" w:hAnsi="宋体" w:eastAsia="宋体" w:cs="宋体"/>
                <w:color w:val="auto"/>
                <w:kern w:val="2"/>
                <w:sz w:val="21"/>
                <w:szCs w:val="21"/>
                <w:highlight w:val="none"/>
                <w:u w:val="single"/>
                <w:lang w:val="en-US" w:eastAsia="zh-CN" w:bidi="ar-SA"/>
              </w:rPr>
              <w:t xml:space="preserve">            </w:t>
            </w:r>
            <w:r>
              <w:rPr>
                <w:rFonts w:hint="eastAsia" w:ascii="宋体" w:hAnsi="宋体" w:eastAsia="宋体" w:cs="宋体"/>
                <w:color w:val="auto"/>
                <w:kern w:val="2"/>
                <w:sz w:val="21"/>
                <w:szCs w:val="21"/>
                <w:highlight w:val="none"/>
                <w:lang w:val="en-US" w:eastAsia="zh-CN" w:bidi="ar-SA"/>
              </w:rPr>
              <w:t>。</w:t>
            </w:r>
          </w:p>
          <w:p w14:paraId="53F3413A">
            <w:pPr>
              <w:pStyle w:val="43"/>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（2）招标人接受投标保证金银行保函、电子保险保函、担保保函。投标人自行在电子招投标交易平台(http://220.187.225.202:8088/TPBidder-ztk/memberLogin）中自主选择办理。</w:t>
            </w:r>
          </w:p>
          <w:p w14:paraId="6EBB29E5">
            <w:pPr>
              <w:pStyle w:val="43"/>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（3）购买保险、保函、担保的费用及转账资金应从投标人基本账户支出，并在投标文件递交截止时间前办妥相应手续。</w:t>
            </w:r>
          </w:p>
          <w:p w14:paraId="293816D4">
            <w:pPr>
              <w:pStyle w:val="43"/>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（4）请各投标人在缴纳投标保证金前自行核对统一主体库内填写的基本账户信息，避免出现保证金缴纳后无法匹配的现象。</w:t>
            </w:r>
          </w:p>
          <w:p w14:paraId="52575335">
            <w:pPr>
              <w:pStyle w:val="43"/>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rPr>
                <w:rFonts w:hint="eastAsia" w:ascii="宋体" w:hAnsi="宋体" w:cs="宋体"/>
                <w:color w:val="auto"/>
                <w:highlight w:val="none"/>
              </w:rPr>
            </w:pPr>
            <w:r>
              <w:rPr>
                <w:rFonts w:hint="eastAsia" w:ascii="宋体" w:hAnsi="宋体" w:eastAsia="宋体" w:cs="宋体"/>
                <w:color w:val="auto"/>
                <w:highlight w:val="none"/>
              </w:rPr>
              <w:t>（</w:t>
            </w:r>
            <w:r>
              <w:rPr>
                <w:rFonts w:hint="eastAsia" w:ascii="宋体" w:hAnsi="宋体" w:cs="宋体"/>
                <w:color w:val="auto"/>
                <w:highlight w:val="none"/>
                <w:lang w:val="en-US" w:eastAsia="zh-CN"/>
              </w:rPr>
              <w:t>5</w:t>
            </w:r>
            <w:r>
              <w:rPr>
                <w:rFonts w:hint="eastAsia" w:ascii="宋体" w:hAnsi="宋体" w:eastAsia="宋体" w:cs="宋体"/>
                <w:color w:val="auto"/>
                <w:highlight w:val="none"/>
              </w:rPr>
              <w:t>）联合体投标的</w:t>
            </w:r>
            <w:r>
              <w:rPr>
                <w:rFonts w:hint="eastAsia" w:ascii="宋体" w:hAnsi="宋体" w:cs="宋体"/>
                <w:color w:val="auto"/>
                <w:highlight w:val="none"/>
                <w:lang w:eastAsia="zh-CN"/>
              </w:rPr>
              <w:t>，</w:t>
            </w:r>
            <w:r>
              <w:rPr>
                <w:rFonts w:hint="eastAsia" w:ascii="宋体" w:hAnsi="宋体" w:cs="宋体"/>
                <w:color w:val="auto"/>
                <w:highlight w:val="none"/>
                <w:lang w:val="en-US" w:eastAsia="zh-CN"/>
              </w:rPr>
              <w:t>投标保证金</w:t>
            </w:r>
            <w:r>
              <w:rPr>
                <w:rFonts w:hint="eastAsia" w:ascii="宋体" w:hAnsi="宋体" w:eastAsia="宋体" w:cs="宋体"/>
                <w:color w:val="auto"/>
                <w:highlight w:val="none"/>
              </w:rPr>
              <w:t>由联合体牵头人单位办理。</w:t>
            </w:r>
          </w:p>
        </w:tc>
      </w:tr>
      <w:tr w14:paraId="1CD00CF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56" w:hRule="atLeast"/>
        </w:trPr>
        <w:tc>
          <w:tcPr>
            <w:tcW w:w="1101" w:type="dxa"/>
            <w:tcBorders>
              <w:tl2br w:val="nil"/>
              <w:tr2bl w:val="nil"/>
            </w:tcBorders>
            <w:noWrap w:val="0"/>
            <w:vAlign w:val="center"/>
          </w:tcPr>
          <w:p w14:paraId="24DABF94">
            <w:pPr>
              <w:pStyle w:val="9"/>
              <w:jc w:val="center"/>
              <w:rPr>
                <w:rFonts w:ascii="宋体" w:hAnsi="宋体"/>
                <w:color w:val="auto"/>
                <w:szCs w:val="21"/>
                <w:highlight w:val="none"/>
              </w:rPr>
            </w:pPr>
            <w:r>
              <w:rPr>
                <w:rFonts w:hint="eastAsia" w:ascii="宋体" w:hAnsi="宋体"/>
                <w:color w:val="auto"/>
                <w:szCs w:val="21"/>
                <w:highlight w:val="none"/>
              </w:rPr>
              <w:t>3.4.3</w:t>
            </w:r>
          </w:p>
        </w:tc>
        <w:tc>
          <w:tcPr>
            <w:tcW w:w="1701" w:type="dxa"/>
            <w:tcBorders>
              <w:tl2br w:val="nil"/>
              <w:tr2bl w:val="nil"/>
            </w:tcBorders>
            <w:noWrap w:val="0"/>
            <w:vAlign w:val="center"/>
          </w:tcPr>
          <w:p w14:paraId="7EB02C83">
            <w:pPr>
              <w:pStyle w:val="9"/>
              <w:widowControl/>
              <w:spacing w:line="260" w:lineRule="exact"/>
              <w:jc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投标保证金的</w:t>
            </w:r>
          </w:p>
          <w:p w14:paraId="71EFC242">
            <w:pPr>
              <w:pStyle w:val="9"/>
              <w:widowControl/>
              <w:spacing w:line="260" w:lineRule="exact"/>
              <w:jc w:val="center"/>
              <w:rPr>
                <w:rFonts w:hint="eastAsia" w:ascii="宋体" w:hAnsi="宋体"/>
                <w:color w:val="auto"/>
                <w:szCs w:val="21"/>
                <w:highlight w:val="none"/>
              </w:rPr>
            </w:pPr>
            <w:r>
              <w:rPr>
                <w:rFonts w:hint="eastAsia" w:ascii="宋体" w:hAnsi="宋体" w:cs="宋体"/>
                <w:color w:val="auto"/>
                <w:kern w:val="0"/>
                <w:szCs w:val="21"/>
                <w:highlight w:val="none"/>
                <w:lang w:bidi="ar"/>
              </w:rPr>
              <w:t>退还</w:t>
            </w:r>
          </w:p>
        </w:tc>
        <w:tc>
          <w:tcPr>
            <w:tcW w:w="6449" w:type="dxa"/>
            <w:tcBorders>
              <w:tl2br w:val="nil"/>
              <w:tr2bl w:val="nil"/>
            </w:tcBorders>
            <w:noWrap w:val="0"/>
            <w:vAlign w:val="center"/>
          </w:tcPr>
          <w:p w14:paraId="1BE6D796">
            <w:pPr>
              <w:keepNext w:val="0"/>
              <w:keepLines w:val="0"/>
              <w:pageBreakBefore w:val="0"/>
              <w:widowControl w:val="0"/>
              <w:kinsoku/>
              <w:wordWrap/>
              <w:overflowPunct/>
              <w:topLinePunct w:val="0"/>
              <w:autoSpaceDE/>
              <w:autoSpaceDN/>
              <w:bidi w:val="0"/>
              <w:adjustRightInd/>
              <w:snapToGrid/>
              <w:spacing w:line="300" w:lineRule="exact"/>
              <w:textAlignment w:val="auto"/>
              <w:rPr>
                <w:rFonts w:ascii="宋体" w:hAnsi="宋体" w:cs="宋体"/>
                <w:color w:val="auto"/>
                <w:highlight w:val="none"/>
              </w:rPr>
            </w:pPr>
            <w:r>
              <w:rPr>
                <w:rFonts w:hint="eastAsia" w:ascii="宋体" w:hAnsi="宋体" w:cs="宋体"/>
                <w:snapToGrid w:val="0"/>
                <w:color w:val="auto"/>
                <w:spacing w:val="0"/>
                <w:w w:val="100"/>
                <w:kern w:val="0"/>
                <w:sz w:val="21"/>
                <w:szCs w:val="21"/>
                <w:highlight w:val="none"/>
                <w:lang w:val="en-US" w:eastAsia="zh-CN" w:bidi="ar-SA"/>
              </w:rPr>
              <w:t>最迟在书面合同</w:t>
            </w:r>
            <w:r>
              <w:rPr>
                <w:rFonts w:hint="eastAsia" w:ascii="宋体" w:hAnsi="宋体" w:eastAsia="宋体" w:cs="宋体"/>
                <w:snapToGrid w:val="0"/>
                <w:color w:val="auto"/>
                <w:spacing w:val="0"/>
                <w:w w:val="100"/>
                <w:kern w:val="0"/>
                <w:sz w:val="21"/>
                <w:szCs w:val="21"/>
                <w:highlight w:val="none"/>
                <w:lang w:val="en-US" w:eastAsia="en-US" w:bidi="ar-SA"/>
              </w:rPr>
              <w:t>签订后5日内</w:t>
            </w:r>
            <w:r>
              <w:rPr>
                <w:rFonts w:hint="eastAsia" w:ascii="宋体" w:hAnsi="宋体" w:cs="宋体"/>
                <w:snapToGrid w:val="0"/>
                <w:color w:val="auto"/>
                <w:spacing w:val="0"/>
                <w:w w:val="100"/>
                <w:kern w:val="0"/>
                <w:sz w:val="21"/>
                <w:szCs w:val="21"/>
                <w:highlight w:val="none"/>
                <w:lang w:val="en-US" w:eastAsia="zh-CN" w:bidi="ar-SA"/>
              </w:rPr>
              <w:t>向标人和未中标的投标人</w:t>
            </w:r>
            <w:r>
              <w:rPr>
                <w:rFonts w:hint="eastAsia" w:ascii="宋体" w:hAnsi="宋体" w:eastAsia="宋体" w:cs="宋体"/>
                <w:snapToGrid w:val="0"/>
                <w:color w:val="auto"/>
                <w:spacing w:val="0"/>
                <w:w w:val="100"/>
                <w:kern w:val="0"/>
                <w:sz w:val="21"/>
                <w:szCs w:val="21"/>
                <w:highlight w:val="none"/>
                <w:lang w:val="en-US" w:eastAsia="en-US" w:bidi="ar-SA"/>
              </w:rPr>
              <w:t>退还</w:t>
            </w:r>
            <w:r>
              <w:rPr>
                <w:rFonts w:hint="eastAsia" w:ascii="宋体" w:hAnsi="宋体" w:cs="宋体"/>
                <w:snapToGrid w:val="0"/>
                <w:color w:val="auto"/>
                <w:spacing w:val="0"/>
                <w:w w:val="100"/>
                <w:kern w:val="0"/>
                <w:sz w:val="21"/>
                <w:szCs w:val="21"/>
                <w:highlight w:val="none"/>
                <w:lang w:val="en-US" w:eastAsia="zh-CN" w:bidi="ar-SA"/>
              </w:rPr>
              <w:t>投标保证金及银行同期存款利息。</w:t>
            </w:r>
          </w:p>
        </w:tc>
      </w:tr>
      <w:tr w14:paraId="7CD1D3C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457" w:hRule="atLeast"/>
        </w:trPr>
        <w:tc>
          <w:tcPr>
            <w:tcW w:w="1101" w:type="dxa"/>
            <w:tcBorders>
              <w:tl2br w:val="nil"/>
              <w:tr2bl w:val="nil"/>
            </w:tcBorders>
            <w:noWrap w:val="0"/>
            <w:vAlign w:val="center"/>
          </w:tcPr>
          <w:p w14:paraId="3E5B4AA6">
            <w:pPr>
              <w:pStyle w:val="9"/>
              <w:jc w:val="center"/>
              <w:rPr>
                <w:rFonts w:hint="eastAsia" w:ascii="宋体" w:hAnsi="宋体"/>
                <w:color w:val="auto"/>
                <w:szCs w:val="21"/>
                <w:highlight w:val="none"/>
              </w:rPr>
            </w:pPr>
            <w:r>
              <w:rPr>
                <w:rFonts w:hint="eastAsia" w:ascii="宋体" w:hAnsi="宋体"/>
                <w:color w:val="auto"/>
                <w:szCs w:val="21"/>
                <w:highlight w:val="none"/>
              </w:rPr>
              <w:t>3.4.4</w:t>
            </w:r>
          </w:p>
        </w:tc>
        <w:tc>
          <w:tcPr>
            <w:tcW w:w="1701" w:type="dxa"/>
            <w:tcBorders>
              <w:tl2br w:val="nil"/>
              <w:tr2bl w:val="nil"/>
            </w:tcBorders>
            <w:noWrap w:val="0"/>
            <w:vAlign w:val="center"/>
          </w:tcPr>
          <w:p w14:paraId="74F9A99F">
            <w:pPr>
              <w:pStyle w:val="9"/>
              <w:keepNext w:val="0"/>
              <w:keepLines w:val="0"/>
              <w:pageBreakBefore w:val="0"/>
              <w:kinsoku/>
              <w:wordWrap/>
              <w:overflowPunct/>
              <w:topLinePunct w:val="0"/>
              <w:autoSpaceDE/>
              <w:autoSpaceDN/>
              <w:bidi w:val="0"/>
              <w:adjustRightInd/>
              <w:snapToGrid/>
              <w:spacing w:line="280" w:lineRule="exact"/>
              <w:ind w:right="105"/>
              <w:textAlignment w:val="auto"/>
              <w:rPr>
                <w:rFonts w:hint="eastAsia" w:ascii="宋体" w:hAnsi="宋体" w:cs="宋体"/>
                <w:color w:val="auto"/>
                <w:kern w:val="0"/>
                <w:szCs w:val="21"/>
                <w:highlight w:val="none"/>
                <w:lang w:bidi="ar"/>
              </w:rPr>
            </w:pPr>
            <w:r>
              <w:rPr>
                <w:rFonts w:hint="eastAsia" w:ascii="宋体" w:hAnsi="宋体"/>
                <w:color w:val="auto"/>
                <w:szCs w:val="21"/>
                <w:highlight w:val="none"/>
              </w:rPr>
              <w:t>投标保证金不予退还的情形</w:t>
            </w:r>
          </w:p>
        </w:tc>
        <w:tc>
          <w:tcPr>
            <w:tcW w:w="6449" w:type="dxa"/>
            <w:tcBorders>
              <w:tl2br w:val="nil"/>
              <w:tr2bl w:val="nil"/>
            </w:tcBorders>
            <w:noWrap w:val="0"/>
            <w:vAlign w:val="center"/>
          </w:tcPr>
          <w:p w14:paraId="0EDCCD5F">
            <w:pPr>
              <w:keepNext w:val="0"/>
              <w:keepLines w:val="0"/>
              <w:pageBreakBefore w:val="0"/>
              <w:widowControl w:val="0"/>
              <w:kinsoku/>
              <w:wordWrap/>
              <w:overflowPunct/>
              <w:topLinePunct w:val="0"/>
              <w:autoSpaceDE/>
              <w:autoSpaceDN/>
              <w:bidi w:val="0"/>
              <w:adjustRightInd/>
              <w:snapToGrid/>
              <w:spacing w:line="280" w:lineRule="exact"/>
              <w:ind w:firstLine="0" w:firstLineChars="0"/>
              <w:textAlignment w:val="auto"/>
              <w:rPr>
                <w:rFonts w:ascii="宋体" w:hAnsi="宋体"/>
                <w:color w:val="auto"/>
                <w:szCs w:val="21"/>
                <w:highlight w:val="none"/>
              </w:rPr>
            </w:pPr>
            <w:r>
              <w:rPr>
                <w:rFonts w:hint="eastAsia" w:ascii="宋体" w:hAnsi="宋体"/>
                <w:color w:val="auto"/>
                <w:szCs w:val="21"/>
                <w:highlight w:val="none"/>
                <w:lang w:val="en-US" w:eastAsia="zh-CN"/>
              </w:rPr>
              <w:t>1.</w:t>
            </w:r>
            <w:r>
              <w:rPr>
                <w:rFonts w:hint="eastAsia" w:ascii="宋体" w:hAnsi="宋体"/>
                <w:color w:val="auto"/>
                <w:szCs w:val="21"/>
                <w:highlight w:val="none"/>
              </w:rPr>
              <w:t>投标人在投标有效期内撤销或修改其投标文件。</w:t>
            </w:r>
          </w:p>
          <w:p w14:paraId="15A5CDE4">
            <w:pPr>
              <w:keepNext w:val="0"/>
              <w:keepLines w:val="0"/>
              <w:pageBreakBefore w:val="0"/>
              <w:widowControl w:val="0"/>
              <w:kinsoku/>
              <w:wordWrap/>
              <w:overflowPunct/>
              <w:topLinePunct w:val="0"/>
              <w:autoSpaceDE/>
              <w:autoSpaceDN/>
              <w:bidi w:val="0"/>
              <w:adjustRightInd/>
              <w:snapToGrid/>
              <w:spacing w:line="280" w:lineRule="exact"/>
              <w:ind w:firstLine="0" w:firstLineChars="0"/>
              <w:textAlignment w:val="auto"/>
              <w:rPr>
                <w:rFonts w:ascii="宋体" w:hAnsi="宋体"/>
                <w:color w:val="auto"/>
                <w:szCs w:val="21"/>
                <w:highlight w:val="none"/>
              </w:rPr>
            </w:pPr>
            <w:r>
              <w:rPr>
                <w:rFonts w:hint="eastAsia" w:ascii="宋体" w:hAnsi="宋体"/>
                <w:color w:val="auto"/>
                <w:szCs w:val="21"/>
                <w:highlight w:val="none"/>
                <w:lang w:val="en-US" w:eastAsia="zh-CN"/>
              </w:rPr>
              <w:t>2.</w:t>
            </w:r>
            <w:r>
              <w:rPr>
                <w:rFonts w:hint="eastAsia" w:ascii="宋体" w:hAnsi="宋体"/>
                <w:color w:val="auto"/>
                <w:szCs w:val="21"/>
                <w:highlight w:val="none"/>
              </w:rPr>
              <w:t>中标人无正当理由不与招标人订立合同，或在签订合同时向招标人提出附加条件，或未按招标文件要求提交履约保证金的。</w:t>
            </w:r>
          </w:p>
          <w:p w14:paraId="28FA132C">
            <w:pPr>
              <w:keepNext w:val="0"/>
              <w:keepLines w:val="0"/>
              <w:pageBreakBefore w:val="0"/>
              <w:widowControl w:val="0"/>
              <w:kinsoku/>
              <w:wordWrap/>
              <w:overflowPunct/>
              <w:topLinePunct w:val="0"/>
              <w:autoSpaceDE/>
              <w:autoSpaceDN/>
              <w:bidi w:val="0"/>
              <w:adjustRightInd/>
              <w:snapToGrid/>
              <w:spacing w:line="280" w:lineRule="exact"/>
              <w:ind w:firstLine="0" w:firstLineChars="0"/>
              <w:textAlignment w:val="auto"/>
              <w:rPr>
                <w:rFonts w:ascii="宋体" w:hAnsi="宋体"/>
                <w:color w:val="auto"/>
                <w:szCs w:val="21"/>
                <w:highlight w:val="none"/>
              </w:rPr>
            </w:pPr>
            <w:r>
              <w:rPr>
                <w:rFonts w:hint="eastAsia" w:ascii="宋体" w:hAnsi="宋体"/>
                <w:color w:val="auto"/>
                <w:szCs w:val="21"/>
                <w:highlight w:val="none"/>
                <w:lang w:val="en-US" w:eastAsia="zh-CN"/>
              </w:rPr>
              <w:t>3.</w:t>
            </w:r>
            <w:r>
              <w:rPr>
                <w:rFonts w:hint="eastAsia" w:ascii="宋体" w:hAnsi="宋体"/>
                <w:color w:val="auto"/>
                <w:szCs w:val="21"/>
                <w:highlight w:val="none"/>
              </w:rPr>
              <w:t>经查实，投标人在投标过程中串通投标或弄虚作假的。</w:t>
            </w:r>
          </w:p>
          <w:p w14:paraId="32B31D3A">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宋体" w:hAnsi="宋体"/>
                <w:color w:val="auto"/>
                <w:szCs w:val="21"/>
                <w:highlight w:val="none"/>
                <w:u w:val="single"/>
              </w:rPr>
            </w:pP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4.</w:t>
            </w:r>
            <w:r>
              <w:rPr>
                <w:rFonts w:hint="eastAsia" w:ascii="宋体" w:hAnsi="宋体"/>
                <w:color w:val="auto"/>
                <w:szCs w:val="21"/>
                <w:highlight w:val="none"/>
              </w:rPr>
              <w:t>拟派项目经理在投标截止日有在其他在建合同工程上担任项目经理的情形。</w:t>
            </w:r>
          </w:p>
          <w:p w14:paraId="463A3B52">
            <w:pPr>
              <w:pStyle w:val="54"/>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出现上述不予退还情形的，招标人告知交易中心登</w:t>
            </w:r>
            <w:r>
              <w:rPr>
                <w:rFonts w:hint="eastAsia" w:ascii="宋体" w:hAnsi="宋体" w:eastAsia="宋体" w:cs="宋体"/>
                <w:color w:val="auto"/>
                <w:spacing w:val="-6"/>
                <w:sz w:val="21"/>
                <w:szCs w:val="21"/>
                <w:highlight w:val="none"/>
                <w:lang w:eastAsia="zh-CN"/>
              </w:rPr>
              <w:t>记后，</w:t>
            </w:r>
            <w:r>
              <w:rPr>
                <w:rFonts w:hint="eastAsia" w:ascii="宋体" w:hAnsi="宋体" w:eastAsia="宋体" w:cs="宋体"/>
                <w:color w:val="auto"/>
                <w:sz w:val="21"/>
                <w:szCs w:val="21"/>
                <w:highlight w:val="none"/>
                <w:lang w:eastAsia="zh-CN"/>
              </w:rPr>
              <w:t>保证金平台</w:t>
            </w:r>
            <w:r>
              <w:rPr>
                <w:rFonts w:hint="eastAsia" w:ascii="宋体" w:hAnsi="宋体" w:eastAsia="宋体" w:cs="宋体"/>
                <w:color w:val="auto"/>
                <w:spacing w:val="-6"/>
                <w:sz w:val="21"/>
                <w:szCs w:val="21"/>
                <w:highlight w:val="none"/>
                <w:lang w:eastAsia="zh-CN"/>
              </w:rPr>
              <w:t>将自动划转相关投标人的投标保证金及银行同期存款利息至招标人指定账户，不再退还给投标人。</w:t>
            </w:r>
          </w:p>
          <w:p w14:paraId="1CDAB673">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宋体" w:hAnsi="宋体"/>
                <w:color w:val="auto"/>
                <w:szCs w:val="21"/>
                <w:highlight w:val="none"/>
              </w:rPr>
            </w:pPr>
            <w:r>
              <w:rPr>
                <w:rFonts w:hint="eastAsia" w:ascii="宋体" w:hAnsi="宋体" w:eastAsia="宋体" w:cs="宋体"/>
                <w:color w:val="auto"/>
                <w:highlight w:val="none"/>
              </w:rPr>
              <w:t>投标人以保证保险方式或银行保函方式缴纳投标保证金出现上述情形的，招标人将向投标人进行索赔。招标人应及时登录交易平台在线申请“保险理赔”，填写“理赔原因”，根据保险公司要求上传相关证明材料。或向银行提出书面索赔声明。</w:t>
            </w:r>
          </w:p>
        </w:tc>
      </w:tr>
      <w:tr w14:paraId="762784A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50" w:hRule="atLeast"/>
        </w:trPr>
        <w:tc>
          <w:tcPr>
            <w:tcW w:w="1101" w:type="dxa"/>
            <w:tcBorders>
              <w:tl2br w:val="nil"/>
              <w:tr2bl w:val="nil"/>
            </w:tcBorders>
            <w:noWrap w:val="0"/>
            <w:vAlign w:val="center"/>
          </w:tcPr>
          <w:p w14:paraId="747BA7C5">
            <w:pPr>
              <w:pStyle w:val="9"/>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3.5</w:t>
            </w:r>
          </w:p>
        </w:tc>
        <w:tc>
          <w:tcPr>
            <w:tcW w:w="1701" w:type="dxa"/>
            <w:tcBorders>
              <w:tl2br w:val="nil"/>
              <w:tr2bl w:val="nil"/>
            </w:tcBorders>
            <w:noWrap w:val="0"/>
            <w:vAlign w:val="center"/>
          </w:tcPr>
          <w:p w14:paraId="640FEE07">
            <w:pPr>
              <w:pStyle w:val="9"/>
              <w:keepNext w:val="0"/>
              <w:keepLines w:val="0"/>
              <w:pageBreakBefore w:val="0"/>
              <w:kinsoku/>
              <w:wordWrap/>
              <w:overflowPunct/>
              <w:topLinePunct w:val="0"/>
              <w:autoSpaceDE/>
              <w:autoSpaceDN/>
              <w:bidi w:val="0"/>
              <w:adjustRightInd/>
              <w:snapToGrid/>
              <w:spacing w:line="300" w:lineRule="exact"/>
              <w:ind w:right="105"/>
              <w:jc w:val="center"/>
              <w:textAlignment w:val="auto"/>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资格审查资料的特殊要求</w:t>
            </w:r>
          </w:p>
        </w:tc>
        <w:tc>
          <w:tcPr>
            <w:tcW w:w="6449" w:type="dxa"/>
            <w:tcBorders>
              <w:tl2br w:val="nil"/>
              <w:tr2bl w:val="nil"/>
            </w:tcBorders>
            <w:noWrap w:val="0"/>
            <w:vAlign w:val="center"/>
          </w:tcPr>
          <w:p w14:paraId="70DDC8EF">
            <w:pPr>
              <w:pStyle w:val="9"/>
              <w:keepNext w:val="0"/>
              <w:keepLines w:val="0"/>
              <w:pageBreakBefore w:val="0"/>
              <w:widowControl w:val="0"/>
              <w:kinsoku/>
              <w:wordWrap/>
              <w:overflowPunct/>
              <w:topLinePunct w:val="0"/>
              <w:autoSpaceDE/>
              <w:autoSpaceDN/>
              <w:bidi w:val="0"/>
              <w:adjustRightInd/>
              <w:snapToGrid/>
              <w:spacing w:line="300" w:lineRule="exact"/>
              <w:textAlignment w:val="auto"/>
              <w:rPr>
                <w:color w:val="auto"/>
                <w:highlight w:val="none"/>
              </w:rPr>
            </w:pPr>
            <w:r>
              <w:rPr>
                <w:rFonts w:hint="eastAsia" w:ascii="Segoe UI Emoji" w:hAnsi="Segoe UI Emoji" w:eastAsia="宋体" w:cs="Segoe UI Emoji"/>
                <w:color w:val="auto"/>
                <w:highlight w:val="none"/>
                <w:lang w:eastAsia="zh-CN"/>
              </w:rPr>
              <w:sym w:font="Wingdings 2" w:char="00A3"/>
            </w:r>
            <w:r>
              <w:rPr>
                <w:rFonts w:hint="eastAsia"/>
                <w:color w:val="auto"/>
                <w:highlight w:val="none"/>
              </w:rPr>
              <w:t>无</w:t>
            </w:r>
          </w:p>
          <w:p w14:paraId="4E5CA21C">
            <w:pPr>
              <w:widowControl w:val="0"/>
              <w:spacing w:line="300" w:lineRule="exact"/>
              <w:jc w:val="both"/>
              <w:rPr>
                <w:rFonts w:hint="default" w:ascii="宋体" w:hAnsi="宋体" w:eastAsia="宋体"/>
                <w:color w:val="auto"/>
                <w:szCs w:val="21"/>
                <w:highlight w:val="none"/>
                <w:lang w:val="en-US" w:eastAsia="zh-CN"/>
              </w:rPr>
            </w:pPr>
            <w:r>
              <w:rPr>
                <w:rFonts w:hint="eastAsia" w:ascii="Times New Roman" w:hAnsi="Times New Roman" w:eastAsia="宋体" w:cs="Times New Roman"/>
                <w:color w:val="auto"/>
                <w:kern w:val="2"/>
                <w:sz w:val="21"/>
                <w:szCs w:val="22"/>
                <w:highlight w:val="none"/>
                <w:lang w:val="en-US" w:eastAsia="zh-CN" w:bidi="ar-SA"/>
              </w:rPr>
              <w:t>☑</w:t>
            </w:r>
            <w:r>
              <w:rPr>
                <w:rFonts w:hint="eastAsia" w:ascii="Times New Roman" w:hAnsi="Times New Roman" w:eastAsia="Times New Roman" w:cs="Times New Roman"/>
                <w:color w:val="auto"/>
                <w:kern w:val="2"/>
                <w:sz w:val="21"/>
                <w:szCs w:val="22"/>
                <w:highlight w:val="none"/>
                <w:lang w:val="en-US" w:eastAsia="zh-CN" w:bidi="ar-SA"/>
              </w:rPr>
              <w:t>有，具体要求：</w:t>
            </w:r>
            <w:r>
              <w:rPr>
                <w:rFonts w:hint="eastAsia" w:ascii="宋体" w:hAnsi="宋体" w:eastAsia="宋体" w:cs="宋体"/>
                <w:color w:val="auto"/>
                <w:kern w:val="2"/>
                <w:sz w:val="21"/>
                <w:szCs w:val="21"/>
                <w:highlight w:val="none"/>
                <w:u w:val="single"/>
                <w:lang w:val="en-US" w:eastAsia="zh-CN" w:bidi="ar-SA"/>
              </w:rPr>
              <w:t>一级建造师电子注册证书应符合《住房和城乡建设部办公厅关于全面实行一级建造师电子注册证书的通知》（建办市〔2021〕40号）中电子证书有关使用要求的规定。</w:t>
            </w:r>
          </w:p>
        </w:tc>
      </w:tr>
      <w:tr w14:paraId="2C71B48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56" w:hRule="atLeast"/>
        </w:trPr>
        <w:tc>
          <w:tcPr>
            <w:tcW w:w="1101" w:type="dxa"/>
            <w:tcBorders>
              <w:tl2br w:val="nil"/>
              <w:tr2bl w:val="nil"/>
            </w:tcBorders>
            <w:noWrap w:val="0"/>
            <w:vAlign w:val="center"/>
          </w:tcPr>
          <w:p w14:paraId="384B5F67">
            <w:pPr>
              <w:pStyle w:val="9"/>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3.5.1</w:t>
            </w:r>
          </w:p>
        </w:tc>
        <w:tc>
          <w:tcPr>
            <w:tcW w:w="1701" w:type="dxa"/>
            <w:tcBorders>
              <w:tl2br w:val="nil"/>
              <w:tr2bl w:val="nil"/>
            </w:tcBorders>
            <w:noWrap w:val="0"/>
            <w:vAlign w:val="center"/>
          </w:tcPr>
          <w:p w14:paraId="1531A196">
            <w:pPr>
              <w:pStyle w:val="9"/>
              <w:keepNext w:val="0"/>
              <w:keepLines w:val="0"/>
              <w:pageBreakBefore w:val="0"/>
              <w:kinsoku/>
              <w:wordWrap/>
              <w:overflowPunct/>
              <w:topLinePunct w:val="0"/>
              <w:autoSpaceDE/>
              <w:autoSpaceDN/>
              <w:bidi w:val="0"/>
              <w:adjustRightInd/>
              <w:snapToGrid/>
              <w:spacing w:line="300" w:lineRule="exact"/>
              <w:ind w:right="105"/>
              <w:jc w:val="center"/>
              <w:textAlignment w:val="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投标人基本情况表应附资料</w:t>
            </w:r>
          </w:p>
        </w:tc>
        <w:tc>
          <w:tcPr>
            <w:tcW w:w="6449" w:type="dxa"/>
            <w:tcBorders>
              <w:tl2br w:val="nil"/>
              <w:tr2bl w:val="nil"/>
            </w:tcBorders>
            <w:noWrap w:val="0"/>
            <w:vAlign w:val="center"/>
          </w:tcPr>
          <w:p w14:paraId="1CF29C2D">
            <w:pPr>
              <w:pStyle w:val="9"/>
              <w:keepNext w:val="0"/>
              <w:keepLines w:val="0"/>
              <w:pageBreakBefore w:val="0"/>
              <w:widowControl w:val="0"/>
              <w:kinsoku/>
              <w:wordWrap/>
              <w:overflowPunct/>
              <w:topLinePunct w:val="0"/>
              <w:autoSpaceDE/>
              <w:autoSpaceDN/>
              <w:bidi w:val="0"/>
              <w:adjustRightInd/>
              <w:snapToGrid/>
              <w:spacing w:line="320" w:lineRule="exact"/>
              <w:ind w:right="105"/>
              <w:jc w:val="left"/>
              <w:textAlignment w:val="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投标人基本情况表应附： </w:t>
            </w:r>
          </w:p>
          <w:p w14:paraId="76F6C2C8">
            <w:pPr>
              <w:pStyle w:val="9"/>
              <w:keepNext w:val="0"/>
              <w:keepLines w:val="0"/>
              <w:pageBreakBefore w:val="0"/>
              <w:widowControl w:val="0"/>
              <w:kinsoku/>
              <w:wordWrap/>
              <w:overflowPunct/>
              <w:topLinePunct w:val="0"/>
              <w:autoSpaceDE/>
              <w:autoSpaceDN/>
              <w:bidi w:val="0"/>
              <w:adjustRightInd/>
              <w:snapToGrid/>
              <w:spacing w:line="320" w:lineRule="exact"/>
              <w:ind w:right="105"/>
              <w:jc w:val="left"/>
              <w:textAlignment w:val="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（1）企业法人营业执照副本和组织机构代码证副本（按照“三证合一”或“五证合一”登记制度进行登记的，可仅提供营业执照副本，下同）扫描件； </w:t>
            </w:r>
          </w:p>
          <w:p w14:paraId="229EE888">
            <w:pPr>
              <w:pStyle w:val="9"/>
              <w:keepNext w:val="0"/>
              <w:keepLines w:val="0"/>
              <w:pageBreakBefore w:val="0"/>
              <w:widowControl w:val="0"/>
              <w:kinsoku/>
              <w:wordWrap/>
              <w:overflowPunct/>
              <w:topLinePunct w:val="0"/>
              <w:autoSpaceDE/>
              <w:autoSpaceDN/>
              <w:bidi w:val="0"/>
              <w:adjustRightInd/>
              <w:snapToGrid/>
              <w:spacing w:line="320" w:lineRule="exact"/>
              <w:ind w:right="105"/>
              <w:jc w:val="left"/>
              <w:textAlignment w:val="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（2）养护资质证书副本扫描件； </w:t>
            </w:r>
          </w:p>
          <w:p w14:paraId="4821962B">
            <w:pPr>
              <w:pStyle w:val="9"/>
              <w:keepNext w:val="0"/>
              <w:keepLines w:val="0"/>
              <w:pageBreakBefore w:val="0"/>
              <w:widowControl w:val="0"/>
              <w:kinsoku/>
              <w:wordWrap/>
              <w:overflowPunct/>
              <w:topLinePunct w:val="0"/>
              <w:autoSpaceDE/>
              <w:autoSpaceDN/>
              <w:bidi w:val="0"/>
              <w:adjustRightInd/>
              <w:snapToGrid/>
              <w:spacing w:line="320" w:lineRule="exact"/>
              <w:ind w:right="105"/>
              <w:jc w:val="left"/>
              <w:textAlignment w:val="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（3）基本账户开户许可证（或银行出具的基本账户存款证明或基本存款账户信息）的扫描件； </w:t>
            </w:r>
          </w:p>
          <w:p w14:paraId="05FE0CCC">
            <w:pPr>
              <w:pStyle w:val="9"/>
              <w:keepNext w:val="0"/>
              <w:keepLines w:val="0"/>
              <w:pageBreakBefore w:val="0"/>
              <w:widowControl w:val="0"/>
              <w:kinsoku/>
              <w:wordWrap/>
              <w:overflowPunct/>
              <w:topLinePunct w:val="0"/>
              <w:autoSpaceDE/>
              <w:autoSpaceDN/>
              <w:bidi w:val="0"/>
              <w:adjustRightInd/>
              <w:snapToGrid/>
              <w:spacing w:line="320" w:lineRule="exact"/>
              <w:ind w:right="105"/>
              <w:jc w:val="left"/>
              <w:textAlignment w:val="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（4）投标人在国家企业信用信息公示系统中基础信息（体现股东及出资详细信息）的网页截图或由法定的社会验资机构出具的验资报告或注册地市场监督部门出具的股东出资情况证明扫描件。 </w:t>
            </w:r>
          </w:p>
          <w:p w14:paraId="490D6709">
            <w:pPr>
              <w:pStyle w:val="9"/>
              <w:keepNext w:val="0"/>
              <w:keepLines w:val="0"/>
              <w:pageBreakBefore w:val="0"/>
              <w:widowControl w:val="0"/>
              <w:kinsoku/>
              <w:wordWrap/>
              <w:overflowPunct/>
              <w:topLinePunct w:val="0"/>
              <w:autoSpaceDE/>
              <w:autoSpaceDN/>
              <w:bidi w:val="0"/>
              <w:adjustRightInd/>
              <w:snapToGrid/>
              <w:spacing w:line="320" w:lineRule="exact"/>
              <w:ind w:right="105"/>
              <w:jc w:val="left"/>
              <w:textAlignment w:val="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企业法人营业执照副本和组织机构代码证副本、养护资质证书副本、基本账户开户许可证（或银行出具的基本账户存款证明或基存款账户信息）的扫描件应提供全本（证书封面、封底、空白页除外），应包括投标人名称、投标人其他相关信息、颁发机构名称、投标人信息变更情况等关键页在内，并逐页加盖投标人单位电子公章。</w:t>
            </w:r>
          </w:p>
        </w:tc>
      </w:tr>
      <w:tr w14:paraId="153253B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41" w:hRule="atLeast"/>
        </w:trPr>
        <w:tc>
          <w:tcPr>
            <w:tcW w:w="1101" w:type="dxa"/>
            <w:tcBorders>
              <w:tl2br w:val="nil"/>
              <w:tr2bl w:val="nil"/>
            </w:tcBorders>
            <w:noWrap w:val="0"/>
            <w:vAlign w:val="center"/>
          </w:tcPr>
          <w:p w14:paraId="1E86AB14">
            <w:pPr>
              <w:pStyle w:val="9"/>
              <w:jc w:val="center"/>
              <w:rPr>
                <w:rFonts w:hint="eastAsia" w:ascii="宋体" w:hAnsi="宋体"/>
                <w:color w:val="auto"/>
                <w:szCs w:val="21"/>
                <w:highlight w:val="none"/>
              </w:rPr>
            </w:pPr>
            <w:r>
              <w:rPr>
                <w:rFonts w:hint="eastAsia" w:ascii="宋体" w:hAnsi="宋体"/>
                <w:color w:val="auto"/>
                <w:szCs w:val="21"/>
                <w:highlight w:val="none"/>
              </w:rPr>
              <w:t>3.5.2</w:t>
            </w:r>
          </w:p>
        </w:tc>
        <w:tc>
          <w:tcPr>
            <w:tcW w:w="1701" w:type="dxa"/>
            <w:tcBorders>
              <w:tl2br w:val="nil"/>
              <w:tr2bl w:val="nil"/>
            </w:tcBorders>
            <w:noWrap w:val="0"/>
            <w:vAlign w:val="center"/>
          </w:tcPr>
          <w:p w14:paraId="44E906D4">
            <w:pPr>
              <w:pStyle w:val="9"/>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olor w:val="auto"/>
                <w:szCs w:val="21"/>
                <w:highlight w:val="none"/>
                <w:lang w:eastAsia="zh-CN"/>
              </w:rPr>
            </w:pPr>
            <w:r>
              <w:rPr>
                <w:rFonts w:hint="eastAsia" w:ascii="宋体" w:hAnsi="宋体"/>
                <w:color w:val="auto"/>
                <w:szCs w:val="21"/>
                <w:highlight w:val="none"/>
              </w:rPr>
              <w:t>财务状况</w:t>
            </w:r>
            <w:r>
              <w:rPr>
                <w:rFonts w:hint="eastAsia" w:ascii="宋体" w:hAnsi="宋体" w:eastAsia="宋体"/>
                <w:color w:val="auto"/>
                <w:szCs w:val="21"/>
                <w:highlight w:val="none"/>
                <w:lang w:val="en-US" w:eastAsia="zh-CN"/>
              </w:rPr>
              <w:t>表</w:t>
            </w:r>
          </w:p>
        </w:tc>
        <w:tc>
          <w:tcPr>
            <w:tcW w:w="6449" w:type="dxa"/>
            <w:tcBorders>
              <w:tl2br w:val="nil"/>
              <w:tr2bl w:val="nil"/>
            </w:tcBorders>
            <w:noWrap w:val="0"/>
            <w:vAlign w:val="center"/>
          </w:tcPr>
          <w:p w14:paraId="6E72CE61">
            <w:pPr>
              <w:pStyle w:val="9"/>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ascii="宋体" w:hAnsi="宋体" w:eastAsia="宋体"/>
                <w:b w:val="0"/>
                <w:bCs w:val="0"/>
                <w:color w:val="auto"/>
                <w:szCs w:val="21"/>
                <w:highlight w:val="none"/>
                <w:lang w:val="en-US" w:eastAsia="zh-CN"/>
              </w:rPr>
            </w:pPr>
            <w:r>
              <w:rPr>
                <w:rFonts w:hint="eastAsia" w:ascii="宋体" w:hAnsi="宋体" w:eastAsia="宋体"/>
                <w:b w:val="0"/>
                <w:bCs w:val="0"/>
                <w:color w:val="auto"/>
                <w:szCs w:val="21"/>
                <w:highlight w:val="none"/>
                <w:lang w:val="en-US" w:eastAsia="zh-CN"/>
              </w:rPr>
              <w:t>无需提供</w:t>
            </w:r>
          </w:p>
        </w:tc>
      </w:tr>
      <w:tr w14:paraId="6FB8251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101" w:type="dxa"/>
            <w:tcBorders>
              <w:tl2br w:val="nil"/>
              <w:tr2bl w:val="nil"/>
            </w:tcBorders>
            <w:noWrap w:val="0"/>
            <w:vAlign w:val="center"/>
          </w:tcPr>
          <w:p w14:paraId="22B163E1">
            <w:pPr>
              <w:pStyle w:val="9"/>
              <w:jc w:val="center"/>
              <w:rPr>
                <w:rFonts w:hint="eastAsia" w:ascii="宋体" w:hAnsi="宋体"/>
                <w:color w:val="auto"/>
                <w:szCs w:val="21"/>
                <w:highlight w:val="none"/>
              </w:rPr>
            </w:pPr>
            <w:r>
              <w:rPr>
                <w:rFonts w:hint="eastAsia" w:ascii="宋体" w:hAnsi="宋体"/>
                <w:color w:val="auto"/>
                <w:szCs w:val="21"/>
                <w:highlight w:val="none"/>
              </w:rPr>
              <w:t>3.5.3</w:t>
            </w:r>
          </w:p>
        </w:tc>
        <w:tc>
          <w:tcPr>
            <w:tcW w:w="1701" w:type="dxa"/>
            <w:tcBorders>
              <w:tl2br w:val="nil"/>
              <w:tr2bl w:val="nil"/>
            </w:tcBorders>
            <w:noWrap w:val="0"/>
            <w:vAlign w:val="center"/>
          </w:tcPr>
          <w:p w14:paraId="03F8DF77">
            <w:pPr>
              <w:pStyle w:val="9"/>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宋体" w:hAnsi="宋体" w:eastAsia="宋体"/>
                <w:color w:val="auto"/>
                <w:szCs w:val="21"/>
                <w:highlight w:val="none"/>
                <w:lang w:val="en-US" w:eastAsia="zh-CN"/>
              </w:rPr>
            </w:pPr>
            <w:r>
              <w:rPr>
                <w:rFonts w:hint="eastAsia" w:ascii="宋体" w:hAnsi="宋体" w:cs="宋体"/>
                <w:color w:val="auto"/>
                <w:kern w:val="0"/>
                <w:szCs w:val="21"/>
                <w:highlight w:val="none"/>
                <w:lang w:bidi="ar"/>
              </w:rPr>
              <w:t>近年完成的类似项目的年份要求</w:t>
            </w:r>
            <w:r>
              <w:rPr>
                <w:rFonts w:hint="eastAsia" w:ascii="宋体" w:hAnsi="宋体" w:eastAsia="宋体" w:cs="宋体"/>
                <w:color w:val="auto"/>
                <w:kern w:val="0"/>
                <w:szCs w:val="21"/>
                <w:highlight w:val="none"/>
                <w:lang w:val="en-US" w:eastAsia="zh-CN" w:bidi="ar"/>
              </w:rPr>
              <w:t>及需附资料</w:t>
            </w:r>
          </w:p>
        </w:tc>
        <w:tc>
          <w:tcPr>
            <w:tcW w:w="6449" w:type="dxa"/>
            <w:tcBorders>
              <w:tl2br w:val="nil"/>
              <w:tr2bl w:val="nil"/>
            </w:tcBorders>
            <w:noWrap w:val="0"/>
            <w:vAlign w:val="center"/>
          </w:tcPr>
          <w:p w14:paraId="79EF30CC">
            <w:pPr>
              <w:pStyle w:val="9"/>
              <w:keepNext w:val="0"/>
              <w:keepLines w:val="0"/>
              <w:pageBreakBefore w:val="0"/>
              <w:widowControl w:val="0"/>
              <w:kinsoku/>
              <w:wordWrap/>
              <w:overflowPunct/>
              <w:topLinePunct w:val="0"/>
              <w:autoSpaceDE/>
              <w:autoSpaceDN/>
              <w:bidi w:val="0"/>
              <w:adjustRightInd/>
              <w:snapToGrid/>
              <w:spacing w:line="330" w:lineRule="exact"/>
              <w:ind w:right="108"/>
              <w:jc w:val="left"/>
              <w:textAlignment w:val="auto"/>
              <w:rPr>
                <w:rFonts w:hint="eastAsia" w:ascii="宋体" w:hAnsi="宋体" w:eastAsia="宋体" w:cs="Times New Roman"/>
                <w:color w:val="auto"/>
                <w:szCs w:val="21"/>
                <w:highlight w:val="none"/>
                <w:lang w:val="en-US" w:eastAsia="zh-CN"/>
              </w:rPr>
            </w:pPr>
            <w:bookmarkStart w:id="63" w:name="EB404ebc37a6454ab1990e14ab76fd086c"/>
            <w:r>
              <w:rPr>
                <w:rFonts w:hint="eastAsia" w:ascii="宋体" w:hAnsi="宋体" w:eastAsia="宋体" w:cs="Times New Roman"/>
                <w:color w:val="auto"/>
                <w:szCs w:val="21"/>
                <w:highlight w:val="none"/>
                <w:lang w:val="en-US" w:eastAsia="zh-CN"/>
              </w:rPr>
              <w:t>年份：2021年7月1日</w:t>
            </w:r>
            <w:bookmarkEnd w:id="63"/>
            <w:r>
              <w:rPr>
                <w:rFonts w:hint="eastAsia" w:ascii="宋体" w:hAnsi="宋体" w:eastAsia="宋体" w:cs="Times New Roman"/>
                <w:color w:val="auto"/>
                <w:szCs w:val="21"/>
                <w:highlight w:val="none"/>
                <w:lang w:val="en-US" w:eastAsia="zh-CN"/>
              </w:rPr>
              <w:t>以来</w:t>
            </w:r>
          </w:p>
          <w:p w14:paraId="62705CED">
            <w:pPr>
              <w:pStyle w:val="9"/>
              <w:keepNext w:val="0"/>
              <w:keepLines w:val="0"/>
              <w:pageBreakBefore w:val="0"/>
              <w:widowControl w:val="0"/>
              <w:kinsoku/>
              <w:wordWrap/>
              <w:overflowPunct/>
              <w:topLinePunct w:val="0"/>
              <w:autoSpaceDE/>
              <w:autoSpaceDN/>
              <w:bidi w:val="0"/>
              <w:adjustRightInd/>
              <w:snapToGrid/>
              <w:spacing w:line="330" w:lineRule="exact"/>
              <w:ind w:right="108"/>
              <w:jc w:val="left"/>
              <w:textAlignment w:val="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近年完成类似项目情况表应附： </w:t>
            </w:r>
          </w:p>
          <w:p w14:paraId="08A379BB">
            <w:pPr>
              <w:pStyle w:val="9"/>
              <w:keepNext w:val="0"/>
              <w:keepLines w:val="0"/>
              <w:pageBreakBefore w:val="0"/>
              <w:widowControl w:val="0"/>
              <w:kinsoku/>
              <w:wordWrap/>
              <w:overflowPunct/>
              <w:topLinePunct w:val="0"/>
              <w:autoSpaceDE/>
              <w:autoSpaceDN/>
              <w:bidi w:val="0"/>
              <w:adjustRightInd/>
              <w:snapToGrid/>
              <w:spacing w:line="330" w:lineRule="exact"/>
              <w:ind w:right="108"/>
              <w:jc w:val="left"/>
              <w:textAlignment w:val="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（1）中标通知书扫描件；（2）合同协议书扫描件；（3）质量证明文件（由发包人出具的交工验收证书或竣工验收委员会出具的竣工验 收鉴定书或质量监督机构对各参建单位签发的工作综合评价等级证书或发包人或管理部门出具的证明文件）的扫描件。 </w:t>
            </w:r>
          </w:p>
          <w:p w14:paraId="727DE13B">
            <w:pPr>
              <w:pStyle w:val="9"/>
              <w:keepNext w:val="0"/>
              <w:keepLines w:val="0"/>
              <w:pageBreakBefore w:val="0"/>
              <w:widowControl w:val="0"/>
              <w:kinsoku/>
              <w:wordWrap/>
              <w:overflowPunct/>
              <w:topLinePunct w:val="0"/>
              <w:autoSpaceDE/>
              <w:autoSpaceDN/>
              <w:bidi w:val="0"/>
              <w:adjustRightInd/>
              <w:snapToGrid/>
              <w:spacing w:line="330" w:lineRule="exact"/>
              <w:ind w:right="108"/>
              <w:jc w:val="left"/>
              <w:textAlignment w:val="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工程规模解释顺序为：质量证明文明、合同协议书、中标通知书； </w:t>
            </w:r>
          </w:p>
          <w:p w14:paraId="7EAC6D2C">
            <w:pPr>
              <w:pStyle w:val="9"/>
              <w:keepNext w:val="0"/>
              <w:keepLines w:val="0"/>
              <w:pageBreakBefore w:val="0"/>
              <w:widowControl w:val="0"/>
              <w:kinsoku/>
              <w:wordWrap/>
              <w:overflowPunct/>
              <w:topLinePunct w:val="0"/>
              <w:autoSpaceDE/>
              <w:autoSpaceDN/>
              <w:bidi w:val="0"/>
              <w:adjustRightInd/>
              <w:snapToGrid/>
              <w:spacing w:line="330" w:lineRule="exact"/>
              <w:ind w:right="108"/>
              <w:jc w:val="left"/>
              <w:textAlignment w:val="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如上述资料均未体现合同金额、公路技术等级、主要工程内容的，必须附项目发包人或项目质量监督部门或项目所在地设区市行业主管部门出具的证明材料，否则业绩不予认可。 </w:t>
            </w:r>
          </w:p>
          <w:p w14:paraId="6BFD4D3C">
            <w:pPr>
              <w:pStyle w:val="9"/>
              <w:keepNext w:val="0"/>
              <w:keepLines w:val="0"/>
              <w:pageBreakBefore w:val="0"/>
              <w:widowControl w:val="0"/>
              <w:kinsoku/>
              <w:wordWrap/>
              <w:overflowPunct/>
              <w:topLinePunct w:val="0"/>
              <w:autoSpaceDE/>
              <w:autoSpaceDN/>
              <w:bidi w:val="0"/>
              <w:adjustRightInd/>
              <w:snapToGrid/>
              <w:spacing w:line="330" w:lineRule="exact"/>
              <w:ind w:right="108"/>
              <w:jc w:val="left"/>
              <w:textAlignment w:val="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上述资料中的单位名称与投标人名称必须一致，否则业绩不予认 </w:t>
            </w:r>
          </w:p>
          <w:p w14:paraId="4F844134">
            <w:pPr>
              <w:pStyle w:val="9"/>
              <w:keepNext w:val="0"/>
              <w:keepLines w:val="0"/>
              <w:pageBreakBefore w:val="0"/>
              <w:widowControl w:val="0"/>
              <w:kinsoku/>
              <w:wordWrap/>
              <w:overflowPunct/>
              <w:topLinePunct w:val="0"/>
              <w:autoSpaceDE/>
              <w:autoSpaceDN/>
              <w:bidi w:val="0"/>
              <w:adjustRightInd/>
              <w:snapToGrid/>
              <w:spacing w:line="330" w:lineRule="exact"/>
              <w:ind w:right="108"/>
              <w:jc w:val="left"/>
              <w:textAlignment w:val="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可。以下情形除外： </w:t>
            </w:r>
          </w:p>
          <w:p w14:paraId="53D34C9D">
            <w:pPr>
              <w:pStyle w:val="9"/>
              <w:keepNext w:val="0"/>
              <w:keepLines w:val="0"/>
              <w:pageBreakBefore w:val="0"/>
              <w:widowControl w:val="0"/>
              <w:kinsoku/>
              <w:wordWrap/>
              <w:overflowPunct/>
              <w:topLinePunct w:val="0"/>
              <w:autoSpaceDE/>
              <w:autoSpaceDN/>
              <w:bidi w:val="0"/>
              <w:adjustRightInd/>
              <w:snapToGrid/>
              <w:spacing w:line="330" w:lineRule="exact"/>
              <w:ind w:right="108"/>
              <w:jc w:val="left"/>
              <w:textAlignment w:val="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（1）单位名称发生变更的，但需提供法定部门的批准材料。 </w:t>
            </w:r>
          </w:p>
          <w:p w14:paraId="1B07E539">
            <w:pPr>
              <w:pStyle w:val="9"/>
              <w:keepNext w:val="0"/>
              <w:keepLines w:val="0"/>
              <w:pageBreakBefore w:val="0"/>
              <w:widowControl w:val="0"/>
              <w:kinsoku/>
              <w:wordWrap/>
              <w:overflowPunct/>
              <w:topLinePunct w:val="0"/>
              <w:autoSpaceDE/>
              <w:autoSpaceDN/>
              <w:bidi w:val="0"/>
              <w:adjustRightInd/>
              <w:snapToGrid/>
              <w:spacing w:line="330" w:lineRule="exact"/>
              <w:ind w:right="108"/>
              <w:jc w:val="left"/>
              <w:textAlignment w:val="auto"/>
              <w:rPr>
                <w:color w:val="auto"/>
                <w:highlight w:val="none"/>
              </w:rPr>
            </w:pPr>
            <w:r>
              <w:rPr>
                <w:rFonts w:hint="eastAsia" w:ascii="宋体" w:hAnsi="宋体" w:eastAsia="宋体" w:cs="Times New Roman"/>
                <w:color w:val="auto"/>
                <w:szCs w:val="21"/>
                <w:highlight w:val="none"/>
                <w:lang w:val="en-US" w:eastAsia="zh-CN"/>
              </w:rPr>
              <w:t>（2）</w:t>
            </w:r>
            <w:r>
              <w:rPr>
                <w:rFonts w:hint="eastAsia" w:ascii="宋体" w:hAnsi="宋体" w:eastAsia="宋体" w:cs="Times New Roman"/>
                <w:color w:val="auto"/>
                <w:szCs w:val="21"/>
                <w:highlight w:val="none"/>
                <w:u w:val="single"/>
                <w:lang w:val="en-US" w:eastAsia="zh-CN"/>
              </w:rPr>
              <w:t xml:space="preserve">  / </w:t>
            </w:r>
            <w:r>
              <w:rPr>
                <w:rFonts w:hint="eastAsia" w:ascii="宋体" w:hAnsi="宋体" w:eastAsia="宋体" w:cs="Times New Roman"/>
                <w:color w:val="auto"/>
                <w:szCs w:val="21"/>
                <w:highlight w:val="none"/>
                <w:lang w:val="en-US" w:eastAsia="zh-CN"/>
              </w:rPr>
              <w:t>（招标人认可的其他情形，应在招标文件中对相关业绩的认定标准和证明材料作出明确规定）</w:t>
            </w:r>
          </w:p>
        </w:tc>
      </w:tr>
      <w:tr w14:paraId="21E4A0C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101" w:type="dxa"/>
            <w:tcBorders>
              <w:tl2br w:val="nil"/>
              <w:tr2bl w:val="nil"/>
            </w:tcBorders>
            <w:noWrap w:val="0"/>
            <w:vAlign w:val="center"/>
          </w:tcPr>
          <w:p w14:paraId="2B79A4AA">
            <w:pPr>
              <w:pStyle w:val="9"/>
              <w:jc w:val="center"/>
              <w:rPr>
                <w:rFonts w:hint="eastAsia" w:ascii="宋体" w:hAnsi="宋体"/>
                <w:color w:val="auto"/>
                <w:szCs w:val="21"/>
                <w:highlight w:val="none"/>
              </w:rPr>
            </w:pPr>
            <w:r>
              <w:rPr>
                <w:rFonts w:hint="eastAsia" w:ascii="宋体" w:hAnsi="宋体"/>
                <w:color w:val="auto"/>
                <w:szCs w:val="21"/>
                <w:highlight w:val="none"/>
              </w:rPr>
              <w:t>3.5.5</w:t>
            </w:r>
          </w:p>
        </w:tc>
        <w:tc>
          <w:tcPr>
            <w:tcW w:w="1701" w:type="dxa"/>
            <w:tcBorders>
              <w:tl2br w:val="nil"/>
              <w:tr2bl w:val="nil"/>
            </w:tcBorders>
            <w:noWrap w:val="0"/>
            <w:vAlign w:val="center"/>
          </w:tcPr>
          <w:p w14:paraId="568C8AC3">
            <w:pPr>
              <w:keepNext w:val="0"/>
              <w:keepLines w:val="0"/>
              <w:widowControl/>
              <w:suppressLineNumbers w:val="0"/>
              <w:jc w:val="center"/>
              <w:rPr>
                <w:rFonts w:hint="eastAsia" w:ascii="宋体" w:hAnsi="宋体" w:eastAsia="Times New Roman" w:cs="宋体"/>
                <w:color w:val="auto"/>
                <w:kern w:val="0"/>
                <w:sz w:val="21"/>
                <w:szCs w:val="21"/>
                <w:highlight w:val="none"/>
                <w:lang w:val="en-US" w:eastAsia="zh-CN" w:bidi="ar"/>
              </w:rPr>
            </w:pPr>
            <w:r>
              <w:rPr>
                <w:rFonts w:hint="eastAsia" w:ascii="宋体" w:hAnsi="宋体" w:eastAsia="Times New Roman" w:cs="宋体"/>
                <w:color w:val="auto"/>
                <w:kern w:val="0"/>
                <w:sz w:val="21"/>
                <w:szCs w:val="21"/>
                <w:highlight w:val="none"/>
                <w:lang w:val="en-US" w:eastAsia="zh-CN" w:bidi="ar"/>
              </w:rPr>
              <w:t>拟委任的项目经理、项目技术负责人和安全负责人资历表应附</w:t>
            </w:r>
          </w:p>
          <w:p w14:paraId="3E871F33">
            <w:pPr>
              <w:keepNext w:val="0"/>
              <w:keepLines w:val="0"/>
              <w:widowControl/>
              <w:suppressLineNumbers w:val="0"/>
              <w:jc w:val="center"/>
              <w:rPr>
                <w:rFonts w:ascii="宋体" w:hAnsi="宋体"/>
                <w:color w:val="auto"/>
                <w:szCs w:val="21"/>
                <w:highlight w:val="none"/>
              </w:rPr>
            </w:pPr>
            <w:r>
              <w:rPr>
                <w:rFonts w:hint="eastAsia" w:ascii="宋体" w:hAnsi="宋体" w:eastAsia="Times New Roman" w:cs="宋体"/>
                <w:color w:val="auto"/>
                <w:kern w:val="0"/>
                <w:sz w:val="21"/>
                <w:szCs w:val="21"/>
                <w:highlight w:val="none"/>
                <w:lang w:val="en-US" w:eastAsia="zh-CN" w:bidi="ar"/>
              </w:rPr>
              <w:t>资料</w:t>
            </w:r>
          </w:p>
        </w:tc>
        <w:tc>
          <w:tcPr>
            <w:tcW w:w="6449" w:type="dxa"/>
            <w:tcBorders>
              <w:tl2br w:val="nil"/>
              <w:tr2bl w:val="nil"/>
            </w:tcBorders>
            <w:noWrap w:val="0"/>
            <w:vAlign w:val="center"/>
          </w:tcPr>
          <w:p w14:paraId="5CF98047">
            <w:pPr>
              <w:pStyle w:val="9"/>
              <w:keepNext w:val="0"/>
              <w:keepLines w:val="0"/>
              <w:pageBreakBefore w:val="0"/>
              <w:widowControl w:val="0"/>
              <w:kinsoku/>
              <w:wordWrap/>
              <w:overflowPunct/>
              <w:topLinePunct w:val="0"/>
              <w:autoSpaceDE/>
              <w:autoSpaceDN/>
              <w:bidi w:val="0"/>
              <w:adjustRightInd/>
              <w:snapToGrid/>
              <w:spacing w:line="330" w:lineRule="exact"/>
              <w:ind w:right="108"/>
              <w:jc w:val="left"/>
              <w:textAlignment w:val="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拟委任的项目经理、项目技术负责人和安全负责人资历表应附以下 </w:t>
            </w:r>
          </w:p>
          <w:p w14:paraId="695C0A5A">
            <w:pPr>
              <w:pStyle w:val="9"/>
              <w:keepNext w:val="0"/>
              <w:keepLines w:val="0"/>
              <w:pageBreakBefore w:val="0"/>
              <w:widowControl w:val="0"/>
              <w:kinsoku/>
              <w:wordWrap/>
              <w:overflowPunct/>
              <w:topLinePunct w:val="0"/>
              <w:autoSpaceDE/>
              <w:autoSpaceDN/>
              <w:bidi w:val="0"/>
              <w:adjustRightInd/>
              <w:snapToGrid/>
              <w:spacing w:line="330" w:lineRule="exact"/>
              <w:ind w:right="108"/>
              <w:jc w:val="left"/>
              <w:textAlignment w:val="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资料： </w:t>
            </w:r>
          </w:p>
          <w:p w14:paraId="6CD89608">
            <w:pPr>
              <w:pStyle w:val="9"/>
              <w:keepNext w:val="0"/>
              <w:keepLines w:val="0"/>
              <w:pageBreakBefore w:val="0"/>
              <w:widowControl w:val="0"/>
              <w:kinsoku/>
              <w:wordWrap/>
              <w:overflowPunct/>
              <w:topLinePunct w:val="0"/>
              <w:autoSpaceDE/>
              <w:autoSpaceDN/>
              <w:bidi w:val="0"/>
              <w:adjustRightInd/>
              <w:snapToGrid/>
              <w:spacing w:line="330" w:lineRule="exact"/>
              <w:ind w:right="108"/>
              <w:jc w:val="left"/>
              <w:textAlignment w:val="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（1）项目经理：身份证、职称资格证书、</w:t>
            </w:r>
            <w:r>
              <w:rPr>
                <w:rFonts w:hint="eastAsia"/>
                <w:color w:val="auto"/>
                <w:highlight w:val="none"/>
              </w:rPr>
              <w:t>公路工程专业</w:t>
            </w:r>
            <w:r>
              <w:rPr>
                <w:rFonts w:hint="eastAsia" w:eastAsia="宋体"/>
                <w:color w:val="auto"/>
                <w:highlight w:val="none"/>
                <w:lang w:val="en-US" w:eastAsia="zh-CN"/>
              </w:rPr>
              <w:t>二</w:t>
            </w:r>
            <w:r>
              <w:rPr>
                <w:rFonts w:hint="eastAsia"/>
                <w:color w:val="auto"/>
                <w:highlight w:val="none"/>
              </w:rPr>
              <w:t>级</w:t>
            </w:r>
            <w:r>
              <w:rPr>
                <w:rFonts w:hint="eastAsia" w:eastAsia="宋体"/>
                <w:color w:val="auto"/>
                <w:highlight w:val="none"/>
                <w:lang w:val="en-US" w:eastAsia="zh-CN"/>
              </w:rPr>
              <w:t>及以上</w:t>
            </w:r>
            <w:r>
              <w:rPr>
                <w:rFonts w:hint="eastAsia"/>
                <w:color w:val="auto"/>
                <w:highlight w:val="none"/>
              </w:rPr>
              <w:t>注册建造师</w:t>
            </w:r>
            <w:r>
              <w:rPr>
                <w:rFonts w:hint="eastAsia" w:eastAsia="宋体"/>
                <w:color w:val="auto"/>
                <w:highlight w:val="none"/>
                <w:lang w:eastAsia="zh-CN"/>
              </w:rPr>
              <w:t>注册</w:t>
            </w:r>
            <w:r>
              <w:rPr>
                <w:rFonts w:hint="eastAsia"/>
                <w:color w:val="auto"/>
                <w:highlight w:val="none"/>
              </w:rPr>
              <w:t>证书</w:t>
            </w:r>
            <w:r>
              <w:rPr>
                <w:rFonts w:hint="eastAsia" w:ascii="宋体" w:hAnsi="宋体" w:eastAsia="宋体" w:cs="宋体"/>
                <w:color w:val="auto"/>
                <w:spacing w:val="-4"/>
                <w:szCs w:val="21"/>
                <w:highlight w:val="none"/>
                <w:lang w:eastAsia="zh-CN"/>
              </w:rPr>
              <w:t>、</w:t>
            </w:r>
            <w:r>
              <w:rPr>
                <w:rFonts w:hint="eastAsia" w:ascii="宋体" w:hAnsi="宋体" w:eastAsia="宋体" w:cs="宋体"/>
                <w:color w:val="auto"/>
                <w:spacing w:val="-4"/>
                <w:szCs w:val="21"/>
                <w:highlight w:val="none"/>
                <w:lang w:val="en-US" w:eastAsia="zh-CN"/>
              </w:rPr>
              <w:t>社保证明</w:t>
            </w:r>
            <w:r>
              <w:rPr>
                <w:rFonts w:hint="eastAsia" w:ascii="宋体" w:hAnsi="宋体" w:eastAsia="宋体" w:cs="宋体"/>
                <w:color w:val="auto"/>
                <w:spacing w:val="-4"/>
                <w:szCs w:val="21"/>
                <w:highlight w:val="none"/>
                <w:lang w:eastAsia="zh-CN"/>
              </w:rPr>
              <w:t>的扫描件</w:t>
            </w:r>
            <w:r>
              <w:rPr>
                <w:rFonts w:hint="eastAsia" w:ascii="宋体" w:hAnsi="宋体" w:eastAsia="宋体" w:cs="Times New Roman"/>
                <w:color w:val="auto"/>
                <w:szCs w:val="21"/>
                <w:highlight w:val="none"/>
                <w:lang w:val="en-US" w:eastAsia="zh-CN"/>
              </w:rPr>
              <w:t>；</w:t>
            </w:r>
          </w:p>
          <w:p w14:paraId="4D33804D">
            <w:pPr>
              <w:pStyle w:val="9"/>
              <w:keepNext w:val="0"/>
              <w:keepLines w:val="0"/>
              <w:pageBreakBefore w:val="0"/>
              <w:widowControl w:val="0"/>
              <w:kinsoku/>
              <w:wordWrap/>
              <w:overflowPunct/>
              <w:topLinePunct w:val="0"/>
              <w:autoSpaceDE/>
              <w:autoSpaceDN/>
              <w:bidi w:val="0"/>
              <w:adjustRightInd/>
              <w:snapToGrid/>
              <w:spacing w:line="330" w:lineRule="exact"/>
              <w:ind w:right="108"/>
              <w:jc w:val="left"/>
              <w:textAlignment w:val="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项目技术负责人：身份证、职称资格证书</w:t>
            </w:r>
            <w:r>
              <w:rPr>
                <w:rFonts w:hint="eastAsia" w:ascii="宋体" w:hAnsi="宋体" w:eastAsia="宋体" w:cs="宋体"/>
                <w:color w:val="auto"/>
                <w:spacing w:val="-4"/>
                <w:szCs w:val="21"/>
                <w:highlight w:val="none"/>
                <w:lang w:eastAsia="zh-CN"/>
              </w:rPr>
              <w:t>、</w:t>
            </w:r>
            <w:r>
              <w:rPr>
                <w:rFonts w:hint="eastAsia" w:ascii="宋体" w:hAnsi="宋体" w:eastAsia="宋体" w:cs="宋体"/>
                <w:color w:val="auto"/>
                <w:spacing w:val="-4"/>
                <w:szCs w:val="21"/>
                <w:highlight w:val="none"/>
                <w:lang w:val="en-US" w:eastAsia="zh-CN"/>
              </w:rPr>
              <w:t>社保证明</w:t>
            </w:r>
            <w:r>
              <w:rPr>
                <w:rFonts w:hint="eastAsia" w:ascii="宋体" w:hAnsi="宋体" w:eastAsia="宋体" w:cs="Times New Roman"/>
                <w:color w:val="auto"/>
                <w:szCs w:val="21"/>
                <w:highlight w:val="none"/>
                <w:lang w:val="en-US" w:eastAsia="zh-CN"/>
              </w:rPr>
              <w:t xml:space="preserve">的扫描件； </w:t>
            </w:r>
          </w:p>
          <w:p w14:paraId="26889CA6">
            <w:pPr>
              <w:pStyle w:val="9"/>
              <w:keepNext w:val="0"/>
              <w:keepLines w:val="0"/>
              <w:pageBreakBefore w:val="0"/>
              <w:widowControl w:val="0"/>
              <w:kinsoku/>
              <w:wordWrap/>
              <w:overflowPunct/>
              <w:topLinePunct w:val="0"/>
              <w:autoSpaceDE/>
              <w:autoSpaceDN/>
              <w:bidi w:val="0"/>
              <w:adjustRightInd/>
              <w:snapToGrid/>
              <w:spacing w:line="330" w:lineRule="exact"/>
              <w:ind w:right="108"/>
              <w:jc w:val="left"/>
              <w:textAlignment w:val="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安全负责人：身份证、职称资格证书</w:t>
            </w:r>
            <w:r>
              <w:rPr>
                <w:rFonts w:hint="eastAsia" w:ascii="宋体" w:hAnsi="宋体" w:eastAsia="宋体" w:cs="宋体"/>
                <w:color w:val="auto"/>
                <w:spacing w:val="-4"/>
                <w:szCs w:val="21"/>
                <w:highlight w:val="none"/>
                <w:lang w:eastAsia="zh-CN"/>
              </w:rPr>
              <w:t>、</w:t>
            </w:r>
            <w:r>
              <w:rPr>
                <w:rFonts w:hint="eastAsia" w:ascii="宋体" w:hAnsi="宋体" w:eastAsia="宋体" w:cs="宋体"/>
                <w:color w:val="auto"/>
                <w:spacing w:val="-4"/>
                <w:szCs w:val="21"/>
                <w:highlight w:val="none"/>
                <w:lang w:val="en-US" w:eastAsia="zh-CN"/>
              </w:rPr>
              <w:t>社保证明</w:t>
            </w:r>
            <w:r>
              <w:rPr>
                <w:rFonts w:hint="eastAsia" w:ascii="宋体" w:hAnsi="宋体" w:eastAsia="宋体" w:cs="宋体"/>
                <w:color w:val="auto"/>
                <w:spacing w:val="-4"/>
                <w:szCs w:val="21"/>
                <w:highlight w:val="none"/>
                <w:lang w:eastAsia="zh-CN"/>
              </w:rPr>
              <w:t>的扫描件</w:t>
            </w:r>
            <w:r>
              <w:rPr>
                <w:rFonts w:hint="eastAsia" w:ascii="宋体" w:hAnsi="宋体" w:eastAsia="宋体" w:cs="Times New Roman"/>
                <w:color w:val="auto"/>
                <w:szCs w:val="21"/>
                <w:highlight w:val="none"/>
                <w:lang w:val="en-US" w:eastAsia="zh-CN"/>
              </w:rPr>
              <w:t>。</w:t>
            </w:r>
          </w:p>
          <w:p w14:paraId="2A40D136">
            <w:pPr>
              <w:pStyle w:val="9"/>
              <w:keepNext w:val="0"/>
              <w:keepLines w:val="0"/>
              <w:pageBreakBefore w:val="0"/>
              <w:widowControl w:val="0"/>
              <w:kinsoku/>
              <w:wordWrap/>
              <w:overflowPunct/>
              <w:topLinePunct w:val="0"/>
              <w:autoSpaceDE/>
              <w:autoSpaceDN/>
              <w:bidi w:val="0"/>
              <w:adjustRightInd/>
              <w:snapToGrid/>
              <w:spacing w:line="320" w:lineRule="exact"/>
              <w:ind w:right="108"/>
              <w:jc w:val="left"/>
              <w:textAlignment w:val="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注：身份证应提供正反双面扫描件；社保证明应提供投标人所属社保机构出具的拟委任的主要人员的2026年3月、4月、5月、6月的社保缴费证明,并加盖缴费证明专用章；或其他能够证明拟委任的主要人员的2026年3月、4月、5月、6月参加社保的有效证明材料,并加盖社保机构单位章。</w:t>
            </w:r>
          </w:p>
          <w:p w14:paraId="0A245150">
            <w:pPr>
              <w:pStyle w:val="9"/>
              <w:keepNext w:val="0"/>
              <w:keepLines w:val="0"/>
              <w:pageBreakBefore w:val="0"/>
              <w:widowControl w:val="0"/>
              <w:kinsoku/>
              <w:wordWrap/>
              <w:overflowPunct/>
              <w:topLinePunct w:val="0"/>
              <w:autoSpaceDE/>
              <w:autoSpaceDN/>
              <w:bidi w:val="0"/>
              <w:adjustRightInd/>
              <w:snapToGrid/>
              <w:spacing w:line="320" w:lineRule="exact"/>
              <w:ind w:right="108"/>
              <w:jc w:val="left"/>
              <w:textAlignment w:val="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2）项目经理相关业绩证明材料（担任类似项目的项目经理或项目副经理或项目技术负责人的中标通知书或合同协议书或质量证明文件）的扫描件，如上述资料中均未体现合同金额、公路技术等级、项目经理姓名及任职的，还须提供项目发包人或项目质量监督部门或项目所在地设区市行业主管部门出具的证明材料，否则业绩不予认可。 </w:t>
            </w:r>
          </w:p>
          <w:p w14:paraId="5042AFA6">
            <w:pPr>
              <w:pStyle w:val="9"/>
              <w:keepNext w:val="0"/>
              <w:keepLines w:val="0"/>
              <w:pageBreakBefore w:val="0"/>
              <w:widowControl w:val="0"/>
              <w:kinsoku/>
              <w:wordWrap/>
              <w:overflowPunct/>
              <w:topLinePunct w:val="0"/>
              <w:autoSpaceDE/>
              <w:autoSpaceDN/>
              <w:bidi w:val="0"/>
              <w:adjustRightInd/>
              <w:snapToGrid/>
              <w:spacing w:line="330" w:lineRule="exact"/>
              <w:ind w:right="108"/>
              <w:jc w:val="left"/>
              <w:textAlignment w:val="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（3）项目经理若曾在其他在建合同工程中担任项目经理但已进行更换的，应附项目发包人的同意更换证明材料，否则更换前后的项目经理均视为有“在建合同工程”。</w:t>
            </w:r>
          </w:p>
        </w:tc>
      </w:tr>
      <w:tr w14:paraId="295ABF1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101" w:type="dxa"/>
            <w:tcBorders>
              <w:tl2br w:val="nil"/>
              <w:tr2bl w:val="nil"/>
            </w:tcBorders>
            <w:noWrap w:val="0"/>
            <w:vAlign w:val="center"/>
          </w:tcPr>
          <w:p w14:paraId="1574DBEE">
            <w:pPr>
              <w:pStyle w:val="9"/>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3.5.6</w:t>
            </w:r>
          </w:p>
        </w:tc>
        <w:tc>
          <w:tcPr>
            <w:tcW w:w="1701" w:type="dxa"/>
            <w:tcBorders>
              <w:tl2br w:val="nil"/>
              <w:tr2bl w:val="nil"/>
            </w:tcBorders>
            <w:noWrap w:val="0"/>
            <w:vAlign w:val="center"/>
          </w:tcPr>
          <w:p w14:paraId="52BC7331">
            <w:pPr>
              <w:keepNext w:val="0"/>
              <w:keepLines w:val="0"/>
              <w:widowControl/>
              <w:suppressLineNumbers w:val="0"/>
              <w:jc w:val="center"/>
              <w:rPr>
                <w:rFonts w:hint="default" w:ascii="宋体" w:hAnsi="宋体" w:eastAsia="Times New Roman" w:cs="宋体"/>
                <w:color w:val="auto"/>
                <w:kern w:val="0"/>
                <w:sz w:val="21"/>
                <w:szCs w:val="21"/>
                <w:highlight w:val="none"/>
                <w:lang w:val="en-US" w:eastAsia="zh-CN" w:bidi="ar"/>
              </w:rPr>
            </w:pPr>
            <w:r>
              <w:rPr>
                <w:rFonts w:hint="eastAsia" w:ascii="宋体" w:hAnsi="宋体" w:eastAsia="Times New Roman" w:cs="宋体"/>
                <w:color w:val="auto"/>
                <w:kern w:val="0"/>
                <w:sz w:val="21"/>
                <w:szCs w:val="21"/>
                <w:highlight w:val="none"/>
                <w:lang w:val="en-US" w:eastAsia="zh-CN" w:bidi="ar"/>
              </w:rPr>
              <w:t>拟委任的其他管理和技术人员资历表应附资料</w:t>
            </w:r>
          </w:p>
        </w:tc>
        <w:tc>
          <w:tcPr>
            <w:tcW w:w="6449" w:type="dxa"/>
            <w:tcBorders>
              <w:tl2br w:val="nil"/>
              <w:tr2bl w:val="nil"/>
            </w:tcBorders>
            <w:noWrap w:val="0"/>
            <w:vAlign w:val="center"/>
          </w:tcPr>
          <w:p w14:paraId="30C0871A">
            <w:pPr>
              <w:pStyle w:val="9"/>
              <w:keepNext w:val="0"/>
              <w:keepLines w:val="0"/>
              <w:pageBreakBefore w:val="0"/>
              <w:widowControl w:val="0"/>
              <w:kinsoku/>
              <w:wordWrap/>
              <w:overflowPunct/>
              <w:topLinePunct w:val="0"/>
              <w:autoSpaceDE/>
              <w:autoSpaceDN/>
              <w:bidi w:val="0"/>
              <w:adjustRightInd/>
              <w:snapToGrid/>
              <w:spacing w:line="320" w:lineRule="exact"/>
              <w:ind w:right="105"/>
              <w:jc w:val="left"/>
              <w:textAlignment w:val="auto"/>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本项目不适用</w:t>
            </w:r>
          </w:p>
        </w:tc>
      </w:tr>
      <w:tr w14:paraId="5039320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101" w:type="dxa"/>
            <w:tcBorders>
              <w:tl2br w:val="nil"/>
              <w:tr2bl w:val="nil"/>
            </w:tcBorders>
            <w:noWrap w:val="0"/>
            <w:vAlign w:val="center"/>
          </w:tcPr>
          <w:p w14:paraId="0988ED1F">
            <w:pPr>
              <w:pStyle w:val="9"/>
              <w:jc w:val="center"/>
              <w:rPr>
                <w:rFonts w:hint="eastAsia" w:ascii="宋体" w:hAnsi="宋体"/>
                <w:color w:val="auto"/>
                <w:szCs w:val="21"/>
                <w:highlight w:val="none"/>
              </w:rPr>
            </w:pPr>
            <w:r>
              <w:rPr>
                <w:rFonts w:hint="eastAsia" w:ascii="宋体" w:hAnsi="宋体"/>
                <w:color w:val="auto"/>
                <w:szCs w:val="21"/>
                <w:highlight w:val="none"/>
              </w:rPr>
              <w:t>3.6</w:t>
            </w:r>
          </w:p>
        </w:tc>
        <w:tc>
          <w:tcPr>
            <w:tcW w:w="1701" w:type="dxa"/>
            <w:tcBorders>
              <w:tl2br w:val="nil"/>
              <w:tr2bl w:val="nil"/>
            </w:tcBorders>
            <w:noWrap w:val="0"/>
            <w:vAlign w:val="center"/>
          </w:tcPr>
          <w:p w14:paraId="22DA916B">
            <w:pPr>
              <w:keepNext w:val="0"/>
              <w:keepLines w:val="0"/>
              <w:widowControl/>
              <w:suppressLineNumbers w:val="0"/>
              <w:jc w:val="center"/>
              <w:rPr>
                <w:rFonts w:hint="eastAsia" w:ascii="宋体" w:hAnsi="宋体" w:eastAsia="Times New Roman" w:cs="宋体"/>
                <w:color w:val="auto"/>
                <w:kern w:val="0"/>
                <w:sz w:val="21"/>
                <w:szCs w:val="21"/>
                <w:highlight w:val="none"/>
                <w:lang w:val="en-US" w:eastAsia="zh-CN" w:bidi="ar"/>
              </w:rPr>
            </w:pPr>
            <w:r>
              <w:rPr>
                <w:rFonts w:hint="eastAsia" w:ascii="宋体" w:hAnsi="宋体" w:eastAsia="Times New Roman" w:cs="宋体"/>
                <w:color w:val="auto"/>
                <w:kern w:val="0"/>
                <w:sz w:val="21"/>
                <w:szCs w:val="21"/>
                <w:highlight w:val="none"/>
                <w:lang w:val="en-US" w:eastAsia="zh-CN" w:bidi="ar"/>
              </w:rPr>
              <w:t>是否允许递交备选投标方案</w:t>
            </w:r>
          </w:p>
        </w:tc>
        <w:tc>
          <w:tcPr>
            <w:tcW w:w="6449" w:type="dxa"/>
            <w:tcBorders>
              <w:tl2br w:val="nil"/>
              <w:tr2bl w:val="nil"/>
            </w:tcBorders>
            <w:noWrap w:val="0"/>
            <w:vAlign w:val="center"/>
          </w:tcPr>
          <w:p w14:paraId="3FD188D4">
            <w:pPr>
              <w:pStyle w:val="9"/>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color w:val="auto"/>
                <w:highlight w:val="none"/>
              </w:rPr>
            </w:pPr>
            <w:r>
              <w:rPr>
                <w:rFonts w:hint="eastAsia"/>
                <w:color w:val="auto"/>
                <w:highlight w:val="none"/>
              </w:rPr>
              <w:t xml:space="preserve">不允许 </w:t>
            </w:r>
          </w:p>
        </w:tc>
      </w:tr>
      <w:tr w14:paraId="4EA0131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01" w:type="dxa"/>
            <w:tcBorders>
              <w:tl2br w:val="nil"/>
              <w:tr2bl w:val="nil"/>
            </w:tcBorders>
            <w:noWrap w:val="0"/>
            <w:vAlign w:val="center"/>
          </w:tcPr>
          <w:p w14:paraId="0E51A996">
            <w:pPr>
              <w:pStyle w:val="9"/>
              <w:jc w:val="center"/>
              <w:rPr>
                <w:rFonts w:hint="eastAsia" w:ascii="宋体" w:hAnsi="宋体"/>
                <w:color w:val="auto"/>
                <w:szCs w:val="21"/>
                <w:highlight w:val="none"/>
              </w:rPr>
            </w:pPr>
            <w:r>
              <w:rPr>
                <w:rFonts w:hint="eastAsia" w:ascii="宋体" w:hAnsi="宋体"/>
                <w:color w:val="auto"/>
                <w:szCs w:val="21"/>
                <w:highlight w:val="none"/>
              </w:rPr>
              <w:t>3.7.3</w:t>
            </w:r>
          </w:p>
        </w:tc>
        <w:tc>
          <w:tcPr>
            <w:tcW w:w="1701" w:type="dxa"/>
            <w:tcBorders>
              <w:tl2br w:val="nil"/>
              <w:tr2bl w:val="nil"/>
            </w:tcBorders>
            <w:noWrap w:val="0"/>
            <w:vAlign w:val="center"/>
          </w:tcPr>
          <w:p w14:paraId="5944EE2A">
            <w:pPr>
              <w:keepNext w:val="0"/>
              <w:keepLines w:val="0"/>
              <w:widowControl/>
              <w:suppressLineNumbers w:val="0"/>
              <w:jc w:val="center"/>
              <w:rPr>
                <w:rFonts w:hint="eastAsia" w:ascii="宋体" w:hAnsi="宋体" w:eastAsia="Times New Roman" w:cs="宋体"/>
                <w:color w:val="auto"/>
                <w:kern w:val="0"/>
                <w:sz w:val="21"/>
                <w:szCs w:val="21"/>
                <w:highlight w:val="none"/>
                <w:lang w:val="en-US" w:eastAsia="zh-CN" w:bidi="ar"/>
              </w:rPr>
            </w:pPr>
            <w:r>
              <w:rPr>
                <w:rFonts w:hint="eastAsia" w:ascii="宋体" w:hAnsi="宋体" w:eastAsia="Times New Roman" w:cs="宋体"/>
                <w:color w:val="auto"/>
                <w:kern w:val="0"/>
                <w:sz w:val="21"/>
                <w:szCs w:val="21"/>
                <w:highlight w:val="none"/>
                <w:lang w:val="en-US" w:eastAsia="zh-CN" w:bidi="ar"/>
              </w:rPr>
              <w:t xml:space="preserve">投标文件的制作要求 </w:t>
            </w:r>
          </w:p>
        </w:tc>
        <w:tc>
          <w:tcPr>
            <w:tcW w:w="6449" w:type="dxa"/>
            <w:tcBorders>
              <w:tl2br w:val="nil"/>
              <w:tr2bl w:val="nil"/>
            </w:tcBorders>
            <w:noWrap w:val="0"/>
            <w:vAlign w:val="center"/>
          </w:tcPr>
          <w:p w14:paraId="7B567CB5">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（1）投标人应使用“电子交易平台”自带的“投标文件制作工具”制作生成投标文件。 </w:t>
            </w:r>
          </w:p>
          <w:p w14:paraId="4DFDFBE7">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（2）投标人在编制投标文件时应建立分级目录，并按照标签提示导入相关内容。 </w:t>
            </w:r>
          </w:p>
          <w:p w14:paraId="63D27260">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（3）投标文件中证明资料的“复印件”均为“原件的扫描件”，未标示“复印件”的证明资料均应直接制作生成。 </w:t>
            </w:r>
          </w:p>
          <w:p w14:paraId="0713BD34">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（4）投标文件中的已标价工程量清单应与招标人提供的工程量清单格式一致。 </w:t>
            </w:r>
          </w:p>
          <w:p w14:paraId="5BD2FC13">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（5）第</w:t>
            </w:r>
            <w:r>
              <w:rPr>
                <w:rFonts w:hint="eastAsia" w:ascii="宋体" w:hAnsi="宋体" w:eastAsia="宋体" w:cs="宋体"/>
                <w:color w:val="auto"/>
                <w:szCs w:val="21"/>
                <w:highlight w:val="none"/>
                <w:lang w:val="en-US" w:eastAsia="zh-CN"/>
              </w:rPr>
              <w:t>八</w:t>
            </w:r>
            <w:r>
              <w:rPr>
                <w:rFonts w:hint="eastAsia" w:ascii="宋体" w:hAnsi="宋体" w:eastAsia="宋体" w:cs="宋体"/>
                <w:color w:val="auto"/>
                <w:szCs w:val="21"/>
                <w:highlight w:val="none"/>
              </w:rPr>
              <w:t>章“投标文件格式”中要求盖单位章（或盖单位电子印章）和（或）签字（或盖法定代表人电子章）的地方，投标人均应使用 CA 数字证书加盖投标人的单位电子印章和（或）法定代表人的个人电子印章或电子签名章。</w:t>
            </w:r>
          </w:p>
          <w:p w14:paraId="47A17491">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（6）投标文件制作完成后，投标人应使用 CA 数字证书对投标文件进行文件加密，形成加密的投标文件。 </w:t>
            </w:r>
          </w:p>
          <w:p w14:paraId="59560C9E">
            <w:pPr>
              <w:pStyle w:val="9"/>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宋体"/>
                <w:color w:val="auto"/>
                <w:szCs w:val="21"/>
                <w:highlight w:val="none"/>
              </w:rPr>
              <w:t xml:space="preserve">（7）投标文件制作的具体方法详见电子交易平台“投标文件制作工具”中的相关帮助文档。 </w:t>
            </w:r>
          </w:p>
        </w:tc>
      </w:tr>
      <w:tr w14:paraId="11D04A5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28" w:hRule="atLeast"/>
        </w:trPr>
        <w:tc>
          <w:tcPr>
            <w:tcW w:w="1101" w:type="dxa"/>
            <w:tcBorders>
              <w:tl2br w:val="nil"/>
              <w:tr2bl w:val="nil"/>
            </w:tcBorders>
            <w:noWrap w:val="0"/>
            <w:vAlign w:val="center"/>
          </w:tcPr>
          <w:p w14:paraId="10649785">
            <w:pPr>
              <w:pStyle w:val="9"/>
              <w:jc w:val="center"/>
              <w:rPr>
                <w:rFonts w:hint="eastAsia" w:ascii="宋体" w:hAnsi="宋体"/>
                <w:b/>
                <w:color w:val="auto"/>
                <w:szCs w:val="21"/>
                <w:highlight w:val="none"/>
              </w:rPr>
            </w:pPr>
            <w:r>
              <w:rPr>
                <w:rFonts w:hint="eastAsia" w:ascii="宋体" w:hAnsi="宋体"/>
                <w:color w:val="auto"/>
                <w:szCs w:val="21"/>
                <w:highlight w:val="none"/>
              </w:rPr>
              <w:t>4.2.2</w:t>
            </w:r>
          </w:p>
        </w:tc>
        <w:tc>
          <w:tcPr>
            <w:tcW w:w="1701" w:type="dxa"/>
            <w:tcBorders>
              <w:tl2br w:val="nil"/>
              <w:tr2bl w:val="nil"/>
            </w:tcBorders>
            <w:noWrap w:val="0"/>
            <w:vAlign w:val="center"/>
          </w:tcPr>
          <w:p w14:paraId="0E4CCB79">
            <w:pPr>
              <w:pStyle w:val="9"/>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color w:val="auto"/>
                <w:szCs w:val="21"/>
                <w:highlight w:val="none"/>
              </w:rPr>
            </w:pPr>
            <w:r>
              <w:rPr>
                <w:rFonts w:hint="eastAsia" w:ascii="宋体" w:hAnsi="宋体"/>
                <w:color w:val="auto"/>
                <w:szCs w:val="21"/>
                <w:highlight w:val="none"/>
              </w:rPr>
              <w:t>递交投标文件</w:t>
            </w:r>
          </w:p>
          <w:p w14:paraId="4F7D41A3">
            <w:pPr>
              <w:pStyle w:val="9"/>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b/>
                <w:color w:val="auto"/>
                <w:szCs w:val="21"/>
                <w:highlight w:val="none"/>
              </w:rPr>
            </w:pPr>
            <w:r>
              <w:rPr>
                <w:rFonts w:hint="eastAsia" w:ascii="宋体" w:hAnsi="宋体"/>
                <w:color w:val="auto"/>
                <w:szCs w:val="21"/>
                <w:highlight w:val="none"/>
              </w:rPr>
              <w:t>方式和地点</w:t>
            </w:r>
          </w:p>
        </w:tc>
        <w:tc>
          <w:tcPr>
            <w:tcW w:w="6449" w:type="dxa"/>
            <w:tcBorders>
              <w:tl2br w:val="nil"/>
              <w:tr2bl w:val="nil"/>
            </w:tcBorders>
            <w:noWrap w:val="0"/>
            <w:vAlign w:val="center"/>
          </w:tcPr>
          <w:p w14:paraId="0A1D1739">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将由投标文件制作工具制作生成的加密投标文件在投标截止时间前（以上传完成时间为准）上传至电子招投标交易平台。</w:t>
            </w:r>
          </w:p>
          <w:p w14:paraId="0E6314BC">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b/>
                <w:color w:val="auto"/>
                <w:szCs w:val="21"/>
                <w:highlight w:val="none"/>
              </w:rPr>
            </w:pPr>
            <w:r>
              <w:rPr>
                <w:rFonts w:hint="eastAsia" w:ascii="宋体" w:hAnsi="宋体" w:eastAsia="宋体" w:cs="宋体"/>
                <w:color w:val="auto"/>
                <w:szCs w:val="21"/>
                <w:highlight w:val="none"/>
              </w:rPr>
              <w:t>潜在投标人应根据自身软硬件及网络状况，须预留充足时间上传投标文件以确保在投标截止时间前完成上传， 投标文件大小应尽量控制在系统允许上传的容量内，如若超出，务必进行文件压缩等技术处理，避免因投标文件过大或临近投标截止时间发生网络拥堵等意外情况导致投标文件上传失败的风险。</w:t>
            </w:r>
          </w:p>
        </w:tc>
      </w:tr>
      <w:tr w14:paraId="488AB92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28" w:hRule="atLeast"/>
        </w:trPr>
        <w:tc>
          <w:tcPr>
            <w:tcW w:w="1101" w:type="dxa"/>
            <w:tcBorders>
              <w:tl2br w:val="nil"/>
              <w:tr2bl w:val="nil"/>
            </w:tcBorders>
            <w:noWrap w:val="0"/>
            <w:vAlign w:val="center"/>
          </w:tcPr>
          <w:p w14:paraId="7F933D36">
            <w:pPr>
              <w:pStyle w:val="9"/>
              <w:jc w:val="center"/>
              <w:rPr>
                <w:rFonts w:hint="eastAsia" w:ascii="宋体" w:hAnsi="宋体"/>
                <w:b/>
                <w:color w:val="auto"/>
                <w:szCs w:val="21"/>
                <w:highlight w:val="none"/>
              </w:rPr>
            </w:pPr>
            <w:r>
              <w:rPr>
                <w:rFonts w:hint="eastAsia" w:ascii="宋体" w:hAnsi="宋体"/>
                <w:color w:val="auto"/>
                <w:szCs w:val="21"/>
                <w:highlight w:val="none"/>
              </w:rPr>
              <w:t>4.2.3</w:t>
            </w:r>
          </w:p>
        </w:tc>
        <w:tc>
          <w:tcPr>
            <w:tcW w:w="1701" w:type="dxa"/>
            <w:tcBorders>
              <w:tl2br w:val="nil"/>
              <w:tr2bl w:val="nil"/>
            </w:tcBorders>
            <w:noWrap w:val="0"/>
            <w:vAlign w:val="center"/>
          </w:tcPr>
          <w:p w14:paraId="30089252">
            <w:pPr>
              <w:pStyle w:val="9"/>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color w:val="auto"/>
                <w:szCs w:val="21"/>
                <w:highlight w:val="none"/>
              </w:rPr>
            </w:pPr>
            <w:r>
              <w:rPr>
                <w:rFonts w:hint="eastAsia" w:ascii="宋体" w:hAnsi="宋体"/>
                <w:color w:val="auto"/>
                <w:szCs w:val="21"/>
                <w:highlight w:val="none"/>
              </w:rPr>
              <w:t>是否退还投标</w:t>
            </w:r>
          </w:p>
          <w:p w14:paraId="56B64FD7">
            <w:pPr>
              <w:pStyle w:val="9"/>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b/>
                <w:color w:val="auto"/>
                <w:szCs w:val="21"/>
                <w:highlight w:val="none"/>
              </w:rPr>
            </w:pPr>
            <w:r>
              <w:rPr>
                <w:rFonts w:hint="eastAsia" w:ascii="宋体" w:hAnsi="宋体"/>
                <w:color w:val="auto"/>
                <w:szCs w:val="21"/>
                <w:highlight w:val="none"/>
              </w:rPr>
              <w:t>文件</w:t>
            </w:r>
          </w:p>
        </w:tc>
        <w:tc>
          <w:tcPr>
            <w:tcW w:w="6449" w:type="dxa"/>
            <w:tcBorders>
              <w:tl2br w:val="nil"/>
              <w:tr2bl w:val="nil"/>
            </w:tcBorders>
            <w:noWrap w:val="0"/>
            <w:vAlign w:val="center"/>
          </w:tcPr>
          <w:p w14:paraId="40FEF99A">
            <w:pPr>
              <w:pStyle w:val="9"/>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b/>
                <w:color w:val="auto"/>
                <w:szCs w:val="21"/>
                <w:highlight w:val="none"/>
              </w:rPr>
            </w:pPr>
            <w:r>
              <w:rPr>
                <w:rFonts w:hint="eastAsia" w:ascii="宋体" w:hAnsi="宋体"/>
                <w:color w:val="auto"/>
                <w:szCs w:val="21"/>
                <w:highlight w:val="none"/>
              </w:rPr>
              <w:t>否</w:t>
            </w:r>
          </w:p>
        </w:tc>
      </w:tr>
      <w:tr w14:paraId="396E663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28" w:hRule="atLeast"/>
        </w:trPr>
        <w:tc>
          <w:tcPr>
            <w:tcW w:w="1101" w:type="dxa"/>
            <w:tcBorders>
              <w:tl2br w:val="nil"/>
              <w:tr2bl w:val="nil"/>
            </w:tcBorders>
            <w:noWrap w:val="0"/>
            <w:vAlign w:val="center"/>
          </w:tcPr>
          <w:p w14:paraId="692482B8">
            <w:pPr>
              <w:pStyle w:val="9"/>
              <w:jc w:val="center"/>
              <w:rPr>
                <w:rFonts w:hint="eastAsia" w:ascii="宋体" w:hAnsi="宋体"/>
                <w:b/>
                <w:color w:val="auto"/>
                <w:szCs w:val="21"/>
                <w:highlight w:val="none"/>
              </w:rPr>
            </w:pPr>
            <w:r>
              <w:rPr>
                <w:rFonts w:hint="eastAsia" w:ascii="宋体" w:hAnsi="宋体"/>
                <w:color w:val="auto"/>
                <w:szCs w:val="21"/>
                <w:highlight w:val="none"/>
              </w:rPr>
              <w:t>4.2.</w:t>
            </w:r>
            <w:r>
              <w:rPr>
                <w:rFonts w:hint="eastAsia" w:ascii="宋体" w:hAnsi="宋体" w:eastAsia="宋体"/>
                <w:color w:val="auto"/>
                <w:szCs w:val="21"/>
                <w:highlight w:val="none"/>
                <w:lang w:val="en-US" w:eastAsia="zh-CN"/>
              </w:rPr>
              <w:t>4</w:t>
            </w:r>
          </w:p>
        </w:tc>
        <w:tc>
          <w:tcPr>
            <w:tcW w:w="1701" w:type="dxa"/>
            <w:tcBorders>
              <w:tl2br w:val="nil"/>
              <w:tr2bl w:val="nil"/>
            </w:tcBorders>
            <w:noWrap w:val="0"/>
            <w:vAlign w:val="center"/>
          </w:tcPr>
          <w:p w14:paraId="1718BEDC">
            <w:pPr>
              <w:pStyle w:val="9"/>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b/>
                <w:color w:val="auto"/>
                <w:szCs w:val="21"/>
                <w:highlight w:val="none"/>
              </w:rPr>
            </w:pPr>
            <w:r>
              <w:rPr>
                <w:rFonts w:hint="eastAsia" w:ascii="宋体" w:hAnsi="宋体"/>
                <w:color w:val="auto"/>
                <w:szCs w:val="21"/>
                <w:highlight w:val="none"/>
              </w:rPr>
              <w:t>投标文件</w:t>
            </w:r>
            <w:r>
              <w:rPr>
                <w:rFonts w:hint="eastAsia" w:ascii="宋体" w:hAnsi="宋体" w:eastAsia="宋体"/>
                <w:color w:val="auto"/>
                <w:szCs w:val="21"/>
                <w:highlight w:val="none"/>
                <w:lang w:val="en-US" w:eastAsia="zh-CN"/>
              </w:rPr>
              <w:t>不予受理的情形</w:t>
            </w:r>
          </w:p>
        </w:tc>
        <w:tc>
          <w:tcPr>
            <w:tcW w:w="6449" w:type="dxa"/>
            <w:tcBorders>
              <w:tl2br w:val="nil"/>
              <w:tr2bl w:val="nil"/>
            </w:tcBorders>
            <w:noWrap w:val="0"/>
            <w:vAlign w:val="center"/>
          </w:tcPr>
          <w:p w14:paraId="667D2764">
            <w:pPr>
              <w:wordWrap w:val="0"/>
              <w:spacing w:line="320" w:lineRule="exact"/>
              <w:jc w:val="lef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（1）电子投标文件未在投标截止时间前完成上传的。</w:t>
            </w:r>
          </w:p>
          <w:p w14:paraId="14572CDE">
            <w:pPr>
              <w:wordWrap w:val="0"/>
              <w:spacing w:line="320" w:lineRule="exact"/>
              <w:jc w:val="lef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□（2）投标保证金未与所投标段关联的。</w:t>
            </w:r>
          </w:p>
          <w:p w14:paraId="18B673F4">
            <w:pPr>
              <w:wordWrap w:val="0"/>
              <w:spacing w:line="320" w:lineRule="exact"/>
              <w:jc w:val="lef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（以保险公司投标保证保险方式缴纳投标保证金的，无须关联）</w:t>
            </w:r>
          </w:p>
          <w:p w14:paraId="5DD13649">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0" w:leftChars="0" w:right="241" w:rightChars="115" w:firstLine="0" w:firstLineChars="0"/>
              <w:textAlignment w:val="auto"/>
              <w:rPr>
                <w:rFonts w:hint="eastAsia" w:ascii="宋体" w:hAnsi="宋体"/>
                <w:b/>
                <w:color w:val="auto"/>
                <w:szCs w:val="21"/>
                <w:highlight w:val="none"/>
              </w:rPr>
            </w:pPr>
            <w:r>
              <w:rPr>
                <w:rFonts w:ascii="宋体" w:hAnsi="宋体" w:eastAsia="宋体" w:cs="Times New Roman"/>
                <w:color w:val="auto"/>
                <w:sz w:val="21"/>
                <w:szCs w:val="21"/>
                <w:highlight w:val="none"/>
              </w:rPr>
              <w:t>（3）</w:t>
            </w:r>
            <w:r>
              <w:rPr>
                <w:rFonts w:hint="eastAsia" w:ascii="宋体" w:hAnsi="宋体" w:eastAsia="宋体" w:cs="Times New Roman"/>
                <w:color w:val="auto"/>
                <w:sz w:val="21"/>
                <w:szCs w:val="21"/>
                <w:highlight w:val="none"/>
                <w:u w:val="single"/>
              </w:rPr>
              <w:t>未在规定时间内在线解密的</w:t>
            </w:r>
            <w:r>
              <w:rPr>
                <w:rFonts w:ascii="宋体" w:hAnsi="宋体" w:eastAsia="宋体" w:cs="Times New Roman"/>
                <w:color w:val="auto"/>
                <w:sz w:val="21"/>
                <w:szCs w:val="21"/>
                <w:highlight w:val="none"/>
              </w:rPr>
              <w:t>。</w:t>
            </w:r>
          </w:p>
        </w:tc>
      </w:tr>
      <w:tr w14:paraId="09B7FCC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01" w:type="dxa"/>
            <w:tcBorders>
              <w:tl2br w:val="nil"/>
              <w:tr2bl w:val="nil"/>
            </w:tcBorders>
            <w:noWrap w:val="0"/>
            <w:vAlign w:val="center"/>
          </w:tcPr>
          <w:p w14:paraId="27E68FE5">
            <w:pPr>
              <w:pStyle w:val="9"/>
              <w:jc w:val="center"/>
              <w:rPr>
                <w:rFonts w:hint="eastAsia" w:ascii="宋体" w:hAnsi="宋体"/>
                <w:color w:val="auto"/>
                <w:szCs w:val="21"/>
                <w:highlight w:val="none"/>
              </w:rPr>
            </w:pPr>
            <w:r>
              <w:rPr>
                <w:rFonts w:ascii="宋体" w:hAnsi="宋体"/>
                <w:color w:val="auto"/>
                <w:szCs w:val="21"/>
                <w:highlight w:val="none"/>
              </w:rPr>
              <w:t>5.1</w:t>
            </w:r>
          </w:p>
        </w:tc>
        <w:tc>
          <w:tcPr>
            <w:tcW w:w="1701" w:type="dxa"/>
            <w:tcBorders>
              <w:tl2br w:val="nil"/>
              <w:tr2bl w:val="nil"/>
            </w:tcBorders>
            <w:noWrap w:val="0"/>
            <w:vAlign w:val="center"/>
          </w:tcPr>
          <w:p w14:paraId="172ED187">
            <w:pPr>
              <w:pStyle w:val="9"/>
              <w:jc w:val="center"/>
              <w:rPr>
                <w:rFonts w:hint="eastAsia" w:ascii="宋体" w:hAnsi="宋体"/>
                <w:color w:val="auto"/>
                <w:szCs w:val="21"/>
                <w:highlight w:val="none"/>
              </w:rPr>
            </w:pPr>
            <w:r>
              <w:rPr>
                <w:rFonts w:hint="eastAsia" w:ascii="宋体" w:hAnsi="宋体"/>
                <w:color w:val="auto"/>
                <w:szCs w:val="21"/>
                <w:highlight w:val="none"/>
              </w:rPr>
              <w:t>开标时间</w:t>
            </w:r>
            <w:r>
              <w:rPr>
                <w:rFonts w:hint="eastAsia" w:ascii="宋体" w:hAnsi="宋体"/>
                <w:color w:val="auto"/>
                <w:szCs w:val="21"/>
                <w:highlight w:val="none"/>
                <w:lang w:val="en-US" w:eastAsia="zh-CN"/>
              </w:rPr>
              <w:t>和</w:t>
            </w:r>
            <w:r>
              <w:rPr>
                <w:rFonts w:hint="eastAsia" w:ascii="宋体" w:hAnsi="宋体"/>
                <w:color w:val="auto"/>
                <w:szCs w:val="21"/>
                <w:highlight w:val="none"/>
              </w:rPr>
              <w:t>地点</w:t>
            </w:r>
          </w:p>
        </w:tc>
        <w:tc>
          <w:tcPr>
            <w:tcW w:w="6449" w:type="dxa"/>
            <w:tcBorders>
              <w:tl2br w:val="nil"/>
              <w:tr2bl w:val="nil"/>
            </w:tcBorders>
            <w:noWrap w:val="0"/>
            <w:vAlign w:val="center"/>
          </w:tcPr>
          <w:p w14:paraId="535BB357">
            <w:pPr>
              <w:pStyle w:val="9"/>
              <w:keepNext w:val="0"/>
              <w:keepLines w:val="0"/>
              <w:pageBreakBefore w:val="0"/>
              <w:widowControl w:val="0"/>
              <w:kinsoku/>
              <w:wordWrap/>
              <w:overflowPunct/>
              <w:topLinePunct w:val="0"/>
              <w:autoSpaceDE/>
              <w:autoSpaceDN/>
              <w:bidi w:val="0"/>
              <w:spacing w:line="320" w:lineRule="exac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采用双信封形式投标文件的开标</w:t>
            </w:r>
          </w:p>
          <w:p w14:paraId="0CE44B19">
            <w:pPr>
              <w:keepNext w:val="0"/>
              <w:keepLines w:val="0"/>
              <w:pageBreakBefore w:val="0"/>
              <w:widowControl w:val="0"/>
              <w:kinsoku/>
              <w:wordWrap/>
              <w:overflowPunct/>
              <w:topLinePunct w:val="0"/>
              <w:autoSpaceDE/>
              <w:autoSpaceDN/>
              <w:bidi w:val="0"/>
              <w:adjustRightInd w:val="0"/>
              <w:snapToGrid w:val="0"/>
              <w:spacing w:line="31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投标文件第一个信封（商务及</w:t>
            </w:r>
            <w:r>
              <w:rPr>
                <w:rFonts w:hint="eastAsia" w:ascii="宋体" w:hAnsi="宋体" w:eastAsia="宋体" w:cs="宋体"/>
                <w:color w:val="auto"/>
                <w:highlight w:val="none"/>
                <w:lang w:val="en-US" w:eastAsia="zh-CN"/>
              </w:rPr>
              <w:t>养护工程作业方案</w:t>
            </w:r>
            <w:r>
              <w:rPr>
                <w:rFonts w:hint="eastAsia" w:ascii="宋体" w:hAnsi="宋体" w:eastAsia="宋体" w:cs="宋体"/>
                <w:color w:val="auto"/>
                <w:highlight w:val="none"/>
              </w:rPr>
              <w:t>）开标时间：</w:t>
            </w:r>
            <w:r>
              <w:rPr>
                <w:rFonts w:hint="eastAsia" w:ascii="宋体" w:hAnsi="宋体" w:eastAsia="宋体" w:cs="宋体"/>
                <w:color w:val="auto"/>
                <w:highlight w:val="none"/>
                <w:u w:val="single"/>
              </w:rPr>
              <w:t>同投标截止时间</w:t>
            </w:r>
          </w:p>
          <w:p w14:paraId="08827435">
            <w:pPr>
              <w:keepNext w:val="0"/>
              <w:keepLines w:val="0"/>
              <w:pageBreakBefore w:val="0"/>
              <w:widowControl w:val="0"/>
              <w:kinsoku/>
              <w:wordWrap/>
              <w:overflowPunct/>
              <w:topLinePunct w:val="0"/>
              <w:autoSpaceDE/>
              <w:autoSpaceDN/>
              <w:bidi w:val="0"/>
              <w:adjustRightInd w:val="0"/>
              <w:snapToGrid w:val="0"/>
              <w:spacing w:line="310" w:lineRule="exact"/>
              <w:textAlignment w:val="auto"/>
              <w:rPr>
                <w:rFonts w:hint="eastAsia" w:ascii="宋体" w:hAnsi="宋体" w:eastAsia="宋体" w:cs="宋体"/>
                <w:bCs/>
                <w:color w:val="auto"/>
                <w:highlight w:val="none"/>
                <w:u w:val="single"/>
              </w:rPr>
            </w:pPr>
            <w:r>
              <w:rPr>
                <w:rFonts w:hint="eastAsia" w:ascii="宋体" w:hAnsi="宋体" w:eastAsia="宋体" w:cs="宋体"/>
                <w:color w:val="auto"/>
                <w:highlight w:val="none"/>
              </w:rPr>
              <w:t>投标文件第一个信封（商务及</w:t>
            </w:r>
            <w:r>
              <w:rPr>
                <w:rFonts w:hint="eastAsia" w:ascii="宋体" w:hAnsi="宋体" w:eastAsia="宋体" w:cs="宋体"/>
                <w:color w:val="auto"/>
                <w:highlight w:val="none"/>
                <w:lang w:val="en-US" w:eastAsia="zh-CN"/>
              </w:rPr>
              <w:t>养护工程作业方案</w:t>
            </w:r>
            <w:r>
              <w:rPr>
                <w:rFonts w:hint="eastAsia" w:ascii="宋体" w:hAnsi="宋体" w:eastAsia="宋体" w:cs="宋体"/>
                <w:color w:val="auto"/>
                <w:highlight w:val="none"/>
              </w:rPr>
              <w:t>）开标地点：</w:t>
            </w:r>
            <w:r>
              <w:rPr>
                <w:rFonts w:hint="eastAsia" w:ascii="宋体" w:hAnsi="宋体" w:eastAsia="宋体" w:cs="宋体"/>
                <w:bCs/>
                <w:color w:val="auto"/>
                <w:highlight w:val="none"/>
                <w:u w:val="single"/>
              </w:rPr>
              <w:t>网上远程不见面开标大厅</w:t>
            </w:r>
          </w:p>
          <w:p w14:paraId="5F7A5219">
            <w:pPr>
              <w:keepNext w:val="0"/>
              <w:keepLines w:val="0"/>
              <w:pageBreakBefore w:val="0"/>
              <w:widowControl w:val="0"/>
              <w:kinsoku/>
              <w:wordWrap/>
              <w:overflowPunct/>
              <w:topLinePunct w:val="0"/>
              <w:autoSpaceDE/>
              <w:autoSpaceDN/>
              <w:bidi w:val="0"/>
              <w:adjustRightInd w:val="0"/>
              <w:snapToGrid w:val="0"/>
              <w:spacing w:line="310" w:lineRule="exact"/>
              <w:textAlignment w:val="auto"/>
              <w:rPr>
                <w:rFonts w:hint="default" w:ascii="宋体" w:hAnsi="宋体" w:eastAsia="宋体" w:cs="宋体"/>
                <w:color w:val="auto"/>
                <w:highlight w:val="none"/>
                <w:lang w:val="en-US" w:eastAsia="zh-CN"/>
              </w:rPr>
            </w:pPr>
            <w:r>
              <w:rPr>
                <w:rFonts w:hint="eastAsia" w:ascii="宋体" w:hAnsi="宋体" w:eastAsia="宋体" w:cs="宋体"/>
                <w:color w:val="auto"/>
                <w:highlight w:val="none"/>
              </w:rPr>
              <w:t>投标文件第二个信封（报价文件）开标时间：</w:t>
            </w:r>
            <w:r>
              <w:rPr>
                <w:rFonts w:hint="eastAsia" w:ascii="宋体" w:hAnsi="宋体" w:eastAsia="宋体" w:cs="宋体"/>
                <w:color w:val="auto"/>
                <w:highlight w:val="none"/>
                <w:u w:val="single"/>
              </w:rPr>
              <w:t>投标文件第一个信封</w:t>
            </w:r>
            <w:r>
              <w:rPr>
                <w:rFonts w:hint="eastAsia" w:ascii="宋体" w:hAnsi="宋体" w:eastAsia="宋体" w:cs="宋体"/>
                <w:color w:val="auto"/>
                <w:highlight w:val="none"/>
                <w:u w:val="single"/>
                <w:lang w:val="en-US" w:eastAsia="zh-CN"/>
              </w:rPr>
              <w:t>评审结束后</w:t>
            </w:r>
          </w:p>
          <w:p w14:paraId="45C25936">
            <w:pPr>
              <w:pStyle w:val="9"/>
              <w:keepNext w:val="0"/>
              <w:keepLines w:val="0"/>
              <w:pageBreakBefore w:val="0"/>
              <w:widowControl w:val="0"/>
              <w:kinsoku/>
              <w:wordWrap/>
              <w:overflowPunct/>
              <w:topLinePunct w:val="0"/>
              <w:autoSpaceDE/>
              <w:autoSpaceDN/>
              <w:bidi w:val="0"/>
              <w:spacing w:line="320" w:lineRule="exact"/>
              <w:textAlignment w:val="auto"/>
              <w:rPr>
                <w:color w:val="auto"/>
                <w:highlight w:val="none"/>
              </w:rPr>
            </w:pPr>
            <w:r>
              <w:rPr>
                <w:rFonts w:hint="eastAsia" w:ascii="宋体" w:hAnsi="宋体" w:eastAsia="宋体" w:cs="宋体"/>
                <w:color w:val="auto"/>
                <w:highlight w:val="none"/>
              </w:rPr>
              <w:t>投标文件第二个信封（报价文件）开标地点：</w:t>
            </w:r>
            <w:r>
              <w:rPr>
                <w:rFonts w:hint="eastAsia" w:ascii="宋体" w:hAnsi="宋体" w:eastAsia="宋体" w:cs="宋体"/>
                <w:bCs/>
                <w:color w:val="auto"/>
                <w:highlight w:val="none"/>
                <w:u w:val="single"/>
              </w:rPr>
              <w:t>网上远程不见面开标大厅</w:t>
            </w:r>
          </w:p>
        </w:tc>
      </w:tr>
      <w:tr w14:paraId="4E7AAC3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01" w:type="dxa"/>
            <w:tcBorders>
              <w:tl2br w:val="nil"/>
              <w:tr2bl w:val="nil"/>
            </w:tcBorders>
            <w:noWrap w:val="0"/>
            <w:vAlign w:val="center"/>
          </w:tcPr>
          <w:p w14:paraId="4C847F3A">
            <w:pPr>
              <w:pStyle w:val="9"/>
              <w:jc w:val="center"/>
              <w:rPr>
                <w:rFonts w:hint="eastAsia" w:ascii="宋体" w:hAnsi="宋体"/>
                <w:color w:val="auto"/>
                <w:szCs w:val="21"/>
                <w:highlight w:val="none"/>
              </w:rPr>
            </w:pPr>
            <w:r>
              <w:rPr>
                <w:rFonts w:ascii="宋体" w:hAnsi="宋体"/>
                <w:color w:val="auto"/>
                <w:szCs w:val="21"/>
                <w:highlight w:val="none"/>
              </w:rPr>
              <w:t>5.2</w:t>
            </w:r>
          </w:p>
        </w:tc>
        <w:tc>
          <w:tcPr>
            <w:tcW w:w="1701" w:type="dxa"/>
            <w:tcBorders>
              <w:tl2br w:val="nil"/>
              <w:tr2bl w:val="nil"/>
            </w:tcBorders>
            <w:noWrap w:val="0"/>
            <w:vAlign w:val="center"/>
          </w:tcPr>
          <w:p w14:paraId="03E7E816">
            <w:pPr>
              <w:pStyle w:val="9"/>
              <w:jc w:val="center"/>
              <w:rPr>
                <w:rFonts w:hint="eastAsia" w:ascii="宋体" w:hAnsi="宋体"/>
                <w:color w:val="auto"/>
                <w:szCs w:val="21"/>
                <w:highlight w:val="none"/>
              </w:rPr>
            </w:pPr>
            <w:r>
              <w:rPr>
                <w:rFonts w:hint="eastAsia" w:ascii="宋体" w:hAnsi="宋体"/>
                <w:color w:val="auto"/>
                <w:szCs w:val="21"/>
                <w:highlight w:val="none"/>
              </w:rPr>
              <w:t>开标程序</w:t>
            </w:r>
          </w:p>
          <w:p w14:paraId="353D3BEB">
            <w:pPr>
              <w:pStyle w:val="9"/>
              <w:jc w:val="center"/>
              <w:rPr>
                <w:rFonts w:hint="eastAsia" w:ascii="宋体" w:hAnsi="宋体"/>
                <w:color w:val="auto"/>
                <w:szCs w:val="21"/>
                <w:highlight w:val="none"/>
              </w:rPr>
            </w:pPr>
            <w:r>
              <w:rPr>
                <w:rFonts w:hint="eastAsia" w:ascii="宋体" w:hAnsi="宋体"/>
                <w:color w:val="auto"/>
                <w:szCs w:val="21"/>
                <w:highlight w:val="none"/>
              </w:rPr>
              <w:t>（</w:t>
            </w:r>
            <w:r>
              <w:rPr>
                <w:rFonts w:hint="eastAsia" w:ascii="宋体" w:hAnsi="宋体" w:eastAsia="宋体"/>
                <w:color w:val="auto"/>
                <w:szCs w:val="21"/>
                <w:highlight w:val="none"/>
                <w:lang w:val="en-US" w:eastAsia="zh-CN"/>
              </w:rPr>
              <w:t>双</w:t>
            </w:r>
            <w:r>
              <w:rPr>
                <w:rFonts w:hint="eastAsia" w:ascii="宋体" w:hAnsi="宋体"/>
                <w:color w:val="auto"/>
                <w:szCs w:val="21"/>
                <w:highlight w:val="none"/>
              </w:rPr>
              <w:t>信封）</w:t>
            </w:r>
          </w:p>
        </w:tc>
        <w:tc>
          <w:tcPr>
            <w:tcW w:w="6449" w:type="dxa"/>
            <w:tcBorders>
              <w:tl2br w:val="nil"/>
              <w:tr2bl w:val="nil"/>
            </w:tcBorders>
            <w:noWrap w:val="0"/>
            <w:vAlign w:val="center"/>
          </w:tcPr>
          <w:p w14:paraId="0989EE86">
            <w:pPr>
              <w:pStyle w:val="9"/>
              <w:keepNext w:val="0"/>
              <w:keepLines w:val="0"/>
              <w:pageBreakBefore w:val="0"/>
              <w:widowControl w:val="0"/>
              <w:kinsoku/>
              <w:wordWrap/>
              <w:overflowPunct/>
              <w:topLinePunct w:val="0"/>
              <w:autoSpaceDE/>
              <w:autoSpaceDN/>
              <w:bidi w:val="0"/>
              <w:adjustRightInd/>
              <w:snapToGrid/>
              <w:spacing w:line="316" w:lineRule="exac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5.2.1 招标人按下列程序对投标文件第一信封（商务及养护工程作业方案）进行开标：</w:t>
            </w:r>
          </w:p>
          <w:p w14:paraId="43A7D7F2">
            <w:pPr>
              <w:pStyle w:val="9"/>
              <w:keepNext w:val="0"/>
              <w:keepLines w:val="0"/>
              <w:pageBreakBefore w:val="0"/>
              <w:widowControl w:val="0"/>
              <w:kinsoku/>
              <w:wordWrap/>
              <w:overflowPunct/>
              <w:topLinePunct w:val="0"/>
              <w:autoSpaceDE/>
              <w:autoSpaceDN/>
              <w:bidi w:val="0"/>
              <w:adjustRightInd/>
              <w:snapToGrid/>
              <w:spacing w:line="316" w:lineRule="exac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(1)招标宣布开标纪律；宣布记录人等有关人员姓名；</w:t>
            </w:r>
          </w:p>
          <w:p w14:paraId="30136C5E">
            <w:pPr>
              <w:pStyle w:val="9"/>
              <w:keepNext w:val="0"/>
              <w:keepLines w:val="0"/>
              <w:pageBreakBefore w:val="0"/>
              <w:widowControl w:val="0"/>
              <w:kinsoku/>
              <w:wordWrap/>
              <w:overflowPunct/>
              <w:topLinePunct w:val="0"/>
              <w:autoSpaceDE/>
              <w:autoSpaceDN/>
              <w:bidi w:val="0"/>
              <w:adjustRightInd/>
              <w:snapToGrid/>
              <w:spacing w:line="316" w:lineRule="exac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(2)公布投标人数量：招标人公布投标人数量及投标保证金缴纳情况。若开标系统显示已递交投标文件的单位数量少于3家，招标人公布已递交投标文件单位名称，当场宣布招标失败，结束开标。</w:t>
            </w:r>
          </w:p>
          <w:p w14:paraId="68986E28">
            <w:pPr>
              <w:pStyle w:val="9"/>
              <w:keepNext w:val="0"/>
              <w:keepLines w:val="0"/>
              <w:pageBreakBefore w:val="0"/>
              <w:widowControl w:val="0"/>
              <w:kinsoku/>
              <w:wordWrap/>
              <w:overflowPunct/>
              <w:topLinePunct w:val="0"/>
              <w:autoSpaceDE/>
              <w:autoSpaceDN/>
              <w:bidi w:val="0"/>
              <w:adjustRightInd/>
              <w:snapToGrid/>
              <w:spacing w:line="316" w:lineRule="exac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投标人解密：投标人数量大于等于3家，进入投标人解密环节。投标人解密时间：30分钟。投标人解密方式：投标人使用IE11及以上浏览器自行登录不见面开标大厅：http://220.187.225.202:18088/BidOpening/bidopeninghallaction/hall/login(按各交易平台开标大厅)。待招标人点击解密指令后，投标人使用生成投标文件的CA数字证书在线解密。</w:t>
            </w:r>
          </w:p>
          <w:p w14:paraId="52AF4E57">
            <w:pPr>
              <w:pStyle w:val="9"/>
              <w:keepNext w:val="0"/>
              <w:keepLines w:val="0"/>
              <w:pageBreakBefore w:val="0"/>
              <w:widowControl w:val="0"/>
              <w:kinsoku/>
              <w:wordWrap/>
              <w:overflowPunct/>
              <w:topLinePunct w:val="0"/>
              <w:autoSpaceDE/>
              <w:autoSpaceDN/>
              <w:bidi w:val="0"/>
              <w:adjustRightInd/>
              <w:snapToGrid/>
              <w:spacing w:line="316" w:lineRule="exac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若成功解密的投标人少于3家，招标人宣布本次招标失败。</w:t>
            </w:r>
          </w:p>
          <w:p w14:paraId="7ECB4F7B">
            <w:pPr>
              <w:pStyle w:val="9"/>
              <w:keepNext w:val="0"/>
              <w:keepLines w:val="0"/>
              <w:pageBreakBefore w:val="0"/>
              <w:widowControl w:val="0"/>
              <w:kinsoku/>
              <w:wordWrap/>
              <w:overflowPunct/>
              <w:topLinePunct w:val="0"/>
              <w:autoSpaceDE/>
              <w:autoSpaceDN/>
              <w:bidi w:val="0"/>
              <w:adjustRightInd/>
              <w:snapToGrid/>
              <w:spacing w:line="316" w:lineRule="exac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(4)招标人解密</w:t>
            </w:r>
          </w:p>
          <w:p w14:paraId="4A294F0B">
            <w:pPr>
              <w:pStyle w:val="9"/>
              <w:keepNext w:val="0"/>
              <w:keepLines w:val="0"/>
              <w:pageBreakBefore w:val="0"/>
              <w:widowControl w:val="0"/>
              <w:kinsoku/>
              <w:wordWrap/>
              <w:overflowPunct/>
              <w:topLinePunct w:val="0"/>
              <w:autoSpaceDE/>
              <w:autoSpaceDN/>
              <w:bidi w:val="0"/>
              <w:adjustRightInd/>
              <w:snapToGrid/>
              <w:spacing w:line="316" w:lineRule="exac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全部投标人解密完成后或投标人解密时间结束，招标人使用生成招标文件的CA数字证书解密投标文件。</w:t>
            </w:r>
          </w:p>
          <w:p w14:paraId="213D0C08">
            <w:pPr>
              <w:pStyle w:val="9"/>
              <w:keepNext w:val="0"/>
              <w:keepLines w:val="0"/>
              <w:pageBreakBefore w:val="0"/>
              <w:widowControl w:val="0"/>
              <w:kinsoku/>
              <w:wordWrap/>
              <w:overflowPunct/>
              <w:topLinePunct w:val="0"/>
              <w:autoSpaceDE/>
              <w:autoSpaceDN/>
              <w:bidi w:val="0"/>
              <w:adjustRightInd/>
              <w:snapToGrid/>
              <w:spacing w:line="316" w:lineRule="exac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(5)公布第一信封开标结果</w:t>
            </w:r>
          </w:p>
          <w:p w14:paraId="297474F5">
            <w:pPr>
              <w:pStyle w:val="9"/>
              <w:keepNext w:val="0"/>
              <w:keepLines w:val="0"/>
              <w:pageBreakBefore w:val="0"/>
              <w:widowControl w:val="0"/>
              <w:kinsoku/>
              <w:wordWrap/>
              <w:overflowPunct/>
              <w:topLinePunct w:val="0"/>
              <w:autoSpaceDE/>
              <w:autoSpaceDN/>
              <w:bidi w:val="0"/>
              <w:adjustRightInd/>
              <w:snapToGrid/>
              <w:spacing w:line="316" w:lineRule="exac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招标解密完成后，招标人公布投标人名单、投标保证金的递交情况、质量目标、安全目标、工期及其他内容，同时宣布第二信封预计开标时间。</w:t>
            </w:r>
          </w:p>
          <w:p w14:paraId="2B3371D6">
            <w:pPr>
              <w:pStyle w:val="9"/>
              <w:keepNext w:val="0"/>
              <w:keepLines w:val="0"/>
              <w:pageBreakBefore w:val="0"/>
              <w:widowControl w:val="0"/>
              <w:kinsoku/>
              <w:wordWrap/>
              <w:overflowPunct/>
              <w:topLinePunct w:val="0"/>
              <w:autoSpaceDE/>
              <w:autoSpaceDN/>
              <w:bidi w:val="0"/>
              <w:adjustRightInd/>
              <w:snapToGrid/>
              <w:spacing w:line="316" w:lineRule="exac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(6)异议及回复</w:t>
            </w:r>
          </w:p>
          <w:p w14:paraId="058D8062">
            <w:pPr>
              <w:pStyle w:val="9"/>
              <w:keepNext w:val="0"/>
              <w:keepLines w:val="0"/>
              <w:pageBreakBefore w:val="0"/>
              <w:widowControl w:val="0"/>
              <w:kinsoku/>
              <w:wordWrap/>
              <w:overflowPunct/>
              <w:topLinePunct w:val="0"/>
              <w:autoSpaceDE/>
              <w:autoSpaceDN/>
              <w:bidi w:val="0"/>
              <w:adjustRightInd/>
              <w:snapToGrid/>
              <w:spacing w:line="316" w:lineRule="exac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投标人对投标文件提交、投标截止时间、开标程序、投标文件密封检查和开封、唱标内容、开标记录、唱标次序等有异议的，应在开标结果公布后5分钟内通过不见面开标大厅的“我有异议”按钮进行异议，招标人通过不见面开标大厅在线文字答复。</w:t>
            </w:r>
          </w:p>
          <w:p w14:paraId="64165334">
            <w:pPr>
              <w:pStyle w:val="9"/>
              <w:keepNext w:val="0"/>
              <w:keepLines w:val="0"/>
              <w:pageBreakBefore w:val="0"/>
              <w:widowControl w:val="0"/>
              <w:kinsoku/>
              <w:wordWrap/>
              <w:overflowPunct/>
              <w:topLinePunct w:val="0"/>
              <w:autoSpaceDE/>
              <w:autoSpaceDN/>
              <w:bidi w:val="0"/>
              <w:adjustRightInd/>
              <w:snapToGrid/>
              <w:spacing w:line="316" w:lineRule="exac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(7)投标人确认</w:t>
            </w:r>
          </w:p>
          <w:p w14:paraId="65C43D68">
            <w:pPr>
              <w:pStyle w:val="9"/>
              <w:keepNext w:val="0"/>
              <w:keepLines w:val="0"/>
              <w:pageBreakBefore w:val="0"/>
              <w:widowControl w:val="0"/>
              <w:kinsoku/>
              <w:wordWrap/>
              <w:overflowPunct/>
              <w:topLinePunct w:val="0"/>
              <w:autoSpaceDE/>
              <w:autoSpaceDN/>
              <w:bidi w:val="0"/>
              <w:adjustRightInd/>
              <w:snapToGrid/>
              <w:spacing w:line="316" w:lineRule="exac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开标结果公布后，投标人应在5分钟内对开标结果进行确认，未在规定时间内完成在线确认的视为自动确认。</w:t>
            </w:r>
          </w:p>
          <w:p w14:paraId="2437E6D1">
            <w:pPr>
              <w:pStyle w:val="9"/>
              <w:keepNext w:val="0"/>
              <w:keepLines w:val="0"/>
              <w:pageBreakBefore w:val="0"/>
              <w:widowControl w:val="0"/>
              <w:kinsoku/>
              <w:wordWrap/>
              <w:overflowPunct/>
              <w:topLinePunct w:val="0"/>
              <w:autoSpaceDE/>
              <w:autoSpaceDN/>
              <w:bidi w:val="0"/>
              <w:adjustRightInd/>
              <w:snapToGrid/>
              <w:spacing w:line="316" w:lineRule="exac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(8)开标结束</w:t>
            </w:r>
          </w:p>
          <w:p w14:paraId="5B2F65A3">
            <w:pPr>
              <w:pStyle w:val="9"/>
              <w:keepNext w:val="0"/>
              <w:keepLines w:val="0"/>
              <w:pageBreakBefore w:val="0"/>
              <w:widowControl w:val="0"/>
              <w:kinsoku/>
              <w:wordWrap/>
              <w:overflowPunct/>
              <w:topLinePunct w:val="0"/>
              <w:autoSpaceDE/>
              <w:autoSpaceDN/>
              <w:bidi w:val="0"/>
              <w:adjustRightInd/>
              <w:snapToGrid/>
              <w:spacing w:line="316" w:lineRule="exac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招标人宣布本次开标结束。</w:t>
            </w:r>
          </w:p>
          <w:p w14:paraId="5FEAC816">
            <w:pPr>
              <w:pStyle w:val="9"/>
              <w:keepNext w:val="0"/>
              <w:keepLines w:val="0"/>
              <w:pageBreakBefore w:val="0"/>
              <w:widowControl w:val="0"/>
              <w:kinsoku/>
              <w:wordWrap/>
              <w:overflowPunct/>
              <w:topLinePunct w:val="0"/>
              <w:autoSpaceDE/>
              <w:autoSpaceDN/>
              <w:bidi w:val="0"/>
              <w:adjustRightInd/>
              <w:snapToGrid/>
              <w:spacing w:line="316" w:lineRule="exac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5.2.2 在投标文件第一信封（商务及养护工程作业方案）完成评审前，“电子交易平台”的开标评标系统不得读取投标文件第二信封（报价文件）。</w:t>
            </w:r>
          </w:p>
          <w:p w14:paraId="71D27EDE">
            <w:pPr>
              <w:pStyle w:val="9"/>
              <w:keepNext w:val="0"/>
              <w:keepLines w:val="0"/>
              <w:pageBreakBefore w:val="0"/>
              <w:widowControl w:val="0"/>
              <w:kinsoku/>
              <w:wordWrap/>
              <w:overflowPunct/>
              <w:topLinePunct w:val="0"/>
              <w:autoSpaceDE/>
              <w:autoSpaceDN/>
              <w:bidi w:val="0"/>
              <w:adjustRightInd/>
              <w:snapToGrid/>
              <w:spacing w:line="316" w:lineRule="exac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5.2.3 招标人将按照本章第5.1款规定的时间和地点对投标文件第二信封（报价文件）进行开标：</w:t>
            </w:r>
          </w:p>
          <w:p w14:paraId="43B626A2">
            <w:pPr>
              <w:pStyle w:val="9"/>
              <w:keepNext w:val="0"/>
              <w:keepLines w:val="0"/>
              <w:pageBreakBefore w:val="0"/>
              <w:widowControl w:val="0"/>
              <w:kinsoku/>
              <w:wordWrap/>
              <w:overflowPunct/>
              <w:topLinePunct w:val="0"/>
              <w:autoSpaceDE/>
              <w:autoSpaceDN/>
              <w:bidi w:val="0"/>
              <w:adjustRightInd/>
              <w:snapToGrid/>
              <w:spacing w:line="316" w:lineRule="exac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(1)招标宣布开标纪律；宣布记录人等有关人员姓名；</w:t>
            </w:r>
          </w:p>
          <w:p w14:paraId="508717A0">
            <w:pPr>
              <w:pStyle w:val="9"/>
              <w:keepNext w:val="0"/>
              <w:keepLines w:val="0"/>
              <w:pageBreakBefore w:val="0"/>
              <w:widowControl w:val="0"/>
              <w:kinsoku/>
              <w:wordWrap/>
              <w:overflowPunct/>
              <w:topLinePunct w:val="0"/>
              <w:autoSpaceDE/>
              <w:autoSpaceDN/>
              <w:bidi w:val="0"/>
              <w:adjustRightInd/>
              <w:snapToGrid/>
              <w:spacing w:line="316" w:lineRule="exac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(2)宣布通过投标文件第一信封（商务及养护工程作业方案）评审的投标人名单；</w:t>
            </w:r>
          </w:p>
          <w:p w14:paraId="2BCA732D">
            <w:pPr>
              <w:pStyle w:val="9"/>
              <w:keepNext w:val="0"/>
              <w:keepLines w:val="0"/>
              <w:pageBreakBefore w:val="0"/>
              <w:widowControl w:val="0"/>
              <w:kinsoku/>
              <w:wordWrap/>
              <w:overflowPunct/>
              <w:topLinePunct w:val="0"/>
              <w:autoSpaceDE/>
              <w:autoSpaceDN/>
              <w:bidi w:val="0"/>
              <w:adjustRightInd/>
              <w:snapToGrid/>
              <w:spacing w:line="316" w:lineRule="exac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(3)招标人开启</w:t>
            </w:r>
          </w:p>
          <w:p w14:paraId="3D6C3F93">
            <w:pPr>
              <w:pStyle w:val="9"/>
              <w:keepNext w:val="0"/>
              <w:keepLines w:val="0"/>
              <w:pageBreakBefore w:val="0"/>
              <w:widowControl w:val="0"/>
              <w:kinsoku/>
              <w:wordWrap/>
              <w:overflowPunct/>
              <w:topLinePunct w:val="0"/>
              <w:autoSpaceDE/>
              <w:autoSpaceDN/>
              <w:bidi w:val="0"/>
              <w:adjustRightInd/>
              <w:snapToGrid/>
              <w:spacing w:line="316" w:lineRule="exac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招标人使用生成招标文件的CA 数字证书开启投标文件第二信封。</w:t>
            </w:r>
          </w:p>
          <w:p w14:paraId="48D644A6">
            <w:pPr>
              <w:pStyle w:val="9"/>
              <w:keepNext w:val="0"/>
              <w:keepLines w:val="0"/>
              <w:pageBreakBefore w:val="0"/>
              <w:widowControl w:val="0"/>
              <w:kinsoku/>
              <w:wordWrap/>
              <w:overflowPunct/>
              <w:topLinePunct w:val="0"/>
              <w:autoSpaceDE/>
              <w:autoSpaceDN/>
              <w:bidi w:val="0"/>
              <w:adjustRightInd/>
              <w:snapToGrid/>
              <w:spacing w:line="316" w:lineRule="exac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(4)抽取系数</w:t>
            </w:r>
          </w:p>
          <w:p w14:paraId="42A3E48D">
            <w:pPr>
              <w:pStyle w:val="9"/>
              <w:keepNext w:val="0"/>
              <w:keepLines w:val="0"/>
              <w:pageBreakBefore w:val="0"/>
              <w:widowControl w:val="0"/>
              <w:kinsoku/>
              <w:wordWrap/>
              <w:overflowPunct/>
              <w:topLinePunct w:val="0"/>
              <w:autoSpaceDE/>
              <w:autoSpaceDN/>
              <w:bidi w:val="0"/>
              <w:adjustRightInd/>
              <w:snapToGrid/>
              <w:spacing w:line="316" w:lineRule="exac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现场抽取调整系数、复合系数和下浮系数。</w:t>
            </w:r>
          </w:p>
          <w:p w14:paraId="04EAE176">
            <w:pPr>
              <w:pStyle w:val="9"/>
              <w:keepNext w:val="0"/>
              <w:keepLines w:val="0"/>
              <w:pageBreakBefore w:val="0"/>
              <w:widowControl w:val="0"/>
              <w:kinsoku/>
              <w:wordWrap/>
              <w:overflowPunct/>
              <w:topLinePunct w:val="0"/>
              <w:autoSpaceDE/>
              <w:autoSpaceDN/>
              <w:bidi w:val="0"/>
              <w:adjustRightInd/>
              <w:snapToGrid/>
              <w:spacing w:line="316" w:lineRule="exac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(5)公布第二信封开标结果</w:t>
            </w:r>
          </w:p>
          <w:p w14:paraId="37120D90">
            <w:pPr>
              <w:pStyle w:val="9"/>
              <w:keepNext w:val="0"/>
              <w:keepLines w:val="0"/>
              <w:pageBreakBefore w:val="0"/>
              <w:widowControl w:val="0"/>
              <w:kinsoku/>
              <w:wordWrap/>
              <w:overflowPunct/>
              <w:topLinePunct w:val="0"/>
              <w:autoSpaceDE/>
              <w:autoSpaceDN/>
              <w:bidi w:val="0"/>
              <w:adjustRightInd/>
              <w:snapToGrid/>
              <w:spacing w:line="316" w:lineRule="exac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公布所有投标文件第二信封（投标报价和工程量清单）的投标人名称、投标报价及其他内容。</w:t>
            </w:r>
          </w:p>
          <w:p w14:paraId="0C78DBC2">
            <w:pPr>
              <w:pStyle w:val="9"/>
              <w:keepNext w:val="0"/>
              <w:keepLines w:val="0"/>
              <w:pageBreakBefore w:val="0"/>
              <w:widowControl w:val="0"/>
              <w:kinsoku/>
              <w:wordWrap/>
              <w:overflowPunct/>
              <w:topLinePunct w:val="0"/>
              <w:autoSpaceDE/>
              <w:autoSpaceDN/>
              <w:bidi w:val="0"/>
              <w:adjustRightInd/>
              <w:snapToGrid/>
              <w:spacing w:line="316" w:lineRule="exac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(6)异议及回复</w:t>
            </w:r>
          </w:p>
          <w:p w14:paraId="69475D49">
            <w:pPr>
              <w:pStyle w:val="9"/>
              <w:keepNext w:val="0"/>
              <w:keepLines w:val="0"/>
              <w:pageBreakBefore w:val="0"/>
              <w:widowControl w:val="0"/>
              <w:kinsoku/>
              <w:wordWrap/>
              <w:overflowPunct/>
              <w:topLinePunct w:val="0"/>
              <w:autoSpaceDE/>
              <w:autoSpaceDN/>
              <w:bidi w:val="0"/>
              <w:adjustRightInd/>
              <w:snapToGrid/>
              <w:spacing w:line="316" w:lineRule="exac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投标人对投标文件提交、截标时间、开标程序、投标文件密封检查和开封、唱标内容、开标记录、唱标次序等有异议的，应在开标结果公布后5分钟内通过不见面开标大厅的“我有异议”按钮进行异议，招标人通过不见面开标大厅在线文字答复。</w:t>
            </w:r>
          </w:p>
          <w:p w14:paraId="0F167046">
            <w:pPr>
              <w:pStyle w:val="9"/>
              <w:keepNext w:val="0"/>
              <w:keepLines w:val="0"/>
              <w:pageBreakBefore w:val="0"/>
              <w:widowControl w:val="0"/>
              <w:kinsoku/>
              <w:wordWrap/>
              <w:overflowPunct/>
              <w:topLinePunct w:val="0"/>
              <w:autoSpaceDE/>
              <w:autoSpaceDN/>
              <w:bidi w:val="0"/>
              <w:adjustRightInd/>
              <w:snapToGrid/>
              <w:spacing w:line="316" w:lineRule="exac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(7)投标人确认</w:t>
            </w:r>
          </w:p>
          <w:p w14:paraId="7F82B7D3">
            <w:pPr>
              <w:pStyle w:val="9"/>
              <w:keepNext w:val="0"/>
              <w:keepLines w:val="0"/>
              <w:pageBreakBefore w:val="0"/>
              <w:widowControl w:val="0"/>
              <w:kinsoku/>
              <w:wordWrap/>
              <w:overflowPunct/>
              <w:topLinePunct w:val="0"/>
              <w:autoSpaceDE/>
              <w:autoSpaceDN/>
              <w:bidi w:val="0"/>
              <w:adjustRightInd/>
              <w:snapToGrid/>
              <w:spacing w:line="316" w:lineRule="exac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开标结果公布后，投标人应在5分钟内对开标结果进行确认，未在规定时间内完成在线确认的视为自动确认。</w:t>
            </w:r>
          </w:p>
          <w:p w14:paraId="14D46E49">
            <w:pPr>
              <w:pStyle w:val="9"/>
              <w:keepNext w:val="0"/>
              <w:keepLines w:val="0"/>
              <w:pageBreakBefore w:val="0"/>
              <w:widowControl w:val="0"/>
              <w:kinsoku/>
              <w:wordWrap/>
              <w:overflowPunct/>
              <w:topLinePunct w:val="0"/>
              <w:autoSpaceDE/>
              <w:autoSpaceDN/>
              <w:bidi w:val="0"/>
              <w:adjustRightInd/>
              <w:snapToGrid/>
              <w:spacing w:line="316" w:lineRule="exac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(8)开标结束</w:t>
            </w:r>
          </w:p>
          <w:p w14:paraId="0FE14774">
            <w:pPr>
              <w:pStyle w:val="9"/>
              <w:keepNext w:val="0"/>
              <w:keepLines w:val="0"/>
              <w:pageBreakBefore w:val="0"/>
              <w:widowControl w:val="0"/>
              <w:kinsoku/>
              <w:wordWrap/>
              <w:overflowPunct/>
              <w:topLinePunct w:val="0"/>
              <w:autoSpaceDE/>
              <w:autoSpaceDN/>
              <w:bidi w:val="0"/>
              <w:adjustRightInd/>
              <w:snapToGrid/>
              <w:spacing w:line="316" w:lineRule="exac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招标人宣布第二信封开标结束。</w:t>
            </w:r>
          </w:p>
          <w:p w14:paraId="36DA5D2D">
            <w:pPr>
              <w:pStyle w:val="9"/>
              <w:keepNext w:val="0"/>
              <w:keepLines w:val="0"/>
              <w:pageBreakBefore w:val="0"/>
              <w:widowControl w:val="0"/>
              <w:kinsoku/>
              <w:wordWrap/>
              <w:overflowPunct/>
              <w:topLinePunct w:val="0"/>
              <w:autoSpaceDE/>
              <w:autoSpaceDN/>
              <w:bidi w:val="0"/>
              <w:adjustRightInd/>
              <w:snapToGrid/>
              <w:spacing w:line="316" w:lineRule="exac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5.2.4 开标特别说明事项</w:t>
            </w:r>
          </w:p>
          <w:p w14:paraId="39FC5B83">
            <w:pPr>
              <w:pStyle w:val="9"/>
              <w:keepNext w:val="0"/>
              <w:keepLines w:val="0"/>
              <w:pageBreakBefore w:val="0"/>
              <w:widowControl w:val="0"/>
              <w:kinsoku/>
              <w:wordWrap/>
              <w:overflowPunct/>
              <w:topLinePunct w:val="0"/>
              <w:autoSpaceDE/>
              <w:autoSpaceDN/>
              <w:bidi w:val="0"/>
              <w:adjustRightInd/>
              <w:snapToGrid/>
              <w:spacing w:line="316" w:lineRule="exac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 因投标人原因造成其电子投标文件未解密的，视为撤销其投标文件；因投标人之外的原因造成电子投标文件未解密的，视为撤回其投标文件；</w:t>
            </w:r>
          </w:p>
          <w:p w14:paraId="39F09EAA">
            <w:pPr>
              <w:pStyle w:val="9"/>
              <w:keepNext w:val="0"/>
              <w:keepLines w:val="0"/>
              <w:pageBreakBefore w:val="0"/>
              <w:widowControl w:val="0"/>
              <w:kinsoku/>
              <w:wordWrap/>
              <w:overflowPunct/>
              <w:topLinePunct w:val="0"/>
              <w:autoSpaceDE/>
              <w:autoSpaceDN/>
              <w:bidi w:val="0"/>
              <w:adjustRightInd/>
              <w:snapToGrid/>
              <w:spacing w:line="316" w:lineRule="exac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 部分投标人的电子投标文件无法解密的，其他投标文件的开标可以继续进行；</w:t>
            </w:r>
          </w:p>
          <w:p w14:paraId="4D8A81D1">
            <w:pPr>
              <w:pStyle w:val="9"/>
              <w:keepNext w:val="0"/>
              <w:keepLines w:val="0"/>
              <w:pageBreakBefore w:val="0"/>
              <w:widowControl w:val="0"/>
              <w:kinsoku/>
              <w:wordWrap/>
              <w:overflowPunct/>
              <w:topLinePunct w:val="0"/>
              <w:autoSpaceDE/>
              <w:autoSpaceDN/>
              <w:bidi w:val="0"/>
              <w:adjustRightInd/>
              <w:snapToGrid/>
              <w:spacing w:line="316" w:lineRule="exac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(3)投标人必须使用生成电子投标文件的CA 数字证书解密电子投标文件；</w:t>
            </w:r>
          </w:p>
          <w:p w14:paraId="69E739E9">
            <w:pPr>
              <w:pStyle w:val="9"/>
              <w:keepNext w:val="0"/>
              <w:keepLines w:val="0"/>
              <w:pageBreakBefore w:val="0"/>
              <w:widowControl w:val="0"/>
              <w:kinsoku/>
              <w:wordWrap/>
              <w:overflowPunct/>
              <w:topLinePunct w:val="0"/>
              <w:autoSpaceDE/>
              <w:autoSpaceDN/>
              <w:bidi w:val="0"/>
              <w:adjustRightInd/>
              <w:snapToGrid/>
              <w:spacing w:line="316" w:lineRule="exac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(4) 未在规定时间内完成投标文件解密，造成投标失败的，投标人自行负责。</w:t>
            </w:r>
          </w:p>
          <w:p w14:paraId="523D63A3">
            <w:pPr>
              <w:pStyle w:val="9"/>
              <w:keepNext w:val="0"/>
              <w:keepLines w:val="0"/>
              <w:pageBreakBefore w:val="0"/>
              <w:widowControl w:val="0"/>
              <w:kinsoku/>
              <w:wordWrap/>
              <w:overflowPunct/>
              <w:topLinePunct w:val="0"/>
              <w:autoSpaceDE/>
              <w:autoSpaceDN/>
              <w:bidi w:val="0"/>
              <w:adjustRightInd/>
              <w:snapToGrid/>
              <w:spacing w:line="316" w:lineRule="exac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5.2.5 特殊情况的处理</w:t>
            </w:r>
          </w:p>
          <w:p w14:paraId="08E550DE">
            <w:pPr>
              <w:pStyle w:val="9"/>
              <w:keepNext w:val="0"/>
              <w:keepLines w:val="0"/>
              <w:pageBreakBefore w:val="0"/>
              <w:widowControl w:val="0"/>
              <w:kinsoku/>
              <w:wordWrap/>
              <w:overflowPunct/>
              <w:topLinePunct w:val="0"/>
              <w:autoSpaceDE/>
              <w:autoSpaceDN/>
              <w:bidi w:val="0"/>
              <w:adjustRightInd/>
              <w:snapToGrid/>
              <w:spacing w:line="316" w:lineRule="exac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如遇网络故障、网络安全问题等意外情况，所有投标人均无法解密，或因招标人CA锁原因导致招标人解密环节出现问题的，招标人向监管部门申请并征得同意后可延长开标时间或推迟时间重新开标，具体安排另行通知。</w:t>
            </w:r>
          </w:p>
          <w:p w14:paraId="28408186">
            <w:pPr>
              <w:pStyle w:val="9"/>
              <w:keepNext w:val="0"/>
              <w:keepLines w:val="0"/>
              <w:pageBreakBefore w:val="0"/>
              <w:widowControl w:val="0"/>
              <w:kinsoku/>
              <w:wordWrap/>
              <w:overflowPunct/>
              <w:topLinePunct w:val="0"/>
              <w:autoSpaceDE/>
              <w:autoSpaceDN/>
              <w:bidi w:val="0"/>
              <w:adjustRightInd/>
              <w:snapToGrid/>
              <w:spacing w:line="316" w:lineRule="exac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(2)因电子交易系统故障、投标人数量过多等非投标人原因，导致投标文件不能在规定时间内完成解密的，招标人可向监管部门申请并征得同意后延长解密时间，并告知在线的投标人。</w:t>
            </w:r>
          </w:p>
          <w:p w14:paraId="76F57A41">
            <w:pPr>
              <w:pStyle w:val="9"/>
              <w:keepNext w:val="0"/>
              <w:keepLines w:val="0"/>
              <w:pageBreakBefore w:val="0"/>
              <w:widowControl w:val="0"/>
              <w:kinsoku/>
              <w:wordWrap/>
              <w:overflowPunct/>
              <w:topLinePunct w:val="0"/>
              <w:autoSpaceDE/>
              <w:autoSpaceDN/>
              <w:bidi w:val="0"/>
              <w:adjustRightInd/>
              <w:snapToGrid/>
              <w:spacing w:line="316" w:lineRule="exac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(3)投标人电脑终端的硬件设备和软件系统配置必须符合不见面开标技术要求并运行正常，否则投标人自行承担不利后果。</w:t>
            </w:r>
          </w:p>
          <w:p w14:paraId="6286334B">
            <w:pPr>
              <w:pStyle w:val="9"/>
              <w:keepNext w:val="0"/>
              <w:keepLines w:val="0"/>
              <w:pageBreakBefore w:val="0"/>
              <w:widowControl w:val="0"/>
              <w:kinsoku/>
              <w:wordWrap/>
              <w:overflowPunct/>
              <w:topLinePunct w:val="0"/>
              <w:autoSpaceDE/>
              <w:autoSpaceDN/>
              <w:bidi w:val="0"/>
              <w:adjustRightInd/>
              <w:snapToGrid/>
              <w:spacing w:line="316" w:lineRule="exac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5.2.6 不见面开标软硬件要求</w:t>
            </w:r>
          </w:p>
          <w:p w14:paraId="6B25740D">
            <w:pPr>
              <w:pStyle w:val="9"/>
              <w:keepNext w:val="0"/>
              <w:keepLines w:val="0"/>
              <w:pageBreakBefore w:val="0"/>
              <w:widowControl w:val="0"/>
              <w:kinsoku/>
              <w:wordWrap/>
              <w:overflowPunct/>
              <w:topLinePunct w:val="0"/>
              <w:autoSpaceDE/>
              <w:autoSpaceDN/>
              <w:bidi w:val="0"/>
              <w:adjustRightInd/>
              <w:snapToGrid/>
              <w:spacing w:line="316" w:lineRule="exac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(1)建议电脑配置：4G以上内存，Microsoft Windows7以上操作系统，正版office软件，耳机。</w:t>
            </w:r>
          </w:p>
          <w:p w14:paraId="125A9401">
            <w:pPr>
              <w:pStyle w:val="9"/>
              <w:keepNext w:val="0"/>
              <w:keepLines w:val="0"/>
              <w:pageBreakBefore w:val="0"/>
              <w:widowControl w:val="0"/>
              <w:kinsoku/>
              <w:wordWrap/>
              <w:overflowPunct/>
              <w:topLinePunct w:val="0"/>
              <w:autoSpaceDE/>
              <w:autoSpaceDN/>
              <w:bidi w:val="0"/>
              <w:adjustRightInd/>
              <w:snapToGrid/>
              <w:spacing w:line="316" w:lineRule="exac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(2)50M 以上网络带宽连接。</w:t>
            </w:r>
          </w:p>
          <w:p w14:paraId="0DF20500">
            <w:pPr>
              <w:pStyle w:val="9"/>
              <w:keepNext w:val="0"/>
              <w:keepLines w:val="0"/>
              <w:pageBreakBefore w:val="0"/>
              <w:widowControl w:val="0"/>
              <w:kinsoku/>
              <w:wordWrap/>
              <w:overflowPunct/>
              <w:topLinePunct w:val="0"/>
              <w:autoSpaceDE/>
              <w:autoSpaceDN/>
              <w:bidi w:val="0"/>
              <w:adjustRightInd/>
              <w:snapToGrid/>
              <w:spacing w:line="316" w:lineRule="exac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(3)安装新点驱动（浙江省版）。相关驱动可在不见面开标大厅登录界面的驱动下载页面下载。</w:t>
            </w:r>
          </w:p>
          <w:p w14:paraId="5C2E53EA">
            <w:pPr>
              <w:pStyle w:val="9"/>
              <w:keepNext w:val="0"/>
              <w:keepLines w:val="0"/>
              <w:pageBreakBefore w:val="0"/>
              <w:widowControl w:val="0"/>
              <w:kinsoku/>
              <w:wordWrap/>
              <w:overflowPunct/>
              <w:topLinePunct w:val="0"/>
              <w:autoSpaceDE/>
              <w:autoSpaceDN/>
              <w:bidi w:val="0"/>
              <w:adjustRightInd/>
              <w:snapToGrid/>
              <w:spacing w:line="316" w:lineRule="exac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(4)使用MicrosoftInternetExplorer11（IE11）及以上浏览器，加入可信任站点，添加兼容性视图设置，修改Activex控件和插件设置，关闭弹出窗口拦截。</w:t>
            </w:r>
          </w:p>
        </w:tc>
      </w:tr>
      <w:tr w14:paraId="25EC4F9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01" w:type="dxa"/>
            <w:tcBorders>
              <w:tl2br w:val="nil"/>
              <w:tr2bl w:val="nil"/>
            </w:tcBorders>
            <w:noWrap w:val="0"/>
            <w:vAlign w:val="center"/>
          </w:tcPr>
          <w:p w14:paraId="0CD6620F">
            <w:pPr>
              <w:pStyle w:val="9"/>
              <w:jc w:val="center"/>
              <w:rPr>
                <w:rFonts w:hint="eastAsia" w:ascii="宋体" w:hAnsi="宋体"/>
                <w:color w:val="auto"/>
                <w:szCs w:val="21"/>
                <w:highlight w:val="none"/>
              </w:rPr>
            </w:pPr>
            <w:r>
              <w:rPr>
                <w:rFonts w:hint="eastAsia" w:ascii="宋体" w:hAnsi="宋体"/>
                <w:color w:val="auto"/>
                <w:szCs w:val="21"/>
                <w:highlight w:val="none"/>
              </w:rPr>
              <w:t>6.1.1</w:t>
            </w:r>
          </w:p>
        </w:tc>
        <w:tc>
          <w:tcPr>
            <w:tcW w:w="1701" w:type="dxa"/>
            <w:tcBorders>
              <w:tl2br w:val="nil"/>
              <w:tr2bl w:val="nil"/>
            </w:tcBorders>
            <w:noWrap w:val="0"/>
            <w:vAlign w:val="center"/>
          </w:tcPr>
          <w:p w14:paraId="75B12945">
            <w:pPr>
              <w:pStyle w:val="9"/>
              <w:keepNext w:val="0"/>
              <w:keepLines w:val="0"/>
              <w:pageBreakBefore w:val="0"/>
              <w:widowControl w:val="0"/>
              <w:kinsoku/>
              <w:wordWrap/>
              <w:overflowPunct/>
              <w:topLinePunct w:val="0"/>
              <w:autoSpaceDE/>
              <w:autoSpaceDN/>
              <w:bidi w:val="0"/>
              <w:spacing w:line="290" w:lineRule="exact"/>
              <w:jc w:val="center"/>
              <w:textAlignment w:val="auto"/>
              <w:rPr>
                <w:rFonts w:hint="eastAsia" w:ascii="宋体" w:hAnsi="宋体"/>
                <w:color w:val="auto"/>
                <w:szCs w:val="21"/>
                <w:highlight w:val="none"/>
              </w:rPr>
            </w:pPr>
            <w:r>
              <w:rPr>
                <w:rFonts w:hint="eastAsia" w:ascii="宋体" w:hAnsi="宋体"/>
                <w:color w:val="auto"/>
                <w:szCs w:val="21"/>
                <w:highlight w:val="none"/>
              </w:rPr>
              <w:t>评标委员会的</w:t>
            </w:r>
          </w:p>
          <w:p w14:paraId="078DBED4">
            <w:pPr>
              <w:pStyle w:val="9"/>
              <w:keepNext w:val="0"/>
              <w:keepLines w:val="0"/>
              <w:pageBreakBefore w:val="0"/>
              <w:widowControl w:val="0"/>
              <w:kinsoku/>
              <w:wordWrap/>
              <w:overflowPunct/>
              <w:topLinePunct w:val="0"/>
              <w:autoSpaceDE/>
              <w:autoSpaceDN/>
              <w:bidi w:val="0"/>
              <w:spacing w:line="290" w:lineRule="exact"/>
              <w:jc w:val="center"/>
              <w:textAlignment w:val="auto"/>
              <w:rPr>
                <w:rFonts w:hint="eastAsia" w:ascii="宋体" w:hAnsi="宋体" w:cs="宋体"/>
                <w:color w:val="auto"/>
                <w:kern w:val="0"/>
                <w:szCs w:val="21"/>
                <w:highlight w:val="none"/>
                <w:lang w:bidi="ar"/>
              </w:rPr>
            </w:pPr>
            <w:r>
              <w:rPr>
                <w:rFonts w:hint="eastAsia" w:ascii="宋体" w:hAnsi="宋体"/>
                <w:color w:val="auto"/>
                <w:szCs w:val="21"/>
                <w:highlight w:val="none"/>
              </w:rPr>
              <w:t>组建</w:t>
            </w:r>
          </w:p>
        </w:tc>
        <w:tc>
          <w:tcPr>
            <w:tcW w:w="6449" w:type="dxa"/>
            <w:tcBorders>
              <w:tl2br w:val="nil"/>
              <w:tr2bl w:val="nil"/>
            </w:tcBorders>
            <w:noWrap w:val="0"/>
            <w:vAlign w:val="center"/>
          </w:tcPr>
          <w:p w14:paraId="262B3E1B">
            <w:pPr>
              <w:keepNext w:val="0"/>
              <w:keepLines w:val="0"/>
              <w:pageBreakBefore w:val="0"/>
              <w:widowControl w:val="0"/>
              <w:numPr>
                <w:ilvl w:val="0"/>
                <w:numId w:val="0"/>
              </w:numPr>
              <w:kinsoku/>
              <w:wordWrap/>
              <w:overflowPunct/>
              <w:topLinePunct w:val="0"/>
              <w:autoSpaceDE/>
              <w:autoSpaceDN/>
              <w:bidi w:val="0"/>
              <w:adjustRightInd/>
              <w:snapToGrid/>
              <w:spacing w:line="340" w:lineRule="exact"/>
              <w:textAlignment w:val="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评标委员会构成：</w:t>
            </w:r>
            <w:r>
              <w:rPr>
                <w:rFonts w:hint="eastAsia" w:cs="Times New Roman"/>
                <w:color w:val="auto"/>
                <w:highlight w:val="none"/>
                <w:lang w:val="en-US" w:eastAsia="zh-CN"/>
              </w:rPr>
              <w:t>5</w:t>
            </w:r>
            <w:r>
              <w:rPr>
                <w:rFonts w:hint="eastAsia" w:ascii="Times New Roman" w:hAnsi="Times New Roman" w:eastAsia="宋体" w:cs="Times New Roman"/>
                <w:color w:val="auto"/>
                <w:highlight w:val="none"/>
                <w:lang w:val="en-US" w:eastAsia="zh-CN"/>
              </w:rPr>
              <w:t>人，其中招标人代表</w:t>
            </w:r>
            <w:r>
              <w:rPr>
                <w:rFonts w:hint="eastAsia" w:cs="Times New Roman"/>
                <w:color w:val="auto"/>
                <w:highlight w:val="none"/>
                <w:lang w:val="en-US" w:eastAsia="zh-CN"/>
              </w:rPr>
              <w:t>1</w:t>
            </w:r>
            <w:r>
              <w:rPr>
                <w:rFonts w:hint="eastAsia" w:ascii="Times New Roman" w:hAnsi="Times New Roman" w:eastAsia="宋体" w:cs="Times New Roman"/>
                <w:color w:val="auto"/>
                <w:highlight w:val="none"/>
                <w:lang w:val="en-US" w:eastAsia="zh-CN"/>
              </w:rPr>
              <w:t>人，专家</w:t>
            </w:r>
            <w:r>
              <w:rPr>
                <w:rFonts w:hint="eastAsia" w:cs="Times New Roman"/>
                <w:color w:val="auto"/>
                <w:highlight w:val="none"/>
                <w:lang w:val="en-US" w:eastAsia="zh-CN"/>
              </w:rPr>
              <w:t>4</w:t>
            </w:r>
            <w:r>
              <w:rPr>
                <w:rFonts w:hint="eastAsia" w:ascii="Times New Roman" w:hAnsi="Times New Roman" w:eastAsia="宋体" w:cs="Times New Roman"/>
                <w:color w:val="auto"/>
                <w:highlight w:val="none"/>
                <w:lang w:val="en-US" w:eastAsia="zh-CN"/>
              </w:rPr>
              <w:t>人。</w:t>
            </w:r>
          </w:p>
          <w:p w14:paraId="1A7659EB">
            <w:pPr>
              <w:keepNext w:val="0"/>
              <w:keepLines w:val="0"/>
              <w:pageBreakBefore w:val="0"/>
              <w:widowControl w:val="0"/>
              <w:numPr>
                <w:ilvl w:val="0"/>
                <w:numId w:val="0"/>
              </w:numPr>
              <w:kinsoku/>
              <w:wordWrap/>
              <w:overflowPunct/>
              <w:topLinePunct w:val="0"/>
              <w:autoSpaceDE/>
              <w:autoSpaceDN/>
              <w:bidi w:val="0"/>
              <w:adjustRightInd/>
              <w:snapToGrid/>
              <w:spacing w:line="340" w:lineRule="exact"/>
              <w:textAlignment w:val="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招标人代表确定方式：按1:2比例规定随机抽取。</w:t>
            </w:r>
          </w:p>
          <w:p w14:paraId="06749AE5">
            <w:pPr>
              <w:keepNext w:val="0"/>
              <w:keepLines w:val="0"/>
              <w:pageBreakBefore w:val="0"/>
              <w:widowControl w:val="0"/>
              <w:numPr>
                <w:ilvl w:val="0"/>
                <w:numId w:val="0"/>
              </w:numPr>
              <w:kinsoku/>
              <w:wordWrap/>
              <w:overflowPunct/>
              <w:topLinePunct w:val="0"/>
              <w:autoSpaceDE/>
              <w:autoSpaceDN/>
              <w:bidi w:val="0"/>
              <w:adjustRightInd/>
              <w:snapToGrid/>
              <w:spacing w:line="340" w:lineRule="exact"/>
              <w:textAlignment w:val="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评标专家确定方式：从浙江省综合性评标专家库公路专业中随机抽取。开标后发现有与招标人存在隶属关系的单位（企业）参加投标的，招标人不得派代表参加评标委员会。最终的评标委员会人数不得少于 5 人。</w:t>
            </w:r>
          </w:p>
        </w:tc>
      </w:tr>
      <w:tr w14:paraId="7041FDE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01" w:type="dxa"/>
            <w:tcBorders>
              <w:tl2br w:val="nil"/>
              <w:tr2bl w:val="nil"/>
            </w:tcBorders>
            <w:noWrap w:val="0"/>
            <w:vAlign w:val="center"/>
          </w:tcPr>
          <w:p w14:paraId="0E61FF54">
            <w:pPr>
              <w:pStyle w:val="9"/>
              <w:jc w:val="center"/>
              <w:rPr>
                <w:rFonts w:hint="default" w:ascii="宋体" w:hAnsi="宋体" w:eastAsia="宋体"/>
                <w:b w:val="0"/>
                <w:bCs w:val="0"/>
                <w:color w:val="auto"/>
                <w:szCs w:val="21"/>
                <w:highlight w:val="none"/>
                <w:lang w:val="en-US" w:eastAsia="zh-CN"/>
              </w:rPr>
            </w:pPr>
            <w:r>
              <w:rPr>
                <w:rFonts w:hint="eastAsia" w:ascii="宋体" w:hAnsi="宋体" w:eastAsia="宋体"/>
                <w:b w:val="0"/>
                <w:bCs w:val="0"/>
                <w:color w:val="auto"/>
                <w:szCs w:val="21"/>
                <w:highlight w:val="none"/>
                <w:lang w:val="en-US" w:eastAsia="zh-CN"/>
              </w:rPr>
              <w:t>6.3.2</w:t>
            </w:r>
          </w:p>
        </w:tc>
        <w:tc>
          <w:tcPr>
            <w:tcW w:w="1701" w:type="dxa"/>
            <w:tcBorders>
              <w:tl2br w:val="nil"/>
              <w:tr2bl w:val="nil"/>
            </w:tcBorders>
            <w:noWrap w:val="0"/>
            <w:vAlign w:val="center"/>
          </w:tcPr>
          <w:p w14:paraId="4BEAAC6C">
            <w:pPr>
              <w:pStyle w:val="9"/>
              <w:keepNext w:val="0"/>
              <w:keepLines w:val="0"/>
              <w:pageBreakBefore w:val="0"/>
              <w:widowControl w:val="0"/>
              <w:kinsoku/>
              <w:wordWrap/>
              <w:overflowPunct/>
              <w:topLinePunct w:val="0"/>
              <w:autoSpaceDE/>
              <w:autoSpaceDN/>
              <w:bidi w:val="0"/>
              <w:spacing w:line="290" w:lineRule="exact"/>
              <w:jc w:val="center"/>
              <w:textAlignment w:val="auto"/>
              <w:rPr>
                <w:rFonts w:hint="eastAsia" w:ascii="宋体" w:hAnsi="宋体" w:eastAsia="Times New Roman" w:cs="Times New Roman"/>
                <w:b w:val="0"/>
                <w:bCs w:val="0"/>
                <w:color w:val="auto"/>
                <w:szCs w:val="21"/>
                <w:highlight w:val="none"/>
                <w:lang w:val="en-US" w:eastAsia="zh-CN"/>
              </w:rPr>
            </w:pPr>
            <w:r>
              <w:rPr>
                <w:rFonts w:hint="eastAsia" w:ascii="宋体" w:hAnsi="宋体" w:eastAsia="Times New Roman" w:cs="Times New Roman"/>
                <w:b w:val="0"/>
                <w:bCs w:val="0"/>
                <w:color w:val="auto"/>
                <w:szCs w:val="21"/>
                <w:highlight w:val="none"/>
              </w:rPr>
              <w:t>评标委员会</w:t>
            </w:r>
            <w:r>
              <w:rPr>
                <w:rFonts w:hint="eastAsia" w:ascii="宋体" w:hAnsi="宋体" w:eastAsia="Times New Roman" w:cs="Times New Roman"/>
                <w:b w:val="0"/>
                <w:bCs w:val="0"/>
                <w:color w:val="auto"/>
                <w:szCs w:val="21"/>
                <w:highlight w:val="none"/>
                <w:lang w:val="en-US" w:eastAsia="zh-CN"/>
              </w:rPr>
              <w:t>推荐中标候选人的</w:t>
            </w:r>
          </w:p>
          <w:p w14:paraId="117751C6">
            <w:pPr>
              <w:pStyle w:val="9"/>
              <w:keepNext w:val="0"/>
              <w:keepLines w:val="0"/>
              <w:pageBreakBefore w:val="0"/>
              <w:widowControl w:val="0"/>
              <w:kinsoku/>
              <w:wordWrap/>
              <w:overflowPunct/>
              <w:topLinePunct w:val="0"/>
              <w:autoSpaceDE/>
              <w:autoSpaceDN/>
              <w:bidi w:val="0"/>
              <w:spacing w:line="290" w:lineRule="exact"/>
              <w:jc w:val="center"/>
              <w:textAlignment w:val="auto"/>
              <w:rPr>
                <w:rFonts w:hint="default" w:ascii="宋体" w:hAnsi="宋体" w:eastAsia="Times New Roman" w:cs="Times New Roman"/>
                <w:b w:val="0"/>
                <w:bCs w:val="0"/>
                <w:color w:val="auto"/>
                <w:szCs w:val="21"/>
                <w:highlight w:val="none"/>
                <w:lang w:val="en-US" w:eastAsia="zh-CN"/>
              </w:rPr>
            </w:pPr>
            <w:r>
              <w:rPr>
                <w:rFonts w:hint="eastAsia" w:ascii="宋体" w:hAnsi="宋体" w:eastAsia="Times New Roman" w:cs="Times New Roman"/>
                <w:b w:val="0"/>
                <w:bCs w:val="0"/>
                <w:color w:val="auto"/>
                <w:szCs w:val="21"/>
                <w:highlight w:val="none"/>
                <w:lang w:val="en-US" w:eastAsia="zh-CN"/>
              </w:rPr>
              <w:t>人数</w:t>
            </w:r>
          </w:p>
        </w:tc>
        <w:tc>
          <w:tcPr>
            <w:tcW w:w="6449" w:type="dxa"/>
            <w:tcBorders>
              <w:tl2br w:val="nil"/>
              <w:tr2bl w:val="nil"/>
            </w:tcBorders>
            <w:noWrap w:val="0"/>
            <w:vAlign w:val="center"/>
          </w:tcPr>
          <w:p w14:paraId="5CDF7455">
            <w:pPr>
              <w:keepNext w:val="0"/>
              <w:keepLines w:val="0"/>
              <w:pageBreakBefore w:val="0"/>
              <w:kinsoku/>
              <w:wordWrap/>
              <w:overflowPunct/>
              <w:topLinePunct w:val="0"/>
              <w:bidi w:val="0"/>
              <w:adjustRightInd/>
              <w:snapToGrid/>
              <w:spacing w:line="300" w:lineRule="exact"/>
              <w:textAlignment w:val="auto"/>
              <w:rPr>
                <w:rFonts w:hint="eastAsia" w:ascii="宋体" w:hAnsi="宋体"/>
                <w:b w:val="0"/>
                <w:bCs w:val="0"/>
                <w:color w:val="auto"/>
                <w:szCs w:val="21"/>
                <w:highlight w:val="none"/>
              </w:rPr>
            </w:pPr>
            <w:r>
              <w:rPr>
                <w:b w:val="0"/>
                <w:bCs w:val="0"/>
                <w:color w:val="auto"/>
                <w:szCs w:val="21"/>
                <w:highlight w:val="none"/>
              </w:rPr>
              <w:t>推荐的中标候选人的人数为</w:t>
            </w:r>
            <w:r>
              <w:rPr>
                <w:rFonts w:hint="eastAsia" w:ascii="Times New Roman" w:eastAsia="宋体"/>
                <w:b w:val="0"/>
                <w:bCs w:val="0"/>
                <w:color w:val="auto"/>
                <w:szCs w:val="21"/>
                <w:highlight w:val="none"/>
                <w:u w:val="single"/>
                <w:lang w:val="en-US" w:eastAsia="zh-CN"/>
              </w:rPr>
              <w:t>1</w:t>
            </w:r>
            <w:r>
              <w:rPr>
                <w:b w:val="0"/>
                <w:bCs w:val="0"/>
                <w:color w:val="auto"/>
                <w:szCs w:val="21"/>
                <w:highlight w:val="none"/>
              </w:rPr>
              <w:t>人</w:t>
            </w:r>
          </w:p>
        </w:tc>
      </w:tr>
      <w:tr w14:paraId="070CD17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01" w:type="dxa"/>
            <w:tcBorders>
              <w:tl2br w:val="nil"/>
              <w:tr2bl w:val="nil"/>
            </w:tcBorders>
            <w:noWrap w:val="0"/>
            <w:vAlign w:val="center"/>
          </w:tcPr>
          <w:p w14:paraId="7C6C9347">
            <w:pPr>
              <w:pStyle w:val="9"/>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7.1</w:t>
            </w:r>
          </w:p>
        </w:tc>
        <w:tc>
          <w:tcPr>
            <w:tcW w:w="1701" w:type="dxa"/>
            <w:tcBorders>
              <w:tl2br w:val="nil"/>
              <w:tr2bl w:val="nil"/>
            </w:tcBorders>
            <w:noWrap w:val="0"/>
            <w:vAlign w:val="center"/>
          </w:tcPr>
          <w:p w14:paraId="26E35322">
            <w:pPr>
              <w:pStyle w:val="9"/>
              <w:keepNext w:val="0"/>
              <w:keepLines w:val="0"/>
              <w:pageBreakBefore w:val="0"/>
              <w:widowControl w:val="0"/>
              <w:kinsoku/>
              <w:wordWrap/>
              <w:overflowPunct/>
              <w:topLinePunct w:val="0"/>
              <w:autoSpaceDE/>
              <w:autoSpaceDN/>
              <w:bidi w:val="0"/>
              <w:spacing w:line="290" w:lineRule="exact"/>
              <w:jc w:val="center"/>
              <w:textAlignment w:val="auto"/>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中标候选人公示媒介、期限及</w:t>
            </w:r>
          </w:p>
          <w:p w14:paraId="3DA6CFCB">
            <w:pPr>
              <w:pStyle w:val="9"/>
              <w:keepNext w:val="0"/>
              <w:keepLines w:val="0"/>
              <w:pageBreakBefore w:val="0"/>
              <w:widowControl w:val="0"/>
              <w:kinsoku/>
              <w:wordWrap/>
              <w:overflowPunct/>
              <w:topLinePunct w:val="0"/>
              <w:autoSpaceDE/>
              <w:autoSpaceDN/>
              <w:bidi w:val="0"/>
              <w:spacing w:line="290" w:lineRule="exact"/>
              <w:jc w:val="center"/>
              <w:textAlignment w:val="auto"/>
              <w:rPr>
                <w:rFonts w:hint="eastAsia" w:ascii="宋体" w:hAnsi="宋体" w:eastAsia="Times New Roman" w:cs="Times New Roman"/>
                <w:color w:val="auto"/>
                <w:szCs w:val="21"/>
                <w:highlight w:val="none"/>
              </w:rPr>
            </w:pPr>
            <w:r>
              <w:rPr>
                <w:rFonts w:hint="eastAsia" w:ascii="宋体" w:hAnsi="宋体" w:eastAsia="Times New Roman" w:cs="Times New Roman"/>
                <w:color w:val="auto"/>
                <w:szCs w:val="21"/>
                <w:highlight w:val="none"/>
                <w:lang w:val="en-US" w:eastAsia="zh-CN"/>
              </w:rPr>
              <w:t>内容</w:t>
            </w:r>
          </w:p>
        </w:tc>
        <w:tc>
          <w:tcPr>
            <w:tcW w:w="6449" w:type="dxa"/>
            <w:tcBorders>
              <w:tl2br w:val="nil"/>
              <w:tr2bl w:val="nil"/>
            </w:tcBorders>
            <w:noWrap w:val="0"/>
            <w:vAlign w:val="center"/>
          </w:tcPr>
          <w:p w14:paraId="14EF7B69">
            <w:pPr>
              <w:keepNext w:val="0"/>
              <w:keepLines w:val="0"/>
              <w:pageBreakBefore w:val="0"/>
              <w:widowControl w:val="0"/>
              <w:numPr>
                <w:ilvl w:val="0"/>
                <w:numId w:val="0"/>
              </w:numPr>
              <w:kinsoku/>
              <w:wordWrap/>
              <w:overflowPunct/>
              <w:topLinePunct w:val="0"/>
              <w:autoSpaceDE/>
              <w:autoSpaceDN/>
              <w:bidi w:val="0"/>
              <w:adjustRightInd/>
              <w:snapToGrid/>
              <w:spacing w:line="340" w:lineRule="exact"/>
              <w:textAlignment w:val="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公示媒介：</w:t>
            </w:r>
            <w:r>
              <w:rPr>
                <w:rFonts w:hint="eastAsia" w:cs="Times New Roman"/>
                <w:color w:val="auto"/>
                <w:highlight w:val="none"/>
                <w:lang w:val="en-US" w:eastAsia="zh-CN"/>
              </w:rPr>
              <w:t>电子</w:t>
            </w:r>
            <w:r>
              <w:rPr>
                <w:rFonts w:hint="eastAsia" w:ascii="宋体" w:hAnsi="宋体" w:eastAsia="宋体" w:cs="Times New Roman"/>
                <w:color w:val="auto"/>
                <w:kern w:val="2"/>
                <w:sz w:val="21"/>
                <w:szCs w:val="21"/>
                <w:highlight w:val="none"/>
                <w:lang w:val="en-US" w:eastAsia="zh-CN" w:bidi="ar-SA"/>
              </w:rPr>
              <w:t>交易平台</w:t>
            </w:r>
            <w:r>
              <w:rPr>
                <w:rFonts w:hint="eastAsia" w:ascii="Times New Roman" w:hAnsi="Times New Roman" w:eastAsia="宋体" w:cs="Times New Roman"/>
                <w:color w:val="auto"/>
                <w:highlight w:val="none"/>
                <w:lang w:val="en-US" w:eastAsia="zh-CN"/>
              </w:rPr>
              <w:t>。</w:t>
            </w:r>
          </w:p>
          <w:p w14:paraId="51C32166">
            <w:pPr>
              <w:keepNext w:val="0"/>
              <w:keepLines w:val="0"/>
              <w:pageBreakBefore w:val="0"/>
              <w:widowControl w:val="0"/>
              <w:numPr>
                <w:ilvl w:val="0"/>
                <w:numId w:val="0"/>
              </w:numPr>
              <w:kinsoku/>
              <w:wordWrap/>
              <w:overflowPunct/>
              <w:topLinePunct w:val="0"/>
              <w:autoSpaceDE/>
              <w:autoSpaceDN/>
              <w:bidi w:val="0"/>
              <w:adjustRightInd/>
              <w:snapToGrid/>
              <w:spacing w:line="340" w:lineRule="exact"/>
              <w:textAlignment w:val="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公示期限：不少于 3 日。如遇国家法定休假日，应顺延至法定休假日后第一个工作日。 </w:t>
            </w:r>
          </w:p>
          <w:p w14:paraId="19789C7E">
            <w:pPr>
              <w:keepNext w:val="0"/>
              <w:keepLines w:val="0"/>
              <w:pageBreakBefore w:val="0"/>
              <w:widowControl w:val="0"/>
              <w:numPr>
                <w:ilvl w:val="0"/>
                <w:numId w:val="0"/>
              </w:numPr>
              <w:kinsoku/>
              <w:wordWrap/>
              <w:overflowPunct/>
              <w:topLinePunct w:val="0"/>
              <w:autoSpaceDE/>
              <w:autoSpaceDN/>
              <w:bidi w:val="0"/>
              <w:adjustRightInd/>
              <w:snapToGrid/>
              <w:spacing w:line="340" w:lineRule="exact"/>
              <w:textAlignment w:val="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公示内容： </w:t>
            </w:r>
          </w:p>
          <w:p w14:paraId="31BBF65E">
            <w:pPr>
              <w:keepNext w:val="0"/>
              <w:keepLines w:val="0"/>
              <w:pageBreakBefore w:val="0"/>
              <w:widowControl w:val="0"/>
              <w:numPr>
                <w:ilvl w:val="0"/>
                <w:numId w:val="0"/>
              </w:numPr>
              <w:kinsoku/>
              <w:wordWrap/>
              <w:overflowPunct/>
              <w:topLinePunct w:val="0"/>
              <w:autoSpaceDE/>
              <w:autoSpaceDN/>
              <w:bidi w:val="0"/>
              <w:adjustRightInd/>
              <w:snapToGrid/>
              <w:spacing w:line="340" w:lineRule="exact"/>
              <w:textAlignment w:val="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（1）中标候选人排序、</w:t>
            </w:r>
            <w:r>
              <w:rPr>
                <w:rFonts w:hint="eastAsia" w:cs="Times New Roman"/>
                <w:color w:val="auto"/>
                <w:highlight w:val="none"/>
                <w:lang w:val="en-US" w:eastAsia="zh-CN"/>
              </w:rPr>
              <w:t>名称、</w:t>
            </w:r>
            <w:r>
              <w:rPr>
                <w:rFonts w:hint="eastAsia" w:ascii="Times New Roman" w:hAnsi="Times New Roman" w:eastAsia="宋体" w:cs="Times New Roman"/>
                <w:color w:val="auto"/>
                <w:highlight w:val="none"/>
                <w:lang w:val="en-US" w:eastAsia="zh-CN"/>
              </w:rPr>
              <w:t xml:space="preserve">投标报价，对工程质量要求和工期的响应情况； </w:t>
            </w:r>
          </w:p>
          <w:p w14:paraId="16A8EB37">
            <w:pPr>
              <w:keepNext w:val="0"/>
              <w:keepLines w:val="0"/>
              <w:pageBreakBefore w:val="0"/>
              <w:widowControl w:val="0"/>
              <w:numPr>
                <w:ilvl w:val="0"/>
                <w:numId w:val="0"/>
              </w:numPr>
              <w:kinsoku/>
              <w:wordWrap/>
              <w:overflowPunct/>
              <w:topLinePunct w:val="0"/>
              <w:autoSpaceDE/>
              <w:autoSpaceDN/>
              <w:bidi w:val="0"/>
              <w:adjustRightInd/>
              <w:snapToGrid/>
              <w:spacing w:line="340" w:lineRule="exact"/>
              <w:textAlignment w:val="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（2）中标候选人在投标文件中承诺的项目经理姓名、相关证书名称和编号； </w:t>
            </w:r>
          </w:p>
          <w:p w14:paraId="09DB1983">
            <w:pPr>
              <w:keepNext w:val="0"/>
              <w:keepLines w:val="0"/>
              <w:pageBreakBefore w:val="0"/>
              <w:widowControl w:val="0"/>
              <w:numPr>
                <w:ilvl w:val="0"/>
                <w:numId w:val="0"/>
              </w:numPr>
              <w:kinsoku/>
              <w:wordWrap/>
              <w:overflowPunct/>
              <w:topLinePunct w:val="0"/>
              <w:autoSpaceDE/>
              <w:autoSpaceDN/>
              <w:bidi w:val="0"/>
              <w:adjustRightInd/>
              <w:snapToGrid/>
              <w:spacing w:line="340" w:lineRule="exact"/>
              <w:textAlignment w:val="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（3）被否决投标的投标人名称、否决依据和原因； </w:t>
            </w:r>
          </w:p>
          <w:p w14:paraId="586E86E3">
            <w:pPr>
              <w:keepNext w:val="0"/>
              <w:keepLines w:val="0"/>
              <w:pageBreakBefore w:val="0"/>
              <w:widowControl w:val="0"/>
              <w:numPr>
                <w:ilvl w:val="0"/>
                <w:numId w:val="0"/>
              </w:numPr>
              <w:kinsoku/>
              <w:wordWrap/>
              <w:overflowPunct/>
              <w:topLinePunct w:val="0"/>
              <w:autoSpaceDE/>
              <w:autoSpaceDN/>
              <w:bidi w:val="0"/>
              <w:adjustRightInd/>
              <w:snapToGrid/>
              <w:spacing w:line="340" w:lineRule="exact"/>
              <w:textAlignment w:val="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（4）提出异议的渠道和方式。</w:t>
            </w:r>
          </w:p>
        </w:tc>
      </w:tr>
      <w:tr w14:paraId="2939A8B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01" w:type="dxa"/>
            <w:tcBorders>
              <w:tl2br w:val="nil"/>
              <w:tr2bl w:val="nil"/>
            </w:tcBorders>
            <w:noWrap w:val="0"/>
            <w:vAlign w:val="center"/>
          </w:tcPr>
          <w:p w14:paraId="592B71E1">
            <w:pPr>
              <w:pStyle w:val="9"/>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7.4</w:t>
            </w:r>
          </w:p>
        </w:tc>
        <w:tc>
          <w:tcPr>
            <w:tcW w:w="1701" w:type="dxa"/>
            <w:tcBorders>
              <w:tl2br w:val="nil"/>
              <w:tr2bl w:val="nil"/>
            </w:tcBorders>
            <w:noWrap w:val="0"/>
            <w:vAlign w:val="center"/>
          </w:tcPr>
          <w:p w14:paraId="2D283DC4">
            <w:pPr>
              <w:pStyle w:val="9"/>
              <w:spacing w:line="320" w:lineRule="exact"/>
              <w:jc w:val="center"/>
              <w:rPr>
                <w:rFonts w:hint="default"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是否授权评标委员会确定中标人</w:t>
            </w:r>
          </w:p>
        </w:tc>
        <w:tc>
          <w:tcPr>
            <w:tcW w:w="6449" w:type="dxa"/>
            <w:tcBorders>
              <w:tl2br w:val="nil"/>
              <w:tr2bl w:val="nil"/>
            </w:tcBorders>
            <w:noWrap w:val="0"/>
            <w:vAlign w:val="center"/>
          </w:tcPr>
          <w:p w14:paraId="4CFE11D7">
            <w:pPr>
              <w:wordWrap w:val="0"/>
              <w:spacing w:line="300" w:lineRule="exact"/>
              <w:jc w:val="lef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sym w:font="Wingdings 2" w:char="00A3"/>
            </w:r>
            <w:r>
              <w:rPr>
                <w:rFonts w:ascii="宋体" w:hAnsi="宋体" w:eastAsia="宋体" w:cs="Times New Roman"/>
                <w:color w:val="auto"/>
                <w:sz w:val="21"/>
                <w:szCs w:val="21"/>
                <w:highlight w:val="none"/>
              </w:rPr>
              <w:t>是</w:t>
            </w:r>
          </w:p>
          <w:p w14:paraId="5DE7A5D8">
            <w:pPr>
              <w:keepNext w:val="0"/>
              <w:keepLines w:val="0"/>
              <w:pageBreakBefore w:val="0"/>
              <w:widowControl w:val="0"/>
              <w:numPr>
                <w:ilvl w:val="0"/>
                <w:numId w:val="0"/>
              </w:numPr>
              <w:kinsoku/>
              <w:wordWrap/>
              <w:overflowPunct/>
              <w:topLinePunct w:val="0"/>
              <w:autoSpaceDE/>
              <w:autoSpaceDN/>
              <w:bidi w:val="0"/>
              <w:adjustRightInd/>
              <w:snapToGrid/>
              <w:spacing w:line="340" w:lineRule="exact"/>
              <w:textAlignment w:val="auto"/>
              <w:rPr>
                <w:rFonts w:hint="default" w:ascii="Times New Roman" w:hAnsi="Times New Roman" w:eastAsia="宋体" w:cs="Times New Roman"/>
                <w:color w:val="auto"/>
                <w:highlight w:val="none"/>
                <w:lang w:val="en-US" w:eastAsia="zh-CN"/>
              </w:rPr>
            </w:pPr>
            <w:r>
              <w:rPr>
                <w:rFonts w:hint="eastAsia" w:ascii="Segoe UI Symbol" w:hAnsi="Segoe UI Symbol" w:eastAsia="宋体" w:cs="Segoe UI Symbol"/>
                <w:color w:val="auto"/>
                <w:sz w:val="21"/>
                <w:szCs w:val="21"/>
                <w:highlight w:val="none"/>
                <w:lang w:eastAsia="zh-CN"/>
              </w:rPr>
              <w:sym w:font="Wingdings 2" w:char="0052"/>
            </w:r>
            <w:r>
              <w:rPr>
                <w:rFonts w:ascii="宋体" w:hAnsi="宋体" w:eastAsia="宋体" w:cs="Times New Roman"/>
                <w:color w:val="auto"/>
                <w:sz w:val="21"/>
                <w:szCs w:val="21"/>
                <w:highlight w:val="none"/>
              </w:rPr>
              <w:t>否</w:t>
            </w:r>
          </w:p>
        </w:tc>
      </w:tr>
      <w:tr w14:paraId="099EB75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01" w:type="dxa"/>
            <w:tcBorders>
              <w:tl2br w:val="nil"/>
              <w:tr2bl w:val="nil"/>
            </w:tcBorders>
            <w:noWrap w:val="0"/>
            <w:vAlign w:val="center"/>
          </w:tcPr>
          <w:p w14:paraId="7ED496E7">
            <w:pPr>
              <w:pStyle w:val="9"/>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7.6</w:t>
            </w:r>
          </w:p>
        </w:tc>
        <w:tc>
          <w:tcPr>
            <w:tcW w:w="1701" w:type="dxa"/>
            <w:tcBorders>
              <w:tl2br w:val="nil"/>
              <w:tr2bl w:val="nil"/>
            </w:tcBorders>
            <w:noWrap w:val="0"/>
            <w:vAlign w:val="center"/>
          </w:tcPr>
          <w:p w14:paraId="098E7365">
            <w:pPr>
              <w:pStyle w:val="9"/>
              <w:spacing w:line="320" w:lineRule="exact"/>
              <w:jc w:val="center"/>
              <w:rPr>
                <w:rFonts w:hint="default"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中标结果公告媒介及期限</w:t>
            </w:r>
          </w:p>
        </w:tc>
        <w:tc>
          <w:tcPr>
            <w:tcW w:w="6449" w:type="dxa"/>
            <w:tcBorders>
              <w:tl2br w:val="nil"/>
              <w:tr2bl w:val="nil"/>
            </w:tcBorders>
            <w:noWrap w:val="0"/>
            <w:vAlign w:val="center"/>
          </w:tcPr>
          <w:p w14:paraId="2E4BFCE1">
            <w:pPr>
              <w:keepNext w:val="0"/>
              <w:keepLines w:val="0"/>
              <w:pageBreakBefore w:val="0"/>
              <w:widowControl w:val="0"/>
              <w:numPr>
                <w:ilvl w:val="0"/>
                <w:numId w:val="0"/>
              </w:numPr>
              <w:kinsoku/>
              <w:wordWrap/>
              <w:overflowPunct/>
              <w:topLinePunct w:val="0"/>
              <w:autoSpaceDE/>
              <w:autoSpaceDN/>
              <w:bidi w:val="0"/>
              <w:adjustRightInd/>
              <w:snapToGrid/>
              <w:spacing w:line="340" w:lineRule="exact"/>
              <w:textAlignment w:val="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公示媒介：</w:t>
            </w:r>
            <w:r>
              <w:rPr>
                <w:rFonts w:hint="eastAsia" w:ascii="宋体" w:hAnsi="宋体" w:cs="Times New Roman"/>
                <w:color w:val="auto"/>
                <w:kern w:val="2"/>
                <w:sz w:val="21"/>
                <w:szCs w:val="21"/>
                <w:highlight w:val="none"/>
                <w:lang w:val="en-US" w:eastAsia="zh-CN" w:bidi="ar-SA"/>
              </w:rPr>
              <w:t>绍兴公共资源交易网</w:t>
            </w:r>
            <w:r>
              <w:rPr>
                <w:rFonts w:hint="eastAsia" w:ascii="Times New Roman" w:hAnsi="Times New Roman" w:eastAsia="宋体" w:cs="Times New Roman"/>
                <w:color w:val="auto"/>
                <w:highlight w:val="none"/>
                <w:lang w:val="en-US" w:eastAsia="zh-CN"/>
              </w:rPr>
              <w:t>。</w:t>
            </w:r>
          </w:p>
          <w:p w14:paraId="1D85088E">
            <w:pPr>
              <w:keepNext w:val="0"/>
              <w:keepLines w:val="0"/>
              <w:pageBreakBefore w:val="0"/>
              <w:widowControl w:val="0"/>
              <w:numPr>
                <w:ilvl w:val="0"/>
                <w:numId w:val="0"/>
              </w:numPr>
              <w:kinsoku/>
              <w:wordWrap/>
              <w:overflowPunct/>
              <w:topLinePunct w:val="0"/>
              <w:autoSpaceDE/>
              <w:autoSpaceDN/>
              <w:bidi w:val="0"/>
              <w:adjustRightInd/>
              <w:snapToGrid/>
              <w:spacing w:line="340" w:lineRule="exact"/>
              <w:textAlignment w:val="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公示期限：不少于3日。如遇国家法定休假日，应顺延至法定休假日后第一个工作日。</w:t>
            </w:r>
          </w:p>
        </w:tc>
      </w:tr>
      <w:tr w14:paraId="54F5D51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109" w:hRule="atLeast"/>
        </w:trPr>
        <w:tc>
          <w:tcPr>
            <w:tcW w:w="1101" w:type="dxa"/>
            <w:tcBorders>
              <w:tl2br w:val="nil"/>
              <w:tr2bl w:val="nil"/>
            </w:tcBorders>
            <w:noWrap w:val="0"/>
            <w:vAlign w:val="center"/>
          </w:tcPr>
          <w:p w14:paraId="257392DA">
            <w:pPr>
              <w:pStyle w:val="9"/>
              <w:jc w:val="center"/>
              <w:rPr>
                <w:rFonts w:hint="eastAsia" w:ascii="宋体" w:hAnsi="宋体"/>
                <w:color w:val="auto"/>
                <w:szCs w:val="21"/>
                <w:highlight w:val="none"/>
              </w:rPr>
            </w:pPr>
            <w:r>
              <w:rPr>
                <w:rFonts w:hint="eastAsia" w:ascii="宋体" w:hAnsi="宋体"/>
                <w:color w:val="auto"/>
                <w:szCs w:val="21"/>
                <w:highlight w:val="none"/>
              </w:rPr>
              <w:t>7.</w:t>
            </w:r>
            <w:r>
              <w:rPr>
                <w:rFonts w:hint="eastAsia" w:ascii="宋体" w:hAnsi="宋体" w:eastAsia="宋体"/>
                <w:color w:val="auto"/>
                <w:szCs w:val="21"/>
                <w:highlight w:val="none"/>
                <w:lang w:val="en-US" w:eastAsia="zh-CN"/>
              </w:rPr>
              <w:t>7</w:t>
            </w:r>
            <w:r>
              <w:rPr>
                <w:rFonts w:hint="eastAsia" w:ascii="宋体" w:hAnsi="宋体"/>
                <w:color w:val="auto"/>
                <w:szCs w:val="21"/>
                <w:highlight w:val="none"/>
              </w:rPr>
              <w:t>.1</w:t>
            </w:r>
          </w:p>
        </w:tc>
        <w:tc>
          <w:tcPr>
            <w:tcW w:w="1701" w:type="dxa"/>
            <w:tcBorders>
              <w:tl2br w:val="nil"/>
              <w:tr2bl w:val="nil"/>
            </w:tcBorders>
            <w:noWrap w:val="0"/>
            <w:vAlign w:val="center"/>
          </w:tcPr>
          <w:p w14:paraId="75394E8B">
            <w:pPr>
              <w:pStyle w:val="9"/>
              <w:spacing w:line="320" w:lineRule="exact"/>
              <w:jc w:val="center"/>
              <w:rPr>
                <w:rFonts w:hint="eastAsia" w:ascii="宋体" w:hAnsi="宋体"/>
                <w:color w:val="auto"/>
                <w:szCs w:val="21"/>
                <w:highlight w:val="none"/>
              </w:rPr>
            </w:pPr>
            <w:r>
              <w:rPr>
                <w:rFonts w:hint="eastAsia" w:ascii="宋体" w:hAnsi="宋体"/>
                <w:color w:val="auto"/>
                <w:szCs w:val="21"/>
                <w:highlight w:val="none"/>
              </w:rPr>
              <w:t>履约担保</w:t>
            </w:r>
          </w:p>
        </w:tc>
        <w:tc>
          <w:tcPr>
            <w:tcW w:w="6449" w:type="dxa"/>
            <w:tcBorders>
              <w:tl2br w:val="nil"/>
              <w:tr2bl w:val="nil"/>
            </w:tcBorders>
            <w:noWrap w:val="0"/>
            <w:vAlign w:val="center"/>
          </w:tcPr>
          <w:p w14:paraId="73A6AA7F">
            <w:pPr>
              <w:pStyle w:val="9"/>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color w:val="auto"/>
                <w:sz w:val="21"/>
                <w:szCs w:val="21"/>
                <w:highlight w:val="none"/>
                <w:lang w:eastAsia="zh-CN"/>
              </w:rPr>
            </w:pPr>
            <w:r>
              <w:rPr>
                <w:rFonts w:hint="eastAsia"/>
                <w:color w:val="auto"/>
                <w:sz w:val="21"/>
                <w:szCs w:val="21"/>
                <w:highlight w:val="none"/>
              </w:rPr>
              <w:t>履约担保金额：</w:t>
            </w:r>
            <w:r>
              <w:rPr>
                <w:rFonts w:hint="eastAsia"/>
                <w:color w:val="auto"/>
                <w:sz w:val="21"/>
                <w:szCs w:val="21"/>
                <w:highlight w:val="none"/>
              </w:rPr>
              <w:t>中标价的2%</w:t>
            </w:r>
            <w:r>
              <w:rPr>
                <w:rFonts w:hint="eastAsia"/>
                <w:color w:val="auto"/>
                <w:sz w:val="21"/>
                <w:szCs w:val="21"/>
                <w:highlight w:val="none"/>
                <w:lang w:eastAsia="zh-CN"/>
              </w:rPr>
              <w:t>。</w:t>
            </w:r>
          </w:p>
          <w:p w14:paraId="0E2097EB">
            <w:pPr>
              <w:pStyle w:val="9"/>
              <w:keepNext w:val="0"/>
              <w:keepLines w:val="0"/>
              <w:pageBreakBefore w:val="0"/>
              <w:widowControl w:val="0"/>
              <w:kinsoku/>
              <w:wordWrap/>
              <w:overflowPunct/>
              <w:topLinePunct w:val="0"/>
              <w:autoSpaceDE/>
              <w:autoSpaceDN/>
              <w:bidi w:val="0"/>
              <w:adjustRightInd/>
              <w:snapToGrid/>
              <w:spacing w:line="340" w:lineRule="exact"/>
              <w:textAlignment w:val="auto"/>
              <w:rPr>
                <w:color w:val="auto"/>
                <w:sz w:val="21"/>
                <w:szCs w:val="21"/>
                <w:highlight w:val="none"/>
              </w:rPr>
            </w:pPr>
            <w:r>
              <w:rPr>
                <w:rFonts w:hint="eastAsia"/>
                <w:color w:val="auto"/>
                <w:sz w:val="21"/>
                <w:szCs w:val="21"/>
                <w:highlight w:val="none"/>
              </w:rPr>
              <w:t>履约担保形式：</w:t>
            </w:r>
            <w:r>
              <w:rPr>
                <w:rFonts w:hint="eastAsia"/>
                <w:color w:val="auto"/>
                <w:sz w:val="21"/>
                <w:szCs w:val="21"/>
                <w:highlight w:val="none"/>
                <w:lang w:val="en-US" w:eastAsia="zh-CN"/>
              </w:rPr>
              <w:t>银行转账、</w:t>
            </w:r>
            <w:r>
              <w:rPr>
                <w:rFonts w:hint="eastAsia"/>
                <w:color w:val="auto"/>
                <w:sz w:val="21"/>
                <w:szCs w:val="21"/>
                <w:highlight w:val="none"/>
              </w:rPr>
              <w:t>银行保函</w:t>
            </w:r>
            <w:r>
              <w:rPr>
                <w:rFonts w:hint="eastAsia"/>
                <w:color w:val="auto"/>
                <w:sz w:val="21"/>
                <w:szCs w:val="21"/>
                <w:highlight w:val="none"/>
                <w:lang w:eastAsia="zh-CN"/>
              </w:rPr>
              <w:t>、</w:t>
            </w:r>
            <w:r>
              <w:rPr>
                <w:rFonts w:hint="eastAsia"/>
                <w:color w:val="auto"/>
                <w:sz w:val="21"/>
                <w:szCs w:val="21"/>
                <w:highlight w:val="none"/>
              </w:rPr>
              <w:t>保险机构保证保险保单或融资担保公司保函</w:t>
            </w:r>
            <w:r>
              <w:rPr>
                <w:rFonts w:hint="eastAsia"/>
                <w:color w:val="auto"/>
                <w:sz w:val="21"/>
                <w:szCs w:val="21"/>
                <w:highlight w:val="none"/>
                <w:lang w:eastAsia="zh-CN"/>
              </w:rPr>
              <w:t>。</w:t>
            </w:r>
            <w:r>
              <w:rPr>
                <w:rFonts w:hint="eastAsia"/>
                <w:color w:val="auto"/>
                <w:sz w:val="21"/>
                <w:szCs w:val="21"/>
                <w:highlight w:val="none"/>
              </w:rPr>
              <w:t xml:space="preserve"> </w:t>
            </w:r>
          </w:p>
          <w:p w14:paraId="5D998321">
            <w:pPr>
              <w:pStyle w:val="9"/>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color w:val="auto"/>
                <w:sz w:val="21"/>
                <w:szCs w:val="21"/>
                <w:highlight w:val="none"/>
              </w:rPr>
            </w:pPr>
            <w:r>
              <w:rPr>
                <w:rFonts w:hint="eastAsia"/>
                <w:color w:val="auto"/>
                <w:sz w:val="21"/>
                <w:szCs w:val="21"/>
                <w:highlight w:val="none"/>
              </w:rPr>
              <w:t>采用银行保函时，出具履约担保的银行级别：国有或股份制商业银行县（区、市）级及以上银行。</w:t>
            </w:r>
          </w:p>
          <w:p w14:paraId="2526704F">
            <w:pPr>
              <w:pStyle w:val="20"/>
              <w:keepNext w:val="0"/>
              <w:keepLines w:val="0"/>
              <w:pageBreakBefore w:val="0"/>
              <w:widowControl w:val="0"/>
              <w:kinsoku/>
              <w:wordWrap/>
              <w:overflowPunct/>
              <w:topLinePunct w:val="0"/>
              <w:autoSpaceDE/>
              <w:autoSpaceDN/>
              <w:bidi w:val="0"/>
              <w:snapToGrid/>
              <w:spacing w:beforeLines="0" w:after="0" w:afterLines="0" w:line="340" w:lineRule="exact"/>
              <w:ind w:left="0" w:leftChars="0" w:firstLine="0" w:firstLineChars="0"/>
              <w:rPr>
                <w:rFonts w:hint="eastAsia"/>
                <w:color w:val="auto"/>
                <w:sz w:val="21"/>
                <w:szCs w:val="21"/>
                <w:highlight w:val="none"/>
                <w:lang w:val="en-US" w:eastAsia="zh-CN"/>
              </w:rPr>
            </w:pPr>
            <w:r>
              <w:rPr>
                <w:rFonts w:hint="eastAsia"/>
                <w:color w:val="auto"/>
                <w:sz w:val="21"/>
                <w:szCs w:val="21"/>
                <w:highlight w:val="none"/>
                <w:lang w:val="en-US" w:eastAsia="zh-CN"/>
              </w:rPr>
              <w:t>注：联合体中标的，履约担保须由联合体牵头人提交。</w:t>
            </w:r>
          </w:p>
          <w:p w14:paraId="63E1F23D">
            <w:pPr>
              <w:pStyle w:val="16"/>
              <w:ind w:left="0" w:leftChars="0" w:firstLine="0" w:firstLineChars="0"/>
              <w:rPr>
                <w:rFonts w:hint="eastAsia"/>
                <w:color w:val="auto"/>
                <w:highlight w:val="none"/>
                <w:lang w:val="en-US" w:eastAsia="zh-CN"/>
              </w:rPr>
            </w:pPr>
          </w:p>
        </w:tc>
      </w:tr>
      <w:tr w14:paraId="377AB8E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01" w:type="dxa"/>
            <w:tcBorders>
              <w:tl2br w:val="nil"/>
              <w:tr2bl w:val="nil"/>
            </w:tcBorders>
            <w:noWrap w:val="0"/>
            <w:vAlign w:val="center"/>
          </w:tcPr>
          <w:p w14:paraId="50E5123A">
            <w:pPr>
              <w:pStyle w:val="9"/>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8.5.1</w:t>
            </w:r>
          </w:p>
        </w:tc>
        <w:tc>
          <w:tcPr>
            <w:tcW w:w="1701" w:type="dxa"/>
            <w:tcBorders>
              <w:tl2br w:val="nil"/>
              <w:tr2bl w:val="nil"/>
            </w:tcBorders>
            <w:noWrap w:val="0"/>
            <w:vAlign w:val="center"/>
          </w:tcPr>
          <w:p w14:paraId="51A4D9DA">
            <w:pPr>
              <w:pStyle w:val="9"/>
              <w:spacing w:line="320" w:lineRule="exact"/>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监督部门</w:t>
            </w:r>
          </w:p>
        </w:tc>
        <w:tc>
          <w:tcPr>
            <w:tcW w:w="6449" w:type="dxa"/>
            <w:tcBorders>
              <w:tl2br w:val="nil"/>
              <w:tr2bl w:val="nil"/>
            </w:tcBorders>
            <w:noWrap w:val="0"/>
            <w:vAlign w:val="center"/>
          </w:tcPr>
          <w:p w14:paraId="4DB8ACE6">
            <w:pPr>
              <w:pStyle w:val="9"/>
              <w:spacing w:line="360" w:lineRule="exact"/>
              <w:jc w:val="left"/>
              <w:rPr>
                <w:rFonts w:hint="default"/>
                <w:color w:val="auto"/>
                <w:highlight w:val="none"/>
                <w:lang w:val="en-US" w:eastAsia="zh-CN"/>
              </w:rPr>
            </w:pPr>
            <w:r>
              <w:rPr>
                <w:rFonts w:hint="eastAsia"/>
                <w:color w:val="auto"/>
                <w:highlight w:val="none"/>
                <w:lang w:val="en-US" w:eastAsia="zh-CN"/>
              </w:rPr>
              <w:t>监督部门联系方式：</w:t>
            </w:r>
          </w:p>
          <w:p w14:paraId="580D5613">
            <w:pPr>
              <w:pStyle w:val="9"/>
              <w:spacing w:line="360" w:lineRule="exact"/>
              <w:jc w:val="left"/>
              <w:rPr>
                <w:rFonts w:hint="eastAsia"/>
                <w:color w:val="auto"/>
                <w:highlight w:val="none"/>
                <w:lang w:val="en-US" w:eastAsia="zh-CN"/>
              </w:rPr>
            </w:pPr>
            <w:r>
              <w:rPr>
                <w:rFonts w:hint="eastAsia"/>
                <w:color w:val="auto"/>
                <w:highlight w:val="none"/>
                <w:lang w:val="en-US" w:eastAsia="zh-CN"/>
              </w:rPr>
              <w:t>监督部门：绍兴市交通运输局</w:t>
            </w:r>
          </w:p>
          <w:p w14:paraId="038C136E">
            <w:pPr>
              <w:pStyle w:val="9"/>
              <w:spacing w:line="360" w:lineRule="exact"/>
              <w:jc w:val="left"/>
              <w:rPr>
                <w:rFonts w:hint="eastAsia"/>
                <w:color w:val="auto"/>
                <w:highlight w:val="none"/>
                <w:lang w:val="en-US" w:eastAsia="zh-CN"/>
              </w:rPr>
            </w:pPr>
            <w:r>
              <w:rPr>
                <w:rFonts w:hint="eastAsia"/>
                <w:color w:val="auto"/>
                <w:highlight w:val="none"/>
                <w:lang w:val="en-US" w:eastAsia="zh-CN"/>
              </w:rPr>
              <w:t>地址：绍兴市镜湖新区凤林西路135号交投大厦</w:t>
            </w:r>
          </w:p>
          <w:p w14:paraId="32B31598">
            <w:pPr>
              <w:pStyle w:val="9"/>
              <w:spacing w:line="360" w:lineRule="exact"/>
              <w:jc w:val="left"/>
              <w:rPr>
                <w:rFonts w:hint="eastAsia"/>
                <w:color w:val="auto"/>
                <w:highlight w:val="none"/>
                <w:lang w:val="en-US" w:eastAsia="zh-CN"/>
              </w:rPr>
            </w:pPr>
            <w:r>
              <w:rPr>
                <w:rFonts w:hint="eastAsia"/>
                <w:color w:val="auto"/>
                <w:highlight w:val="none"/>
                <w:lang w:val="en-US" w:eastAsia="zh-CN"/>
              </w:rPr>
              <w:t>邮编：312000</w:t>
            </w:r>
          </w:p>
          <w:p w14:paraId="1CC6CAAA">
            <w:pPr>
              <w:pStyle w:val="9"/>
              <w:spacing w:line="360" w:lineRule="exact"/>
              <w:jc w:val="left"/>
              <w:rPr>
                <w:rFonts w:hint="eastAsia"/>
                <w:color w:val="auto"/>
                <w:highlight w:val="none"/>
                <w:lang w:val="en-US" w:eastAsia="zh-CN"/>
              </w:rPr>
            </w:pPr>
            <w:r>
              <w:rPr>
                <w:rFonts w:hint="eastAsia"/>
                <w:color w:val="auto"/>
                <w:highlight w:val="none"/>
                <w:lang w:val="en-US" w:eastAsia="zh-CN"/>
              </w:rPr>
              <w:t>电话：0575-85335180</w:t>
            </w:r>
          </w:p>
        </w:tc>
      </w:tr>
      <w:tr w14:paraId="787FA4D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01" w:type="dxa"/>
            <w:tcBorders>
              <w:tl2br w:val="nil"/>
              <w:tr2bl w:val="nil"/>
            </w:tcBorders>
            <w:noWrap w:val="0"/>
            <w:vAlign w:val="center"/>
          </w:tcPr>
          <w:p w14:paraId="03B8D4BB">
            <w:pPr>
              <w:pStyle w:val="9"/>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9.2</w:t>
            </w:r>
          </w:p>
        </w:tc>
        <w:tc>
          <w:tcPr>
            <w:tcW w:w="1701" w:type="dxa"/>
            <w:tcBorders>
              <w:tl2br w:val="nil"/>
              <w:tr2bl w:val="nil"/>
            </w:tcBorders>
            <w:noWrap w:val="0"/>
            <w:vAlign w:val="center"/>
          </w:tcPr>
          <w:p w14:paraId="3B10BF6F">
            <w:pPr>
              <w:pStyle w:val="9"/>
              <w:spacing w:line="320" w:lineRule="exact"/>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否决投标</w:t>
            </w:r>
          </w:p>
        </w:tc>
        <w:tc>
          <w:tcPr>
            <w:tcW w:w="6449" w:type="dxa"/>
            <w:tcBorders>
              <w:tl2br w:val="nil"/>
              <w:tr2bl w:val="nil"/>
            </w:tcBorders>
            <w:noWrap w:val="0"/>
            <w:vAlign w:val="center"/>
          </w:tcPr>
          <w:p w14:paraId="66525A59">
            <w:pPr>
              <w:pStyle w:val="9"/>
              <w:spacing w:line="360" w:lineRule="exact"/>
              <w:jc w:val="lef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9.2 否决投标 </w:t>
            </w:r>
          </w:p>
          <w:p w14:paraId="690B9E79">
            <w:pPr>
              <w:pStyle w:val="9"/>
              <w:spacing w:line="360" w:lineRule="exact"/>
              <w:jc w:val="lef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9.2.1 凡评标委员会拟作出否决投标决定的，应先向投标人进行书 </w:t>
            </w:r>
          </w:p>
          <w:p w14:paraId="0BDAA6EC">
            <w:pPr>
              <w:pStyle w:val="9"/>
              <w:spacing w:line="360" w:lineRule="exact"/>
              <w:jc w:val="lef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面询问核实。未进行询问核实程序的，不得做出否决投标决定，投 </w:t>
            </w:r>
          </w:p>
          <w:p w14:paraId="297328D7">
            <w:pPr>
              <w:pStyle w:val="9"/>
              <w:spacing w:line="360" w:lineRule="exact"/>
              <w:jc w:val="lef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标人放弃接受询问核实机会的除外。投标人应自行关注系统中评标 </w:t>
            </w:r>
          </w:p>
          <w:p w14:paraId="526BDC4B">
            <w:pPr>
              <w:pStyle w:val="9"/>
              <w:spacing w:line="360" w:lineRule="exact"/>
              <w:jc w:val="lef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委员会发出的澄清并及时答复，在规定的时限内投标人不参加核实 </w:t>
            </w:r>
          </w:p>
          <w:p w14:paraId="2E9FB08A">
            <w:pPr>
              <w:pStyle w:val="9"/>
              <w:spacing w:line="360" w:lineRule="exact"/>
              <w:jc w:val="lef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或不予答复的，视为放弃接受询问核实机会。 </w:t>
            </w:r>
          </w:p>
          <w:p w14:paraId="4B5E8083">
            <w:pPr>
              <w:pStyle w:val="9"/>
              <w:spacing w:line="360" w:lineRule="exact"/>
              <w:jc w:val="lef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9.2.2 投标文件存在第三章评标办法前附表第2.1.1第一信封形式评审与响应性评审标准、第2.1.2资格评审标准、第2.1.3第二信封形式评审与响应性评审标准情形的，由评标委员会审核并经过询标程序，其投标文件将被否决。</w:t>
            </w:r>
          </w:p>
          <w:p w14:paraId="42DEAE06">
            <w:pPr>
              <w:pStyle w:val="9"/>
              <w:spacing w:line="360" w:lineRule="exact"/>
              <w:jc w:val="lef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9.2.3 除本条规定以外，招标文件中其他条款均不得作为否决投标 </w:t>
            </w:r>
          </w:p>
          <w:p w14:paraId="0076CDE7">
            <w:pPr>
              <w:pStyle w:val="9"/>
              <w:spacing w:line="360" w:lineRule="exact"/>
              <w:jc w:val="lef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文件的依据。 </w:t>
            </w:r>
          </w:p>
        </w:tc>
      </w:tr>
    </w:tbl>
    <w:p w14:paraId="39059C5E">
      <w:pPr>
        <w:pStyle w:val="9"/>
        <w:rPr>
          <w:rFonts w:ascii="宋体" w:hAnsi="宋体"/>
          <w:color w:val="auto"/>
          <w:szCs w:val="21"/>
          <w:highlight w:val="none"/>
        </w:rPr>
      </w:pPr>
      <w:bookmarkStart w:id="64" w:name="EB85d6ab35baa148098e21bc7355fb78ce"/>
      <w:r>
        <w:rPr>
          <w:rFonts w:hint="eastAsia"/>
          <w:color w:val="auto"/>
          <w:sz w:val="20"/>
          <w:highlight w:val="none"/>
        </w:rPr>
        <w:t xml:space="preserve"> </w:t>
      </w:r>
      <w:bookmarkEnd w:id="64"/>
      <w:bookmarkStart w:id="65" w:name="EBfd406711fdd04206b785512c70952cd7"/>
      <w:r>
        <w:rPr>
          <w:rFonts w:hint="eastAsia"/>
          <w:color w:val="auto"/>
          <w:sz w:val="20"/>
          <w:highlight w:val="none"/>
        </w:rPr>
        <w:t xml:space="preserve"> </w:t>
      </w:r>
      <w:bookmarkEnd w:id="65"/>
      <w:r>
        <w:rPr>
          <w:rFonts w:hint="eastAsia" w:ascii="宋体" w:hAnsi="宋体"/>
          <w:color w:val="auto"/>
          <w:szCs w:val="21"/>
          <w:highlight w:val="none"/>
        </w:rPr>
        <w:br w:type="page"/>
      </w:r>
      <w:r>
        <w:rPr>
          <w:rFonts w:hint="eastAsia" w:ascii="宋体" w:hAnsi="宋体"/>
          <w:color w:val="auto"/>
          <w:szCs w:val="21"/>
          <w:highlight w:val="none"/>
        </w:rPr>
        <w:t>附录</w:t>
      </w:r>
    </w:p>
    <w:p w14:paraId="7CBB7566">
      <w:pPr>
        <w:pStyle w:val="9"/>
        <w:rPr>
          <w:color w:val="auto"/>
          <w:highlight w:val="none"/>
        </w:rPr>
      </w:pPr>
      <w:bookmarkStart w:id="66" w:name="EB39a5d1a88c824f5d93c0af5037d8878f"/>
      <w:r>
        <w:rPr>
          <w:rFonts w:hint="eastAsia"/>
          <w:color w:val="auto"/>
          <w:sz w:val="20"/>
          <w:highlight w:val="none"/>
        </w:rPr>
        <w:t xml:space="preserve"> </w:t>
      </w:r>
      <w:bookmarkEnd w:id="66"/>
    </w:p>
    <w:p w14:paraId="73AA6370">
      <w:pPr>
        <w:pStyle w:val="42"/>
        <w:jc w:val="center"/>
        <w:rPr>
          <w:color w:val="auto"/>
          <w:szCs w:val="21"/>
          <w:highlight w:val="none"/>
        </w:rPr>
      </w:pPr>
      <w:bookmarkStart w:id="67" w:name="_Toc12086"/>
      <w:r>
        <w:rPr>
          <w:rFonts w:hint="eastAsia"/>
          <w:color w:val="auto"/>
          <w:highlight w:val="none"/>
        </w:rPr>
        <w:t>附录1 资格审查条件（资质最低条件）</w:t>
      </w:r>
      <w:bookmarkEnd w:id="67"/>
    </w:p>
    <w:tbl>
      <w:tblPr>
        <w:tblStyle w:val="23"/>
        <w:tblW w:w="8958"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549"/>
        <w:gridCol w:w="7409"/>
      </w:tblGrid>
      <w:tr w14:paraId="58E5D6D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1549" w:type="dxa"/>
            <w:tcBorders>
              <w:tl2br w:val="nil"/>
              <w:tr2bl w:val="nil"/>
            </w:tcBorders>
            <w:noWrap w:val="0"/>
            <w:vAlign w:val="center"/>
          </w:tcPr>
          <w:p w14:paraId="231FF16E">
            <w:pPr>
              <w:pStyle w:val="9"/>
              <w:spacing w:line="400" w:lineRule="exact"/>
              <w:jc w:val="center"/>
              <w:rPr>
                <w:rFonts w:hint="eastAsia" w:ascii="宋体" w:hAnsi="宋体"/>
                <w:b/>
                <w:bCs/>
                <w:color w:val="auto"/>
                <w:highlight w:val="none"/>
              </w:rPr>
            </w:pPr>
            <w:r>
              <w:rPr>
                <w:rFonts w:hint="eastAsia" w:ascii="宋体" w:hAnsi="宋体"/>
                <w:b/>
                <w:bCs/>
                <w:color w:val="auto"/>
                <w:highlight w:val="none"/>
              </w:rPr>
              <w:t>标段</w:t>
            </w:r>
          </w:p>
        </w:tc>
        <w:tc>
          <w:tcPr>
            <w:tcW w:w="7409" w:type="dxa"/>
            <w:tcBorders>
              <w:tl2br w:val="nil"/>
              <w:tr2bl w:val="nil"/>
            </w:tcBorders>
            <w:noWrap w:val="0"/>
            <w:vAlign w:val="center"/>
          </w:tcPr>
          <w:p w14:paraId="1645DCE4">
            <w:pPr>
              <w:pStyle w:val="9"/>
              <w:spacing w:line="400" w:lineRule="exact"/>
              <w:jc w:val="center"/>
              <w:rPr>
                <w:rFonts w:hint="eastAsia" w:ascii="宋体" w:hAnsi="宋体"/>
                <w:b/>
                <w:bCs/>
                <w:color w:val="auto"/>
                <w:highlight w:val="none"/>
              </w:rPr>
            </w:pPr>
            <w:r>
              <w:rPr>
                <w:rFonts w:hint="eastAsia" w:ascii="宋体" w:hAnsi="宋体" w:eastAsia="宋体"/>
                <w:b/>
                <w:bCs/>
                <w:color w:val="auto"/>
                <w:highlight w:val="none"/>
                <w:lang w:val="en-US" w:eastAsia="zh-CN"/>
              </w:rPr>
              <w:t>公路养护工程从业单位</w:t>
            </w:r>
            <w:r>
              <w:rPr>
                <w:rFonts w:hint="eastAsia" w:ascii="宋体" w:hAnsi="宋体"/>
                <w:b/>
                <w:bCs/>
                <w:color w:val="auto"/>
                <w:highlight w:val="none"/>
              </w:rPr>
              <w:t>资质等级要求</w:t>
            </w:r>
          </w:p>
        </w:tc>
      </w:tr>
      <w:tr w14:paraId="476F683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11" w:hRule="atLeast"/>
        </w:trPr>
        <w:tc>
          <w:tcPr>
            <w:tcW w:w="1549" w:type="dxa"/>
            <w:tcBorders>
              <w:tl2br w:val="nil"/>
              <w:tr2bl w:val="nil"/>
            </w:tcBorders>
            <w:noWrap w:val="0"/>
            <w:vAlign w:val="center"/>
          </w:tcPr>
          <w:p w14:paraId="7568D990">
            <w:pPr>
              <w:pStyle w:val="9"/>
              <w:spacing w:line="360" w:lineRule="auto"/>
              <w:jc w:val="center"/>
              <w:rPr>
                <w:rFonts w:hint="eastAsia" w:ascii="宋体" w:hAnsi="宋体"/>
                <w:color w:val="auto"/>
                <w:szCs w:val="21"/>
                <w:highlight w:val="none"/>
              </w:rPr>
            </w:pPr>
            <w:r>
              <w:rPr>
                <w:rFonts w:hint="eastAsia" w:ascii="宋体" w:hAnsi="宋体" w:eastAsia="宋体"/>
                <w:color w:val="auto"/>
                <w:szCs w:val="21"/>
                <w:highlight w:val="none"/>
                <w:lang w:val="en-US" w:eastAsia="zh-CN"/>
              </w:rPr>
              <w:t>第</w:t>
            </w:r>
            <w:r>
              <w:rPr>
                <w:rFonts w:hint="eastAsia" w:ascii="宋体" w:hAnsi="宋体"/>
                <w:color w:val="auto"/>
                <w:szCs w:val="21"/>
                <w:highlight w:val="none"/>
              </w:rPr>
              <w:t>SG-01标段</w:t>
            </w:r>
          </w:p>
        </w:tc>
        <w:tc>
          <w:tcPr>
            <w:tcW w:w="7409" w:type="dxa"/>
            <w:tcBorders>
              <w:tl2br w:val="nil"/>
              <w:tr2bl w:val="nil"/>
            </w:tcBorders>
            <w:noWrap w:val="0"/>
            <w:vAlign w:val="center"/>
          </w:tcPr>
          <w:p w14:paraId="7367CA9A">
            <w:pPr>
              <w:pStyle w:val="9"/>
              <w:keepNext w:val="0"/>
              <w:keepLines w:val="0"/>
              <w:pageBreakBefore w:val="0"/>
              <w:widowControl w:val="0"/>
              <w:kinsoku/>
              <w:wordWrap/>
              <w:overflowPunct/>
              <w:topLinePunct w:val="0"/>
              <w:autoSpaceDE/>
              <w:autoSpaceDN/>
              <w:bidi w:val="0"/>
              <w:adjustRightInd/>
              <w:spacing w:line="380" w:lineRule="exact"/>
              <w:textAlignment w:val="auto"/>
              <w:rPr>
                <w:rFonts w:hint="eastAsia" w:ascii="宋体" w:hAnsi="宋体"/>
                <w:color w:val="auto"/>
                <w:szCs w:val="21"/>
                <w:highlight w:val="none"/>
              </w:rPr>
            </w:pPr>
            <w:r>
              <w:rPr>
                <w:rFonts w:hint="eastAsia" w:ascii="宋体" w:hAnsi="宋体" w:eastAsia="宋体"/>
                <w:color w:val="auto"/>
                <w:szCs w:val="21"/>
                <w:highlight w:val="none"/>
                <w:lang w:val="en-US" w:eastAsia="zh-CN"/>
              </w:rPr>
              <w:t>1.投标人应具备</w:t>
            </w:r>
            <w:r>
              <w:rPr>
                <w:rFonts w:hint="eastAsia" w:ascii="宋体" w:hAnsi="宋体"/>
                <w:color w:val="auto"/>
                <w:szCs w:val="21"/>
                <w:highlight w:val="none"/>
              </w:rPr>
              <w:t>独立法人资格，同时</w:t>
            </w:r>
            <w:r>
              <w:rPr>
                <w:rFonts w:hint="eastAsia" w:ascii="宋体" w:hAnsi="宋体" w:eastAsia="宋体"/>
                <w:color w:val="auto"/>
                <w:szCs w:val="21"/>
                <w:highlight w:val="none"/>
                <w:lang w:val="en-US" w:eastAsia="zh-CN"/>
              </w:rPr>
              <w:t>具有住建部颁发的</w:t>
            </w:r>
            <w:r>
              <w:rPr>
                <w:rFonts w:hint="eastAsia" w:ascii="宋体" w:hAnsi="宋体"/>
                <w:color w:val="auto"/>
                <w:szCs w:val="21"/>
                <w:highlight w:val="none"/>
              </w:rPr>
              <w:t>公路交通工程（公路机电工程）专业承包</w:t>
            </w:r>
            <w:r>
              <w:rPr>
                <w:rFonts w:hint="eastAsia" w:ascii="宋体" w:hAnsi="宋体" w:eastAsia="宋体"/>
                <w:color w:val="auto"/>
                <w:szCs w:val="21"/>
                <w:highlight w:val="none"/>
                <w:lang w:val="en-US" w:eastAsia="zh-CN"/>
              </w:rPr>
              <w:t>二</w:t>
            </w:r>
            <w:r>
              <w:rPr>
                <w:rFonts w:hint="eastAsia" w:ascii="宋体" w:hAnsi="宋体"/>
                <w:color w:val="auto"/>
                <w:szCs w:val="21"/>
                <w:highlight w:val="none"/>
              </w:rPr>
              <w:t>级</w:t>
            </w:r>
            <w:r>
              <w:rPr>
                <w:rFonts w:hint="eastAsia" w:ascii="宋体" w:hAnsi="宋体" w:eastAsia="宋体"/>
                <w:color w:val="auto"/>
                <w:szCs w:val="21"/>
                <w:highlight w:val="none"/>
                <w:lang w:val="en-US" w:eastAsia="zh-CN"/>
              </w:rPr>
              <w:t>及以</w:t>
            </w:r>
            <w:r>
              <w:rPr>
                <w:rFonts w:hint="eastAsia" w:ascii="宋体" w:hAnsi="宋体" w:eastAsia="宋体"/>
                <w:color w:val="auto"/>
                <w:szCs w:val="21"/>
                <w:highlight w:val="none"/>
                <w:lang w:val="en-US" w:eastAsia="zh-CN"/>
              </w:rPr>
              <w:t>上</w:t>
            </w:r>
            <w:r>
              <w:rPr>
                <w:rFonts w:hint="eastAsia" w:ascii="宋体" w:hAnsi="宋体"/>
                <w:color w:val="auto"/>
                <w:szCs w:val="21"/>
                <w:highlight w:val="none"/>
              </w:rPr>
              <w:t>资质</w:t>
            </w:r>
            <w:r>
              <w:rPr>
                <w:rFonts w:hint="eastAsia" w:ascii="宋体" w:hAnsi="宋体" w:eastAsia="宋体"/>
                <w:color w:val="auto"/>
                <w:szCs w:val="21"/>
                <w:highlight w:val="none"/>
                <w:lang w:val="en-US" w:eastAsia="zh-CN"/>
              </w:rPr>
              <w:t>和</w:t>
            </w:r>
            <w:r>
              <w:rPr>
                <w:rFonts w:hint="eastAsia" w:ascii="宋体" w:hAnsi="宋体" w:eastAsia="宋体" w:cs="Times New Roman"/>
                <w:color w:val="auto"/>
                <w:szCs w:val="21"/>
                <w:highlight w:val="none"/>
                <w:lang w:val="en-US" w:eastAsia="zh-CN"/>
              </w:rPr>
              <w:t>省级交通运输主管部门颁发的</w:t>
            </w:r>
            <w:r>
              <w:rPr>
                <w:rFonts w:hint="eastAsia" w:ascii="宋体" w:hAnsi="宋体"/>
                <w:color w:val="auto"/>
                <w:szCs w:val="21"/>
                <w:highlight w:val="none"/>
              </w:rPr>
              <w:t>隧道养护甲级资质</w:t>
            </w:r>
            <w:r>
              <w:rPr>
                <w:rFonts w:hint="eastAsia" w:ascii="宋体" w:hAnsi="宋体" w:eastAsia="宋体"/>
                <w:color w:val="auto"/>
                <w:szCs w:val="21"/>
                <w:highlight w:val="none"/>
                <w:lang w:val="en-US" w:eastAsia="zh-CN"/>
              </w:rPr>
              <w:t>和路基路面养护甲级资质</w:t>
            </w:r>
            <w:r>
              <w:rPr>
                <w:rFonts w:hint="eastAsia" w:ascii="宋体" w:hAnsi="宋体"/>
                <w:color w:val="auto"/>
                <w:szCs w:val="21"/>
                <w:highlight w:val="none"/>
              </w:rPr>
              <w:t>。</w:t>
            </w:r>
          </w:p>
          <w:p w14:paraId="5247F82F">
            <w:pPr>
              <w:pStyle w:val="9"/>
              <w:keepNext w:val="0"/>
              <w:keepLines w:val="0"/>
              <w:pageBreakBefore w:val="0"/>
              <w:widowControl w:val="0"/>
              <w:kinsoku/>
              <w:wordWrap/>
              <w:overflowPunct/>
              <w:topLinePunct w:val="0"/>
              <w:autoSpaceDE/>
              <w:autoSpaceDN/>
              <w:bidi w:val="0"/>
              <w:adjustRightInd/>
              <w:spacing w:line="380" w:lineRule="exact"/>
              <w:textAlignment w:val="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2.联合体投标的，应满足下列要求：</w:t>
            </w:r>
          </w:p>
          <w:p w14:paraId="065E1F9B">
            <w:pPr>
              <w:keepNext w:val="0"/>
              <w:keepLines w:val="0"/>
              <w:pageBreakBefore w:val="0"/>
              <w:widowControl w:val="0"/>
              <w:kinsoku/>
              <w:wordWrap/>
              <w:overflowPunct/>
              <w:topLinePunct w:val="0"/>
              <w:autoSpaceDE/>
              <w:autoSpaceDN/>
              <w:bidi w:val="0"/>
              <w:adjustRightInd/>
              <w:snapToGrid w:val="0"/>
              <w:spacing w:line="380" w:lineRule="exact"/>
              <w:jc w:val="left"/>
              <w:textAlignment w:val="auto"/>
              <w:rPr>
                <w:rFonts w:hint="default" w:ascii="Times New Roman" w:hAnsi="Times New Roman" w:eastAsia="宋体" w:cs="Times New Roman"/>
                <w:bCs/>
                <w:color w:val="auto"/>
                <w:szCs w:val="21"/>
                <w:highlight w:val="none"/>
              </w:rPr>
            </w:pPr>
            <w:r>
              <w:rPr>
                <w:rFonts w:hint="default" w:ascii="宋体" w:hAnsi="宋体" w:eastAsia="宋体" w:cs="Times New Roman"/>
                <w:color w:val="auto"/>
                <w:szCs w:val="21"/>
                <w:highlight w:val="none"/>
                <w:lang w:val="en-US" w:eastAsia="zh-CN"/>
              </w:rPr>
              <w:t>（1）</w:t>
            </w:r>
            <w:r>
              <w:rPr>
                <w:rFonts w:hint="default" w:ascii="Times New Roman" w:hAnsi="Times New Roman" w:eastAsia="宋体" w:cs="Times New Roman"/>
                <w:bCs/>
                <w:color w:val="auto"/>
                <w:szCs w:val="21"/>
                <w:highlight w:val="none"/>
              </w:rPr>
              <w:t>联合体牵头人</w:t>
            </w:r>
            <w:r>
              <w:rPr>
                <w:rFonts w:hint="eastAsia" w:ascii="宋体" w:hAnsi="宋体"/>
                <w:color w:val="auto"/>
                <w:szCs w:val="21"/>
                <w:highlight w:val="none"/>
              </w:rPr>
              <w:t>须具备独立法人资格，</w:t>
            </w:r>
            <w:r>
              <w:rPr>
                <w:rFonts w:hint="eastAsia" w:ascii="宋体" w:hAnsi="宋体"/>
                <w:color w:val="auto"/>
                <w:szCs w:val="21"/>
                <w:highlight w:val="none"/>
                <w:lang w:val="en-US" w:eastAsia="zh-CN"/>
              </w:rPr>
              <w:t>并</w:t>
            </w:r>
            <w:r>
              <w:rPr>
                <w:rFonts w:hint="eastAsia"/>
                <w:color w:val="auto"/>
                <w:highlight w:val="none"/>
              </w:rPr>
              <w:t>具有</w:t>
            </w:r>
            <w:r>
              <w:rPr>
                <w:rFonts w:hint="eastAsia" w:ascii="宋体" w:hAnsi="宋体" w:eastAsia="宋体"/>
                <w:color w:val="auto"/>
                <w:szCs w:val="21"/>
                <w:highlight w:val="none"/>
                <w:lang w:val="en-US" w:eastAsia="zh-CN"/>
              </w:rPr>
              <w:t>住建部颁发的</w:t>
            </w:r>
            <w:r>
              <w:rPr>
                <w:rFonts w:hint="eastAsia" w:ascii="宋体" w:hAnsi="宋体"/>
                <w:color w:val="auto"/>
                <w:szCs w:val="21"/>
                <w:highlight w:val="none"/>
              </w:rPr>
              <w:t>公路交通工程（公路机电工程）专业承包</w:t>
            </w:r>
            <w:r>
              <w:rPr>
                <w:rFonts w:hint="eastAsia" w:ascii="宋体" w:hAnsi="宋体"/>
                <w:color w:val="auto"/>
                <w:szCs w:val="21"/>
                <w:highlight w:val="none"/>
                <w:lang w:val="en-US" w:eastAsia="zh-CN"/>
              </w:rPr>
              <w:t>二</w:t>
            </w:r>
            <w:r>
              <w:rPr>
                <w:rFonts w:hint="eastAsia" w:ascii="宋体" w:hAnsi="宋体"/>
                <w:color w:val="auto"/>
                <w:szCs w:val="21"/>
                <w:highlight w:val="none"/>
              </w:rPr>
              <w:t>级</w:t>
            </w:r>
            <w:r>
              <w:rPr>
                <w:rFonts w:hint="eastAsia" w:ascii="宋体" w:hAnsi="宋体"/>
                <w:color w:val="auto"/>
                <w:szCs w:val="21"/>
                <w:highlight w:val="none"/>
                <w:lang w:val="en-US" w:eastAsia="zh-CN"/>
              </w:rPr>
              <w:t>及以上</w:t>
            </w:r>
            <w:r>
              <w:rPr>
                <w:rFonts w:hint="eastAsia" w:ascii="宋体" w:hAnsi="宋体"/>
                <w:color w:val="auto"/>
                <w:szCs w:val="21"/>
                <w:highlight w:val="none"/>
              </w:rPr>
              <w:t>资质</w:t>
            </w:r>
            <w:r>
              <w:rPr>
                <w:rFonts w:hint="default" w:ascii="Times New Roman" w:hAnsi="Times New Roman" w:eastAsia="宋体" w:cs="Times New Roman"/>
                <w:bCs/>
                <w:color w:val="auto"/>
                <w:szCs w:val="21"/>
                <w:highlight w:val="none"/>
              </w:rPr>
              <w:t>；联合体成员方须具备独立法人资格，并具有</w:t>
            </w:r>
            <w:r>
              <w:rPr>
                <w:rFonts w:hint="eastAsia" w:ascii="宋体" w:hAnsi="宋体" w:eastAsia="宋体" w:cs="Times New Roman"/>
                <w:color w:val="auto"/>
                <w:szCs w:val="21"/>
                <w:highlight w:val="none"/>
                <w:lang w:val="en-US" w:eastAsia="zh-CN"/>
              </w:rPr>
              <w:t>省级交通运输主管部门颁发的</w:t>
            </w:r>
            <w:r>
              <w:rPr>
                <w:rFonts w:hint="eastAsia" w:ascii="宋体" w:hAnsi="宋体"/>
                <w:color w:val="auto"/>
                <w:szCs w:val="21"/>
                <w:highlight w:val="none"/>
              </w:rPr>
              <w:t>隧道养护甲级资质</w:t>
            </w:r>
            <w:r>
              <w:rPr>
                <w:rFonts w:hint="eastAsia" w:ascii="宋体" w:hAnsi="宋体"/>
                <w:color w:val="auto"/>
                <w:szCs w:val="21"/>
                <w:highlight w:val="none"/>
                <w:lang w:val="en-US" w:eastAsia="zh-CN"/>
              </w:rPr>
              <w:t>或</w:t>
            </w:r>
            <w:r>
              <w:rPr>
                <w:rFonts w:hint="eastAsia" w:ascii="宋体" w:hAnsi="宋体" w:eastAsia="宋体"/>
                <w:color w:val="auto"/>
                <w:szCs w:val="21"/>
                <w:highlight w:val="none"/>
                <w:lang w:val="en-US" w:eastAsia="zh-CN"/>
              </w:rPr>
              <w:t>路基路面养护甲级资质</w:t>
            </w:r>
            <w:r>
              <w:rPr>
                <w:rFonts w:hint="default" w:ascii="Times New Roman" w:hAnsi="Times New Roman" w:eastAsia="宋体" w:cs="Times New Roman"/>
                <w:bCs/>
                <w:color w:val="auto"/>
                <w:szCs w:val="21"/>
                <w:highlight w:val="none"/>
              </w:rPr>
              <w:t>。</w:t>
            </w:r>
          </w:p>
          <w:p w14:paraId="099CA3CD">
            <w:pPr>
              <w:pStyle w:val="9"/>
              <w:keepNext w:val="0"/>
              <w:keepLines w:val="0"/>
              <w:pageBreakBefore w:val="0"/>
              <w:widowControl w:val="0"/>
              <w:kinsoku/>
              <w:wordWrap/>
              <w:overflowPunct/>
              <w:topLinePunct w:val="0"/>
              <w:autoSpaceDE/>
              <w:autoSpaceDN/>
              <w:bidi w:val="0"/>
              <w:adjustRightInd/>
              <w:spacing w:line="380" w:lineRule="exact"/>
              <w:textAlignment w:val="auto"/>
              <w:rPr>
                <w:rFonts w:hint="default" w:ascii="宋体" w:hAnsi="宋体" w:eastAsia="宋体" w:cs="Times New Roman"/>
                <w:color w:val="auto"/>
                <w:szCs w:val="21"/>
                <w:highlight w:val="none"/>
                <w:lang w:val="en-US" w:eastAsia="zh-CN"/>
              </w:rPr>
            </w:pPr>
            <w:r>
              <w:rPr>
                <w:rFonts w:hint="default" w:ascii="宋体" w:hAnsi="宋体" w:eastAsia="宋体" w:cs="Times New Roman"/>
                <w:color w:val="auto"/>
                <w:szCs w:val="21"/>
                <w:highlight w:val="none"/>
                <w:lang w:val="en-US" w:eastAsia="zh-CN"/>
              </w:rPr>
              <w:t>（2）联合体各方不得再单独参加或者与其他投标人另外组成联合体参加本次投标活动</w:t>
            </w:r>
            <w:r>
              <w:rPr>
                <w:rFonts w:hint="eastAsia" w:ascii="宋体" w:hAnsi="宋体" w:eastAsia="宋体" w:cs="Times New Roman"/>
                <w:color w:val="auto"/>
                <w:szCs w:val="21"/>
                <w:highlight w:val="none"/>
                <w:lang w:val="en-US" w:eastAsia="zh-CN"/>
              </w:rPr>
              <w:t>。</w:t>
            </w:r>
          </w:p>
          <w:p w14:paraId="027B9F4E">
            <w:pPr>
              <w:pStyle w:val="9"/>
              <w:keepNext w:val="0"/>
              <w:keepLines w:val="0"/>
              <w:pageBreakBefore w:val="0"/>
              <w:widowControl w:val="0"/>
              <w:kinsoku/>
              <w:wordWrap/>
              <w:overflowPunct/>
              <w:topLinePunct w:val="0"/>
              <w:autoSpaceDE/>
              <w:autoSpaceDN/>
              <w:bidi w:val="0"/>
              <w:adjustRightInd/>
              <w:spacing w:line="380" w:lineRule="exact"/>
              <w:textAlignment w:val="auto"/>
              <w:rPr>
                <w:rFonts w:hint="default" w:eastAsia="宋体"/>
                <w:color w:val="auto"/>
                <w:highlight w:val="none"/>
                <w:lang w:val="en-US" w:eastAsia="zh-CN"/>
              </w:rPr>
            </w:pPr>
            <w:r>
              <w:rPr>
                <w:rFonts w:hint="default" w:ascii="宋体" w:hAnsi="宋体" w:eastAsia="宋体" w:cs="Times New Roman"/>
                <w:color w:val="auto"/>
                <w:szCs w:val="21"/>
                <w:highlight w:val="none"/>
                <w:lang w:val="en-US" w:eastAsia="zh-CN"/>
              </w:rPr>
              <w:t>（3）联合体应提交联合体协议并注明牵头人及各方拟承担的工作和责任，并承诺一旦中标，联合体各方将向发包人承担连带责任。</w:t>
            </w:r>
          </w:p>
        </w:tc>
      </w:tr>
    </w:tbl>
    <w:p w14:paraId="26FFC4C0">
      <w:pPr>
        <w:pStyle w:val="9"/>
        <w:jc w:val="left"/>
        <w:rPr>
          <w:rFonts w:hint="eastAsia" w:ascii="宋体" w:hAnsi="宋体"/>
          <w:color w:val="auto"/>
          <w:szCs w:val="21"/>
          <w:highlight w:val="none"/>
        </w:rPr>
      </w:pPr>
      <w:bookmarkStart w:id="68" w:name="EB883ce9d83bad4b5fac2e10e7e84baf79"/>
      <w:r>
        <w:rPr>
          <w:rFonts w:ascii="宋体" w:hAnsi="宋体"/>
          <w:color w:val="auto"/>
          <w:sz w:val="20"/>
          <w:szCs w:val="21"/>
          <w:highlight w:val="none"/>
        </w:rPr>
        <w:t xml:space="preserve"> </w:t>
      </w:r>
      <w:bookmarkEnd w:id="68"/>
      <w:bookmarkStart w:id="69" w:name="EB1c3ca57666ef463d97fe82f1f30b66aa"/>
      <w:r>
        <w:rPr>
          <w:rFonts w:ascii="宋体" w:hAnsi="宋体"/>
          <w:color w:val="auto"/>
          <w:sz w:val="20"/>
          <w:szCs w:val="21"/>
          <w:highlight w:val="none"/>
        </w:rPr>
        <w:t xml:space="preserve"> </w:t>
      </w:r>
      <w:bookmarkEnd w:id="69"/>
    </w:p>
    <w:p w14:paraId="72E975C0">
      <w:pPr>
        <w:pStyle w:val="42"/>
        <w:pageBreakBefore/>
        <w:jc w:val="center"/>
        <w:rPr>
          <w:color w:val="auto"/>
          <w:highlight w:val="none"/>
        </w:rPr>
      </w:pPr>
      <w:bookmarkStart w:id="70" w:name="_Toc1206"/>
      <w:r>
        <w:rPr>
          <w:rFonts w:hint="eastAsia"/>
          <w:color w:val="auto"/>
          <w:highlight w:val="none"/>
        </w:rPr>
        <w:t>附录2 资格审查条件（财务最低要求）</w:t>
      </w:r>
      <w:bookmarkEnd w:id="70"/>
    </w:p>
    <w:tbl>
      <w:tblPr>
        <w:tblStyle w:val="23"/>
        <w:tblW w:w="8840"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439"/>
        <w:gridCol w:w="7401"/>
      </w:tblGrid>
      <w:tr w14:paraId="55BCA46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1439" w:type="dxa"/>
            <w:tcBorders>
              <w:tl2br w:val="nil"/>
              <w:tr2bl w:val="nil"/>
            </w:tcBorders>
            <w:noWrap w:val="0"/>
            <w:vAlign w:val="center"/>
          </w:tcPr>
          <w:p w14:paraId="426D44F5">
            <w:pPr>
              <w:pStyle w:val="9"/>
              <w:spacing w:line="400" w:lineRule="exact"/>
              <w:jc w:val="center"/>
              <w:rPr>
                <w:rFonts w:hint="eastAsia" w:ascii="宋体" w:hAnsi="宋体"/>
                <w:b/>
                <w:bCs/>
                <w:color w:val="auto"/>
                <w:highlight w:val="none"/>
              </w:rPr>
            </w:pPr>
            <w:r>
              <w:rPr>
                <w:rFonts w:hint="eastAsia" w:ascii="宋体" w:hAnsi="宋体"/>
                <w:b/>
                <w:bCs/>
                <w:color w:val="auto"/>
                <w:highlight w:val="none"/>
              </w:rPr>
              <w:t>标段</w:t>
            </w:r>
          </w:p>
        </w:tc>
        <w:tc>
          <w:tcPr>
            <w:tcW w:w="7401" w:type="dxa"/>
            <w:tcBorders>
              <w:tl2br w:val="nil"/>
              <w:tr2bl w:val="nil"/>
            </w:tcBorders>
            <w:noWrap w:val="0"/>
            <w:vAlign w:val="center"/>
          </w:tcPr>
          <w:p w14:paraId="0C2D9F1F">
            <w:pPr>
              <w:pStyle w:val="9"/>
              <w:spacing w:line="400" w:lineRule="exact"/>
              <w:jc w:val="center"/>
              <w:rPr>
                <w:rFonts w:hint="eastAsia" w:ascii="宋体" w:hAnsi="宋体"/>
                <w:b/>
                <w:bCs/>
                <w:color w:val="auto"/>
                <w:highlight w:val="none"/>
              </w:rPr>
            </w:pPr>
            <w:r>
              <w:rPr>
                <w:rFonts w:hint="eastAsia" w:ascii="宋体" w:hAnsi="宋体"/>
                <w:b/>
                <w:bCs/>
                <w:color w:val="auto"/>
                <w:highlight w:val="none"/>
              </w:rPr>
              <w:t>财务要求</w:t>
            </w:r>
          </w:p>
        </w:tc>
      </w:tr>
      <w:tr w14:paraId="7DCCB87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549" w:hRule="atLeast"/>
        </w:trPr>
        <w:tc>
          <w:tcPr>
            <w:tcW w:w="1439" w:type="dxa"/>
            <w:tcBorders>
              <w:tl2br w:val="nil"/>
              <w:tr2bl w:val="nil"/>
            </w:tcBorders>
            <w:noWrap w:val="0"/>
            <w:vAlign w:val="center"/>
          </w:tcPr>
          <w:p w14:paraId="7210262C">
            <w:pPr>
              <w:pStyle w:val="9"/>
              <w:spacing w:line="360" w:lineRule="auto"/>
              <w:jc w:val="center"/>
              <w:rPr>
                <w:rFonts w:hint="eastAsia" w:ascii="宋体" w:hAnsi="宋体"/>
                <w:color w:val="auto"/>
                <w:szCs w:val="21"/>
                <w:highlight w:val="none"/>
              </w:rPr>
            </w:pPr>
            <w:r>
              <w:rPr>
                <w:rFonts w:hint="eastAsia" w:ascii="宋体" w:hAnsi="宋体" w:eastAsia="宋体"/>
                <w:color w:val="auto"/>
                <w:szCs w:val="21"/>
                <w:highlight w:val="none"/>
                <w:lang w:val="en-US" w:eastAsia="zh-CN"/>
              </w:rPr>
              <w:t>第</w:t>
            </w:r>
            <w:r>
              <w:rPr>
                <w:rFonts w:hint="eastAsia" w:ascii="宋体" w:hAnsi="宋体"/>
                <w:color w:val="auto"/>
                <w:szCs w:val="21"/>
                <w:highlight w:val="none"/>
              </w:rPr>
              <w:t>SG-01标段</w:t>
            </w:r>
          </w:p>
        </w:tc>
        <w:tc>
          <w:tcPr>
            <w:tcW w:w="7401" w:type="dxa"/>
            <w:tcBorders>
              <w:tl2br w:val="nil"/>
              <w:tr2bl w:val="nil"/>
            </w:tcBorders>
            <w:noWrap w:val="0"/>
            <w:vAlign w:val="center"/>
          </w:tcPr>
          <w:p w14:paraId="6C67BA88">
            <w:pPr>
              <w:pStyle w:val="9"/>
              <w:spacing w:line="400" w:lineRule="exact"/>
              <w:rPr>
                <w:rFonts w:ascii="宋体" w:hAnsi="宋体"/>
                <w:color w:val="auto"/>
                <w:szCs w:val="21"/>
                <w:highlight w:val="none"/>
              </w:rPr>
            </w:pPr>
            <w:r>
              <w:rPr>
                <w:rFonts w:hint="eastAsia" w:ascii="宋体" w:hAnsi="宋体"/>
                <w:color w:val="auto"/>
                <w:szCs w:val="21"/>
                <w:highlight w:val="none"/>
              </w:rPr>
              <w:t>承诺提供不少于</w:t>
            </w:r>
            <w:r>
              <w:rPr>
                <w:rFonts w:hint="eastAsia" w:ascii="宋体" w:hAnsi="宋体" w:eastAsia="宋体"/>
                <w:color w:val="auto"/>
                <w:szCs w:val="21"/>
                <w:highlight w:val="none"/>
                <w:u w:val="single"/>
                <w:lang w:val="en-US" w:eastAsia="zh-CN"/>
              </w:rPr>
              <w:t xml:space="preserve"> 150 </w:t>
            </w:r>
            <w:r>
              <w:rPr>
                <w:rFonts w:hint="eastAsia" w:ascii="宋体" w:hAnsi="宋体"/>
                <w:color w:val="auto"/>
                <w:szCs w:val="21"/>
                <w:highlight w:val="none"/>
              </w:rPr>
              <w:t>万元人民币的流动资金（由投标人自行决定采用银行信贷证明或财务能力承诺书</w:t>
            </w:r>
            <w:r>
              <w:rPr>
                <w:rFonts w:ascii="宋体" w:hAnsi="宋体"/>
                <w:color w:val="auto"/>
                <w:szCs w:val="21"/>
                <w:highlight w:val="none"/>
              </w:rPr>
              <w:t>）</w:t>
            </w:r>
            <w:r>
              <w:rPr>
                <w:rFonts w:hint="eastAsia" w:ascii="宋体" w:hAnsi="宋体"/>
                <w:color w:val="auto"/>
                <w:szCs w:val="21"/>
                <w:highlight w:val="none"/>
              </w:rPr>
              <w:t>。</w:t>
            </w:r>
          </w:p>
          <w:p w14:paraId="0986F006">
            <w:pPr>
              <w:pStyle w:val="9"/>
              <w:spacing w:line="400" w:lineRule="exact"/>
              <w:rPr>
                <w:rFonts w:ascii="宋体" w:hAnsi="宋体"/>
                <w:color w:val="auto"/>
                <w:szCs w:val="21"/>
                <w:highlight w:val="none"/>
              </w:rPr>
            </w:pPr>
            <w:r>
              <w:rPr>
                <w:rFonts w:hint="eastAsia" w:ascii="宋体" w:hAnsi="宋体"/>
                <w:color w:val="auto"/>
                <w:szCs w:val="21"/>
                <w:highlight w:val="none"/>
              </w:rPr>
              <w:t>采用银行信贷证明，开具银行信贷证明的银行级别：国有或大中型股份制商业银行县（区、市）级支行及以上银行开具。</w:t>
            </w:r>
          </w:p>
        </w:tc>
      </w:tr>
    </w:tbl>
    <w:p w14:paraId="3103452B">
      <w:pPr>
        <w:pStyle w:val="9"/>
        <w:jc w:val="left"/>
        <w:rPr>
          <w:rFonts w:hint="default" w:ascii="宋体" w:hAnsi="宋体" w:eastAsia="宋体"/>
          <w:color w:val="auto"/>
          <w:sz w:val="18"/>
          <w:szCs w:val="18"/>
          <w:highlight w:val="none"/>
          <w:lang w:val="en-US" w:eastAsia="zh-CN"/>
        </w:rPr>
      </w:pPr>
      <w:bookmarkStart w:id="71" w:name="EBdfc8171eef06458e9004f90c92371c3a"/>
      <w:r>
        <w:rPr>
          <w:rFonts w:ascii="宋体" w:hAnsi="宋体"/>
          <w:color w:val="auto"/>
          <w:sz w:val="18"/>
          <w:szCs w:val="18"/>
          <w:highlight w:val="none"/>
        </w:rPr>
        <w:t xml:space="preserve"> </w:t>
      </w:r>
      <w:bookmarkEnd w:id="71"/>
      <w:bookmarkStart w:id="72" w:name="EB83b4b73fcdc94da5a20644d8d049285b"/>
      <w:r>
        <w:rPr>
          <w:rFonts w:ascii="宋体" w:hAnsi="宋体"/>
          <w:color w:val="auto"/>
          <w:sz w:val="18"/>
          <w:szCs w:val="18"/>
          <w:highlight w:val="none"/>
        </w:rPr>
        <w:t xml:space="preserve"> </w:t>
      </w:r>
      <w:bookmarkEnd w:id="72"/>
      <w:r>
        <w:rPr>
          <w:rFonts w:hint="eastAsia" w:ascii="宋体" w:hAnsi="宋体" w:eastAsia="宋体"/>
          <w:color w:val="auto"/>
          <w:sz w:val="18"/>
          <w:szCs w:val="18"/>
          <w:highlight w:val="none"/>
          <w:lang w:val="en-US" w:eastAsia="zh-CN"/>
        </w:rPr>
        <w:t>注：联合体投标时，应由联合体牵头人出具。</w:t>
      </w:r>
    </w:p>
    <w:p w14:paraId="31F84728">
      <w:pPr>
        <w:pStyle w:val="42"/>
        <w:pageBreakBefore/>
        <w:jc w:val="center"/>
        <w:rPr>
          <w:color w:val="auto"/>
          <w:highlight w:val="none"/>
        </w:rPr>
      </w:pPr>
      <w:bookmarkStart w:id="73" w:name="_Toc696"/>
      <w:r>
        <w:rPr>
          <w:rFonts w:hint="eastAsia"/>
          <w:color w:val="auto"/>
          <w:highlight w:val="none"/>
        </w:rPr>
        <w:t>附录3 资格审查条件（业绩最低要求）</w:t>
      </w:r>
      <w:bookmarkEnd w:id="73"/>
    </w:p>
    <w:tbl>
      <w:tblPr>
        <w:tblStyle w:val="23"/>
        <w:tblW w:w="8543"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549"/>
        <w:gridCol w:w="6994"/>
      </w:tblGrid>
      <w:tr w14:paraId="68CFD87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1549" w:type="dxa"/>
            <w:tcBorders>
              <w:tl2br w:val="nil"/>
              <w:tr2bl w:val="nil"/>
            </w:tcBorders>
            <w:noWrap w:val="0"/>
            <w:vAlign w:val="center"/>
          </w:tcPr>
          <w:p w14:paraId="0291ABFE">
            <w:pPr>
              <w:pStyle w:val="9"/>
              <w:spacing w:line="400" w:lineRule="exact"/>
              <w:jc w:val="center"/>
              <w:rPr>
                <w:rFonts w:hint="eastAsia" w:ascii="宋体" w:hAnsi="宋体"/>
                <w:b/>
                <w:bCs/>
                <w:color w:val="auto"/>
                <w:highlight w:val="none"/>
              </w:rPr>
            </w:pPr>
            <w:r>
              <w:rPr>
                <w:rFonts w:hint="eastAsia" w:ascii="宋体" w:hAnsi="宋体"/>
                <w:b/>
                <w:bCs/>
                <w:color w:val="auto"/>
                <w:highlight w:val="none"/>
              </w:rPr>
              <w:t>标段</w:t>
            </w:r>
          </w:p>
        </w:tc>
        <w:tc>
          <w:tcPr>
            <w:tcW w:w="6994" w:type="dxa"/>
            <w:tcBorders>
              <w:tl2br w:val="nil"/>
              <w:tr2bl w:val="nil"/>
            </w:tcBorders>
            <w:noWrap w:val="0"/>
            <w:vAlign w:val="center"/>
          </w:tcPr>
          <w:p w14:paraId="3E351A69">
            <w:pPr>
              <w:pStyle w:val="9"/>
              <w:spacing w:line="400" w:lineRule="exact"/>
              <w:jc w:val="center"/>
              <w:rPr>
                <w:rFonts w:hint="eastAsia" w:ascii="宋体" w:hAnsi="宋体"/>
                <w:b/>
                <w:bCs/>
                <w:color w:val="auto"/>
                <w:highlight w:val="none"/>
              </w:rPr>
            </w:pPr>
            <w:r>
              <w:rPr>
                <w:rFonts w:hint="eastAsia" w:ascii="宋体" w:hAnsi="宋体"/>
                <w:b/>
                <w:bCs/>
                <w:color w:val="auto"/>
                <w:highlight w:val="none"/>
              </w:rPr>
              <w:t>业绩要求</w:t>
            </w:r>
          </w:p>
        </w:tc>
      </w:tr>
      <w:tr w14:paraId="5503488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549" w:type="dxa"/>
            <w:tcBorders>
              <w:tl2br w:val="nil"/>
              <w:tr2bl w:val="nil"/>
            </w:tcBorders>
            <w:noWrap w:val="0"/>
            <w:vAlign w:val="center"/>
          </w:tcPr>
          <w:p w14:paraId="63B5F2EE">
            <w:pPr>
              <w:pStyle w:val="9"/>
              <w:spacing w:line="320" w:lineRule="exact"/>
              <w:jc w:val="center"/>
              <w:rPr>
                <w:color w:val="auto"/>
                <w:highlight w:val="none"/>
              </w:rPr>
            </w:pPr>
            <w:r>
              <w:rPr>
                <w:rFonts w:hint="eastAsia" w:ascii="宋体" w:hAnsi="宋体" w:eastAsia="宋体"/>
                <w:color w:val="auto"/>
                <w:szCs w:val="21"/>
                <w:highlight w:val="none"/>
                <w:lang w:val="en-US" w:eastAsia="zh-CN"/>
              </w:rPr>
              <w:t>第</w:t>
            </w:r>
            <w:r>
              <w:rPr>
                <w:rFonts w:hint="eastAsia" w:ascii="宋体" w:hAnsi="宋体"/>
                <w:color w:val="auto"/>
                <w:szCs w:val="21"/>
                <w:highlight w:val="none"/>
              </w:rPr>
              <w:t>SG-01标段</w:t>
            </w:r>
          </w:p>
        </w:tc>
        <w:tc>
          <w:tcPr>
            <w:tcW w:w="6994" w:type="dxa"/>
            <w:tcBorders>
              <w:tl2br w:val="nil"/>
              <w:tr2bl w:val="nil"/>
            </w:tcBorders>
            <w:noWrap w:val="0"/>
            <w:vAlign w:val="center"/>
          </w:tcPr>
          <w:p w14:paraId="0D02AB47">
            <w:pPr>
              <w:pStyle w:val="49"/>
              <w:spacing w:line="400" w:lineRule="exac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投标人须同时具有以下两项业绩：</w:t>
            </w:r>
          </w:p>
          <w:p w14:paraId="3CB80185">
            <w:pPr>
              <w:pStyle w:val="49"/>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1、</w:t>
            </w:r>
            <w:r>
              <w:rPr>
                <w:rFonts w:hint="eastAsia" w:ascii="宋体" w:hAnsi="宋体"/>
                <w:color w:val="auto"/>
                <w:szCs w:val="21"/>
                <w:highlight w:val="none"/>
              </w:rPr>
              <w:t>自20</w:t>
            </w:r>
            <w:r>
              <w:rPr>
                <w:rFonts w:hint="eastAsia" w:ascii="宋体" w:hAnsi="宋体"/>
                <w:color w:val="auto"/>
                <w:szCs w:val="21"/>
                <w:highlight w:val="none"/>
                <w:lang w:val="en-US" w:eastAsia="zh-CN"/>
              </w:rPr>
              <w:t>21</w:t>
            </w:r>
            <w:r>
              <w:rPr>
                <w:rFonts w:hint="eastAsia" w:ascii="宋体" w:hAnsi="宋体"/>
                <w:color w:val="auto"/>
                <w:szCs w:val="21"/>
                <w:highlight w:val="none"/>
              </w:rPr>
              <w:t>年</w:t>
            </w:r>
            <w:r>
              <w:rPr>
                <w:rFonts w:hint="eastAsia" w:ascii="宋体" w:hAnsi="宋体"/>
                <w:color w:val="auto"/>
                <w:szCs w:val="21"/>
                <w:highlight w:val="none"/>
                <w:lang w:val="en-US" w:eastAsia="zh-CN"/>
              </w:rPr>
              <w:t>7</w:t>
            </w:r>
            <w:r>
              <w:rPr>
                <w:rFonts w:hint="eastAsia" w:ascii="宋体" w:hAnsi="宋体"/>
                <w:color w:val="auto"/>
                <w:szCs w:val="21"/>
                <w:highlight w:val="none"/>
              </w:rPr>
              <w:t>月1日（以实际交工日期为准）以来，按一个标段成功完成过</w:t>
            </w:r>
            <w:r>
              <w:rPr>
                <w:rFonts w:ascii="宋体" w:hAnsi="宋体"/>
                <w:color w:val="auto"/>
                <w:szCs w:val="21"/>
                <w:highlight w:val="none"/>
              </w:rPr>
              <w:t>合同金额</w:t>
            </w:r>
            <w:r>
              <w:rPr>
                <w:rFonts w:hint="eastAsia" w:ascii="宋体" w:hAnsi="宋体"/>
                <w:color w:val="auto"/>
                <w:szCs w:val="21"/>
                <w:highlight w:val="none"/>
                <w:lang w:val="en-US" w:eastAsia="zh-CN"/>
              </w:rPr>
              <w:t>500</w:t>
            </w:r>
            <w:r>
              <w:rPr>
                <w:rFonts w:ascii="宋体" w:hAnsi="宋体"/>
                <w:color w:val="auto"/>
                <w:szCs w:val="21"/>
                <w:highlight w:val="none"/>
              </w:rPr>
              <w:t>万元</w:t>
            </w:r>
            <w:r>
              <w:rPr>
                <w:rFonts w:hint="eastAsia" w:ascii="宋体" w:hAnsi="宋体"/>
                <w:color w:val="auto"/>
                <w:szCs w:val="21"/>
                <w:highlight w:val="none"/>
              </w:rPr>
              <w:t>及</w:t>
            </w:r>
            <w:r>
              <w:rPr>
                <w:rFonts w:ascii="宋体" w:hAnsi="宋体"/>
                <w:color w:val="auto"/>
                <w:szCs w:val="21"/>
                <w:highlight w:val="none"/>
              </w:rPr>
              <w:t>以上的</w:t>
            </w:r>
            <w:r>
              <w:rPr>
                <w:rFonts w:hint="eastAsia" w:ascii="宋体" w:hAnsi="宋体"/>
                <w:color w:val="auto"/>
                <w:szCs w:val="21"/>
                <w:highlight w:val="none"/>
                <w:lang w:val="en-US" w:eastAsia="zh-CN"/>
              </w:rPr>
              <w:t>隧道机电工程施工</w:t>
            </w:r>
            <w:r>
              <w:rPr>
                <w:rFonts w:hint="eastAsia" w:ascii="宋体" w:hAnsi="宋体"/>
                <w:color w:val="auto"/>
                <w:szCs w:val="21"/>
                <w:highlight w:val="none"/>
              </w:rPr>
              <w:t>。</w:t>
            </w:r>
          </w:p>
          <w:p w14:paraId="0CF6B777">
            <w:pPr>
              <w:pStyle w:val="49"/>
              <w:spacing w:line="400" w:lineRule="exact"/>
              <w:rPr>
                <w:rFonts w:hint="eastAsia" w:ascii="宋体" w:hAnsi="宋体"/>
                <w:color w:val="auto"/>
                <w:szCs w:val="21"/>
                <w:highlight w:val="none"/>
              </w:rPr>
            </w:pPr>
            <w:r>
              <w:rPr>
                <w:rFonts w:hint="eastAsia" w:ascii="宋体" w:hAnsi="宋体"/>
                <w:strike w:val="0"/>
                <w:dstrike w:val="0"/>
                <w:color w:val="auto"/>
                <w:szCs w:val="21"/>
                <w:highlight w:val="none"/>
                <w:lang w:val="en-US" w:eastAsia="zh-CN"/>
              </w:rPr>
              <w:t>2、</w:t>
            </w:r>
            <w:r>
              <w:rPr>
                <w:rFonts w:hint="eastAsia" w:ascii="宋体" w:hAnsi="宋体"/>
                <w:strike w:val="0"/>
                <w:dstrike w:val="0"/>
                <w:color w:val="auto"/>
                <w:szCs w:val="21"/>
                <w:highlight w:val="none"/>
              </w:rPr>
              <w:t>自20</w:t>
            </w:r>
            <w:r>
              <w:rPr>
                <w:rFonts w:hint="eastAsia" w:ascii="宋体" w:hAnsi="宋体"/>
                <w:strike w:val="0"/>
                <w:dstrike w:val="0"/>
                <w:color w:val="auto"/>
                <w:szCs w:val="21"/>
                <w:highlight w:val="none"/>
                <w:lang w:val="en-US" w:eastAsia="zh-CN"/>
              </w:rPr>
              <w:t>21</w:t>
            </w:r>
            <w:r>
              <w:rPr>
                <w:rFonts w:hint="eastAsia" w:ascii="宋体" w:hAnsi="宋体"/>
                <w:strike w:val="0"/>
                <w:dstrike w:val="0"/>
                <w:color w:val="auto"/>
                <w:szCs w:val="21"/>
                <w:highlight w:val="none"/>
              </w:rPr>
              <w:t>年</w:t>
            </w:r>
            <w:r>
              <w:rPr>
                <w:rFonts w:hint="eastAsia" w:ascii="宋体" w:hAnsi="宋体"/>
                <w:strike w:val="0"/>
                <w:dstrike w:val="0"/>
                <w:color w:val="auto"/>
                <w:szCs w:val="21"/>
                <w:highlight w:val="none"/>
                <w:lang w:val="en-US" w:eastAsia="zh-CN"/>
              </w:rPr>
              <w:t>7</w:t>
            </w:r>
            <w:r>
              <w:rPr>
                <w:rFonts w:hint="eastAsia" w:ascii="宋体" w:hAnsi="宋体"/>
                <w:strike w:val="0"/>
                <w:dstrike w:val="0"/>
                <w:color w:val="auto"/>
                <w:szCs w:val="21"/>
                <w:highlight w:val="none"/>
              </w:rPr>
              <w:t>月1日（以实际交工日期为准）以来，按一个标段成功完成过</w:t>
            </w:r>
            <w:r>
              <w:rPr>
                <w:rFonts w:ascii="宋体" w:hAnsi="宋体"/>
                <w:strike w:val="0"/>
                <w:dstrike w:val="0"/>
                <w:color w:val="auto"/>
                <w:szCs w:val="21"/>
                <w:highlight w:val="none"/>
              </w:rPr>
              <w:t>合同金额</w:t>
            </w:r>
            <w:r>
              <w:rPr>
                <w:rFonts w:hint="eastAsia" w:ascii="宋体" w:hAnsi="宋体"/>
                <w:strike w:val="0"/>
                <w:dstrike w:val="0"/>
                <w:color w:val="auto"/>
                <w:szCs w:val="21"/>
                <w:highlight w:val="none"/>
              </w:rPr>
              <w:t>200万元及以上的隧道养护工程施工</w:t>
            </w:r>
            <w:r>
              <w:rPr>
                <w:rFonts w:hint="eastAsia" w:ascii="宋体" w:hAnsi="宋体"/>
                <w:strike w:val="0"/>
                <w:dstrike w:val="0"/>
                <w:color w:val="auto"/>
                <w:szCs w:val="21"/>
                <w:highlight w:val="none"/>
              </w:rPr>
              <w:t>。</w:t>
            </w:r>
          </w:p>
        </w:tc>
      </w:tr>
    </w:tbl>
    <w:p w14:paraId="3AEB44AA">
      <w:pPr>
        <w:pStyle w:val="11"/>
        <w:ind w:left="0" w:leftChars="0" w:firstLine="0" w:firstLineChars="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注：1</w:t>
      </w:r>
      <w:bookmarkStart w:id="74" w:name="EB56369db7b41f4f369bfd54ae442fb456"/>
      <w:r>
        <w:rPr>
          <w:rFonts w:hint="eastAsia" w:ascii="宋体" w:hAnsi="宋体" w:eastAsia="宋体" w:cs="宋体"/>
          <w:color w:val="auto"/>
          <w:sz w:val="18"/>
          <w:szCs w:val="18"/>
          <w:highlight w:val="none"/>
          <w:lang w:val="en-US" w:eastAsia="zh-CN"/>
        </w:rPr>
        <w:t>.投标人应在“第八章 投标文件格式”的“近年完成的类似项目情况表”后附相关资料，所附资料见投标人须知前附表 3.5.3 项规定。</w:t>
      </w:r>
      <w:r>
        <w:rPr>
          <w:rFonts w:hint="eastAsia" w:ascii="宋体" w:hAnsi="宋体" w:eastAsia="宋体" w:cs="宋体"/>
          <w:color w:val="auto"/>
          <w:sz w:val="18"/>
          <w:szCs w:val="18"/>
          <w:highlight w:val="none"/>
        </w:rPr>
        <w:t xml:space="preserve"> </w:t>
      </w:r>
      <w:bookmarkEnd w:id="74"/>
    </w:p>
    <w:p w14:paraId="39344A94">
      <w:pPr>
        <w:pStyle w:val="11"/>
        <w:rPr>
          <w:rFonts w:hint="default" w:eastAsia="宋体"/>
          <w:color w:val="auto"/>
          <w:highlight w:val="none"/>
          <w:lang w:val="en-US" w:eastAsia="zh-CN"/>
        </w:rPr>
      </w:pPr>
      <w:r>
        <w:rPr>
          <w:rFonts w:hint="eastAsia" w:hAnsi="宋体" w:eastAsia="宋体" w:cs="宋体"/>
          <w:color w:val="auto"/>
          <w:sz w:val="18"/>
          <w:szCs w:val="18"/>
          <w:highlight w:val="none"/>
          <w:lang w:val="en-US" w:eastAsia="zh-CN"/>
        </w:rPr>
        <w:t>2.联合体投标的，</w:t>
      </w:r>
      <w:r>
        <w:rPr>
          <w:rFonts w:hint="eastAsia" w:hAnsi="宋体" w:cs="宋体"/>
          <w:color w:val="auto"/>
          <w:sz w:val="18"/>
          <w:szCs w:val="18"/>
          <w:highlight w:val="none"/>
          <w:lang w:val="en-US" w:eastAsia="zh-CN"/>
        </w:rPr>
        <w:t>业绩1必须由</w:t>
      </w:r>
      <w:r>
        <w:rPr>
          <w:rFonts w:hint="eastAsia" w:hAnsi="宋体" w:eastAsia="宋体" w:cs="宋体"/>
          <w:color w:val="auto"/>
          <w:sz w:val="18"/>
          <w:szCs w:val="18"/>
          <w:highlight w:val="none"/>
          <w:lang w:val="en-US" w:eastAsia="zh-CN"/>
        </w:rPr>
        <w:t>联合体牵头人提供。</w:t>
      </w:r>
    </w:p>
    <w:p w14:paraId="5D549A28">
      <w:pPr>
        <w:pStyle w:val="9"/>
        <w:jc w:val="left"/>
        <w:rPr>
          <w:rFonts w:ascii="宋体" w:hAnsi="宋体"/>
          <w:color w:val="auto"/>
          <w:szCs w:val="21"/>
          <w:highlight w:val="none"/>
        </w:rPr>
      </w:pPr>
      <w:bookmarkStart w:id="75" w:name="EBd8f0d7bb68fd43a488c9286a155aa275"/>
      <w:r>
        <w:rPr>
          <w:rFonts w:ascii="宋体" w:hAnsi="宋体"/>
          <w:color w:val="auto"/>
          <w:sz w:val="20"/>
          <w:szCs w:val="21"/>
          <w:highlight w:val="none"/>
        </w:rPr>
        <w:t xml:space="preserve"> </w:t>
      </w:r>
      <w:bookmarkEnd w:id="75"/>
    </w:p>
    <w:p w14:paraId="7DFF7C63">
      <w:pPr>
        <w:pStyle w:val="42"/>
        <w:pageBreakBefore/>
        <w:jc w:val="center"/>
        <w:rPr>
          <w:color w:val="auto"/>
          <w:highlight w:val="none"/>
        </w:rPr>
      </w:pPr>
      <w:bookmarkStart w:id="76" w:name="_Toc21469"/>
      <w:r>
        <w:rPr>
          <w:rFonts w:hint="eastAsia"/>
          <w:color w:val="auto"/>
          <w:highlight w:val="none"/>
        </w:rPr>
        <w:t>附录4 资格审查条件（信誉最低要求）</w:t>
      </w:r>
      <w:bookmarkEnd w:id="76"/>
    </w:p>
    <w:tbl>
      <w:tblPr>
        <w:tblStyle w:val="23"/>
        <w:tblW w:w="8564"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569"/>
        <w:gridCol w:w="6995"/>
      </w:tblGrid>
      <w:tr w14:paraId="68AE80A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1569" w:type="dxa"/>
            <w:tcBorders>
              <w:tl2br w:val="nil"/>
              <w:tr2bl w:val="nil"/>
            </w:tcBorders>
            <w:noWrap w:val="0"/>
            <w:vAlign w:val="center"/>
          </w:tcPr>
          <w:p w14:paraId="1C2D44CA">
            <w:pPr>
              <w:pStyle w:val="9"/>
              <w:spacing w:line="400" w:lineRule="exact"/>
              <w:jc w:val="center"/>
              <w:rPr>
                <w:rFonts w:hint="eastAsia" w:ascii="宋体" w:hAnsi="宋体"/>
                <w:b/>
                <w:bCs/>
                <w:color w:val="auto"/>
                <w:highlight w:val="none"/>
              </w:rPr>
            </w:pPr>
            <w:r>
              <w:rPr>
                <w:rFonts w:hint="eastAsia" w:ascii="宋体" w:hAnsi="宋体"/>
                <w:b/>
                <w:bCs/>
                <w:color w:val="auto"/>
                <w:highlight w:val="none"/>
              </w:rPr>
              <w:t>标段</w:t>
            </w:r>
          </w:p>
        </w:tc>
        <w:tc>
          <w:tcPr>
            <w:tcW w:w="6995" w:type="dxa"/>
            <w:tcBorders>
              <w:tl2br w:val="nil"/>
              <w:tr2bl w:val="nil"/>
            </w:tcBorders>
            <w:noWrap w:val="0"/>
            <w:vAlign w:val="center"/>
          </w:tcPr>
          <w:p w14:paraId="446AFA24">
            <w:pPr>
              <w:pStyle w:val="9"/>
              <w:spacing w:line="400" w:lineRule="exact"/>
              <w:jc w:val="center"/>
              <w:rPr>
                <w:rFonts w:hint="eastAsia" w:ascii="宋体" w:hAnsi="宋体"/>
                <w:b/>
                <w:bCs/>
                <w:color w:val="auto"/>
                <w:highlight w:val="none"/>
              </w:rPr>
            </w:pPr>
            <w:r>
              <w:rPr>
                <w:rFonts w:hint="eastAsia" w:ascii="宋体" w:hAnsi="宋体"/>
                <w:b/>
                <w:bCs/>
                <w:color w:val="auto"/>
                <w:highlight w:val="none"/>
              </w:rPr>
              <w:t>信誉要求</w:t>
            </w:r>
          </w:p>
        </w:tc>
      </w:tr>
      <w:tr w14:paraId="3CF4A37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88" w:hRule="atLeast"/>
        </w:trPr>
        <w:tc>
          <w:tcPr>
            <w:tcW w:w="1569" w:type="dxa"/>
            <w:tcBorders>
              <w:tl2br w:val="nil"/>
              <w:tr2bl w:val="nil"/>
            </w:tcBorders>
            <w:noWrap w:val="0"/>
            <w:vAlign w:val="center"/>
          </w:tcPr>
          <w:p w14:paraId="66D84C18">
            <w:pPr>
              <w:pStyle w:val="9"/>
              <w:spacing w:line="360" w:lineRule="auto"/>
              <w:jc w:val="center"/>
              <w:rPr>
                <w:rFonts w:ascii="宋体" w:hAnsi="宋体"/>
                <w:color w:val="auto"/>
                <w:szCs w:val="21"/>
                <w:highlight w:val="none"/>
              </w:rPr>
            </w:pPr>
            <w:r>
              <w:rPr>
                <w:rFonts w:hint="eastAsia" w:ascii="宋体" w:hAnsi="宋体" w:eastAsia="宋体"/>
                <w:color w:val="auto"/>
                <w:szCs w:val="21"/>
                <w:highlight w:val="none"/>
                <w:lang w:val="en-US" w:eastAsia="zh-CN"/>
              </w:rPr>
              <w:t>第</w:t>
            </w:r>
            <w:r>
              <w:rPr>
                <w:rFonts w:hint="eastAsia" w:ascii="宋体" w:hAnsi="宋体"/>
                <w:color w:val="auto"/>
                <w:szCs w:val="21"/>
                <w:highlight w:val="none"/>
              </w:rPr>
              <w:t>SG-01标段</w:t>
            </w:r>
          </w:p>
        </w:tc>
        <w:tc>
          <w:tcPr>
            <w:tcW w:w="6995" w:type="dxa"/>
            <w:tcBorders>
              <w:tl2br w:val="nil"/>
              <w:tr2bl w:val="nil"/>
            </w:tcBorders>
            <w:noWrap w:val="0"/>
            <w:vAlign w:val="center"/>
          </w:tcPr>
          <w:p w14:paraId="2BAA9633">
            <w:pPr>
              <w:pStyle w:val="9"/>
              <w:spacing w:line="400" w:lineRule="exact"/>
              <w:rPr>
                <w:rFonts w:ascii="宋体" w:hAnsi="宋体"/>
                <w:color w:val="auto"/>
                <w:highlight w:val="none"/>
              </w:rPr>
            </w:pPr>
            <w:r>
              <w:rPr>
                <w:rFonts w:hint="eastAsia" w:ascii="宋体" w:hAnsi="宋体"/>
                <w:color w:val="auto"/>
                <w:highlight w:val="none"/>
              </w:rPr>
              <w:t>不存</w:t>
            </w:r>
            <w:r>
              <w:rPr>
                <w:rFonts w:ascii="宋体" w:hAnsi="宋体"/>
                <w:color w:val="auto"/>
                <w:highlight w:val="none"/>
              </w:rPr>
              <w:t>在</w:t>
            </w:r>
            <w:r>
              <w:rPr>
                <w:rFonts w:hint="eastAsia" w:ascii="宋体" w:hAnsi="宋体"/>
                <w:color w:val="auto"/>
                <w:highlight w:val="none"/>
              </w:rPr>
              <w:t>投标人须知第1.4.3项</w:t>
            </w:r>
            <w:r>
              <w:rPr>
                <w:rFonts w:hint="eastAsia" w:ascii="宋体" w:hAnsi="宋体" w:eastAsia="宋体"/>
                <w:color w:val="auto"/>
                <w:highlight w:val="none"/>
                <w:lang w:val="en-US" w:eastAsia="zh-CN"/>
              </w:rPr>
              <w:t>及1.4.4项</w:t>
            </w:r>
            <w:r>
              <w:rPr>
                <w:rFonts w:hint="eastAsia" w:ascii="宋体" w:hAnsi="宋体"/>
                <w:color w:val="auto"/>
                <w:highlight w:val="none"/>
              </w:rPr>
              <w:t>情形。</w:t>
            </w:r>
          </w:p>
        </w:tc>
      </w:tr>
    </w:tbl>
    <w:p w14:paraId="1AB8EEA9">
      <w:pPr>
        <w:pStyle w:val="11"/>
        <w:ind w:left="0" w:leftChars="0" w:firstLine="0" w:firstLineChars="0"/>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注：投标人应在“第八章 投标文件格式”的“投标人的信誉情况表”后附投标人在国家企业信用信息公示系统中未被列入严重违法失信企业名单、在“信用中国”网站中未被列入失信被执行人名单的网页截图。 </w:t>
      </w:r>
    </w:p>
    <w:p w14:paraId="7EC37552">
      <w:pPr>
        <w:pStyle w:val="9"/>
        <w:spacing w:line="400" w:lineRule="exact"/>
        <w:rPr>
          <w:rFonts w:hint="eastAsia" w:ascii="宋体" w:hAnsi="宋体" w:eastAsia="宋体" w:cs="宋体"/>
          <w:color w:val="auto"/>
          <w:sz w:val="18"/>
          <w:szCs w:val="18"/>
          <w:highlight w:val="none"/>
        </w:rPr>
      </w:pPr>
    </w:p>
    <w:p w14:paraId="75D1B155">
      <w:pPr>
        <w:pStyle w:val="9"/>
        <w:jc w:val="left"/>
        <w:rPr>
          <w:rFonts w:ascii="宋体" w:hAnsi="宋体"/>
          <w:color w:val="auto"/>
          <w:szCs w:val="21"/>
          <w:highlight w:val="none"/>
        </w:rPr>
      </w:pPr>
      <w:bookmarkStart w:id="77" w:name="EB08f325496b4b417d901fbef3490d5f7b"/>
      <w:r>
        <w:rPr>
          <w:rFonts w:ascii="宋体" w:hAnsi="宋体"/>
          <w:color w:val="auto"/>
          <w:sz w:val="20"/>
          <w:szCs w:val="21"/>
          <w:highlight w:val="none"/>
        </w:rPr>
        <w:t xml:space="preserve"> </w:t>
      </w:r>
      <w:bookmarkEnd w:id="77"/>
    </w:p>
    <w:p w14:paraId="0ADD0F42">
      <w:pPr>
        <w:pStyle w:val="42"/>
        <w:pageBreakBefore/>
        <w:jc w:val="center"/>
        <w:rPr>
          <w:color w:val="auto"/>
          <w:highlight w:val="none"/>
        </w:rPr>
      </w:pPr>
      <w:bookmarkStart w:id="78" w:name="_Toc27361"/>
      <w:r>
        <w:rPr>
          <w:rFonts w:hint="eastAsia"/>
          <w:color w:val="auto"/>
          <w:highlight w:val="none"/>
        </w:rPr>
        <w:t>附录5 资格审查条件（项目经理</w:t>
      </w:r>
      <w:r>
        <w:rPr>
          <w:rFonts w:hint="eastAsia" w:eastAsia="宋体"/>
          <w:color w:val="auto"/>
          <w:highlight w:val="none"/>
          <w:lang w:eastAsia="zh-CN"/>
        </w:rPr>
        <w:t>、</w:t>
      </w:r>
      <w:r>
        <w:rPr>
          <w:rFonts w:hint="eastAsia"/>
          <w:color w:val="auto"/>
          <w:highlight w:val="none"/>
        </w:rPr>
        <w:t>项目</w:t>
      </w:r>
      <w:r>
        <w:rPr>
          <w:rFonts w:hint="eastAsia" w:eastAsia="宋体"/>
          <w:color w:val="auto"/>
          <w:highlight w:val="none"/>
          <w:lang w:val="en-US" w:eastAsia="zh-CN"/>
        </w:rPr>
        <w:t>技术负责人和安全负责人</w:t>
      </w:r>
      <w:r>
        <w:rPr>
          <w:rFonts w:hint="eastAsia"/>
          <w:color w:val="auto"/>
          <w:highlight w:val="none"/>
        </w:rPr>
        <w:t>最低要求）</w:t>
      </w:r>
      <w:bookmarkEnd w:id="78"/>
    </w:p>
    <w:tbl>
      <w:tblPr>
        <w:tblStyle w:val="23"/>
        <w:tblW w:w="8567"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790"/>
        <w:gridCol w:w="740"/>
        <w:gridCol w:w="6037"/>
      </w:tblGrid>
      <w:tr w14:paraId="61F8D84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1790" w:type="dxa"/>
            <w:tcBorders>
              <w:tl2br w:val="nil"/>
              <w:tr2bl w:val="nil"/>
            </w:tcBorders>
            <w:noWrap w:val="0"/>
            <w:vAlign w:val="center"/>
          </w:tcPr>
          <w:p w14:paraId="57AB202C">
            <w:pPr>
              <w:pStyle w:val="9"/>
              <w:spacing w:line="360" w:lineRule="auto"/>
              <w:jc w:val="center"/>
              <w:rPr>
                <w:rFonts w:ascii="宋体" w:hAnsi="宋体"/>
                <w:b/>
                <w:bCs/>
                <w:color w:val="auto"/>
                <w:szCs w:val="21"/>
                <w:highlight w:val="none"/>
              </w:rPr>
            </w:pPr>
            <w:r>
              <w:rPr>
                <w:rFonts w:hint="eastAsia" w:ascii="宋体" w:hAnsi="宋体"/>
                <w:b/>
                <w:bCs/>
                <w:color w:val="auto"/>
                <w:szCs w:val="21"/>
                <w:highlight w:val="none"/>
              </w:rPr>
              <w:t>人员</w:t>
            </w:r>
          </w:p>
        </w:tc>
        <w:tc>
          <w:tcPr>
            <w:tcW w:w="740" w:type="dxa"/>
            <w:tcBorders>
              <w:tl2br w:val="nil"/>
              <w:tr2bl w:val="nil"/>
            </w:tcBorders>
            <w:noWrap w:val="0"/>
            <w:vAlign w:val="center"/>
          </w:tcPr>
          <w:p w14:paraId="3102B93C">
            <w:pPr>
              <w:pStyle w:val="9"/>
              <w:spacing w:line="360" w:lineRule="auto"/>
              <w:jc w:val="center"/>
              <w:rPr>
                <w:rFonts w:ascii="宋体" w:hAnsi="宋体"/>
                <w:b/>
                <w:bCs/>
                <w:color w:val="auto"/>
                <w:szCs w:val="21"/>
                <w:highlight w:val="none"/>
              </w:rPr>
            </w:pPr>
            <w:r>
              <w:rPr>
                <w:rFonts w:hint="eastAsia" w:ascii="宋体" w:hAnsi="宋体"/>
                <w:b/>
                <w:bCs/>
                <w:color w:val="auto"/>
                <w:szCs w:val="21"/>
                <w:highlight w:val="none"/>
              </w:rPr>
              <w:t>数量</w:t>
            </w:r>
          </w:p>
        </w:tc>
        <w:tc>
          <w:tcPr>
            <w:tcW w:w="6037" w:type="dxa"/>
            <w:tcBorders>
              <w:tl2br w:val="nil"/>
              <w:tr2bl w:val="nil"/>
            </w:tcBorders>
            <w:noWrap w:val="0"/>
            <w:vAlign w:val="center"/>
          </w:tcPr>
          <w:p w14:paraId="31ADCA43">
            <w:pPr>
              <w:pStyle w:val="9"/>
              <w:spacing w:line="360" w:lineRule="auto"/>
              <w:jc w:val="center"/>
              <w:rPr>
                <w:rFonts w:ascii="宋体" w:hAnsi="宋体"/>
                <w:b/>
                <w:bCs/>
                <w:color w:val="auto"/>
                <w:szCs w:val="21"/>
                <w:highlight w:val="none"/>
              </w:rPr>
            </w:pPr>
            <w:r>
              <w:rPr>
                <w:rFonts w:hint="eastAsia" w:ascii="宋体" w:hAnsi="宋体"/>
                <w:b/>
                <w:bCs/>
                <w:color w:val="auto"/>
                <w:szCs w:val="21"/>
                <w:highlight w:val="none"/>
              </w:rPr>
              <w:t>资格要求</w:t>
            </w:r>
          </w:p>
        </w:tc>
      </w:tr>
      <w:tr w14:paraId="772EBCD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904" w:hRule="atLeast"/>
        </w:trPr>
        <w:tc>
          <w:tcPr>
            <w:tcW w:w="1790" w:type="dxa"/>
            <w:tcBorders>
              <w:tl2br w:val="nil"/>
              <w:tr2bl w:val="nil"/>
            </w:tcBorders>
            <w:noWrap w:val="0"/>
            <w:vAlign w:val="center"/>
          </w:tcPr>
          <w:p w14:paraId="76FC8093">
            <w:pPr>
              <w:pStyle w:val="9"/>
              <w:spacing w:line="360" w:lineRule="auto"/>
              <w:jc w:val="center"/>
              <w:rPr>
                <w:rFonts w:ascii="宋体" w:hAnsi="宋体"/>
                <w:color w:val="auto"/>
                <w:szCs w:val="21"/>
                <w:highlight w:val="none"/>
              </w:rPr>
            </w:pPr>
            <w:r>
              <w:rPr>
                <w:rFonts w:hint="eastAsia" w:ascii="宋体" w:hAnsi="宋体"/>
                <w:color w:val="auto"/>
                <w:szCs w:val="21"/>
                <w:highlight w:val="none"/>
              </w:rPr>
              <w:t>项目经理</w:t>
            </w:r>
          </w:p>
        </w:tc>
        <w:tc>
          <w:tcPr>
            <w:tcW w:w="740" w:type="dxa"/>
            <w:tcBorders>
              <w:tl2br w:val="nil"/>
              <w:tr2bl w:val="nil"/>
            </w:tcBorders>
            <w:noWrap w:val="0"/>
            <w:vAlign w:val="center"/>
          </w:tcPr>
          <w:p w14:paraId="453FBDEF">
            <w:pPr>
              <w:pStyle w:val="9"/>
              <w:spacing w:line="360" w:lineRule="auto"/>
              <w:jc w:val="center"/>
              <w:rPr>
                <w:rFonts w:ascii="宋体" w:hAnsi="宋体"/>
                <w:color w:val="auto"/>
                <w:szCs w:val="21"/>
                <w:highlight w:val="none"/>
              </w:rPr>
            </w:pPr>
            <w:r>
              <w:rPr>
                <w:rFonts w:hint="eastAsia" w:ascii="宋体" w:hAnsi="宋体"/>
                <w:color w:val="auto"/>
                <w:szCs w:val="21"/>
                <w:highlight w:val="none"/>
              </w:rPr>
              <w:t>1</w:t>
            </w:r>
          </w:p>
        </w:tc>
        <w:tc>
          <w:tcPr>
            <w:tcW w:w="6037" w:type="dxa"/>
            <w:tcBorders>
              <w:tl2br w:val="nil"/>
              <w:tr2bl w:val="nil"/>
            </w:tcBorders>
            <w:noWrap w:val="0"/>
            <w:vAlign w:val="center"/>
          </w:tcPr>
          <w:p w14:paraId="5B62A378">
            <w:pPr>
              <w:pStyle w:val="9"/>
              <w:keepNext w:val="0"/>
              <w:keepLines w:val="0"/>
              <w:pageBreakBefore w:val="0"/>
              <w:kinsoku/>
              <w:wordWrap/>
              <w:overflowPunct/>
              <w:topLinePunct w:val="0"/>
              <w:autoSpaceDE/>
              <w:autoSpaceDN/>
              <w:bidi w:val="0"/>
              <w:adjustRightInd/>
              <w:snapToGrid/>
              <w:spacing w:line="360" w:lineRule="exact"/>
              <w:textAlignment w:val="auto"/>
              <w:rPr>
                <w:rFonts w:hint="eastAsia" w:eastAsia="宋体"/>
                <w:color w:val="auto"/>
                <w:highlight w:val="none"/>
                <w:lang w:eastAsia="zh-CN"/>
              </w:rPr>
            </w:pPr>
            <w:r>
              <w:rPr>
                <w:rFonts w:hint="eastAsia"/>
                <w:color w:val="auto"/>
                <w:highlight w:val="none"/>
              </w:rPr>
              <w:t>1</w:t>
            </w:r>
            <w:r>
              <w:rPr>
                <w:rFonts w:hint="eastAsia" w:eastAsia="宋体"/>
                <w:color w:val="auto"/>
                <w:highlight w:val="none"/>
                <w:lang w:val="en-US" w:eastAsia="zh-CN"/>
              </w:rPr>
              <w:t>.</w:t>
            </w:r>
            <w:r>
              <w:rPr>
                <w:rFonts w:hint="eastAsia"/>
                <w:color w:val="auto"/>
                <w:highlight w:val="none"/>
              </w:rPr>
              <w:t>担任过一个</w:t>
            </w:r>
            <w:r>
              <w:rPr>
                <w:color w:val="auto"/>
                <w:highlight w:val="none"/>
              </w:rPr>
              <w:t>合同金额在</w:t>
            </w:r>
            <w:r>
              <w:rPr>
                <w:rFonts w:hint="eastAsia" w:ascii="宋体" w:hAnsi="宋体"/>
                <w:color w:val="auto"/>
                <w:szCs w:val="21"/>
                <w:highlight w:val="none"/>
                <w:lang w:val="en-US" w:eastAsia="zh-CN"/>
              </w:rPr>
              <w:t>500</w:t>
            </w:r>
            <w:r>
              <w:rPr>
                <w:rFonts w:ascii="宋体" w:hAnsi="宋体"/>
                <w:color w:val="auto"/>
                <w:szCs w:val="21"/>
                <w:highlight w:val="none"/>
              </w:rPr>
              <w:t>万元</w:t>
            </w:r>
            <w:r>
              <w:rPr>
                <w:rFonts w:hint="eastAsia" w:ascii="宋体" w:hAnsi="宋体"/>
                <w:color w:val="auto"/>
                <w:szCs w:val="21"/>
                <w:highlight w:val="none"/>
              </w:rPr>
              <w:t>及</w:t>
            </w:r>
            <w:r>
              <w:rPr>
                <w:rFonts w:ascii="宋体" w:hAnsi="宋体"/>
                <w:color w:val="auto"/>
                <w:szCs w:val="21"/>
                <w:highlight w:val="none"/>
              </w:rPr>
              <w:t>以上的</w:t>
            </w:r>
            <w:r>
              <w:rPr>
                <w:rFonts w:hint="eastAsia" w:ascii="宋体" w:hAnsi="宋体"/>
                <w:color w:val="auto"/>
                <w:szCs w:val="21"/>
                <w:highlight w:val="none"/>
                <w:lang w:val="en-US" w:eastAsia="zh-CN"/>
              </w:rPr>
              <w:t>隧道机电工程施工</w:t>
            </w:r>
            <w:r>
              <w:rPr>
                <w:rFonts w:hint="eastAsia"/>
                <w:color w:val="auto"/>
                <w:highlight w:val="none"/>
              </w:rPr>
              <w:t>的项目经理（或项目副经理或项目</w:t>
            </w:r>
            <w:r>
              <w:rPr>
                <w:rFonts w:hint="eastAsia" w:eastAsia="宋体"/>
                <w:color w:val="auto"/>
                <w:highlight w:val="none"/>
                <w:lang w:val="en-US" w:eastAsia="zh-CN"/>
              </w:rPr>
              <w:t>技术负责人</w:t>
            </w:r>
            <w:r>
              <w:rPr>
                <w:rFonts w:hint="eastAsia"/>
                <w:color w:val="auto"/>
                <w:highlight w:val="none"/>
              </w:rPr>
              <w:t>），</w:t>
            </w:r>
            <w:bookmarkStart w:id="79" w:name="EB9e8e0ffa7a264cc795bc9acb9569ba65"/>
            <w:r>
              <w:rPr>
                <w:rFonts w:hint="eastAsia" w:eastAsia="宋体"/>
                <w:color w:val="auto"/>
                <w:highlight w:val="none"/>
                <w:lang w:val="en-US" w:eastAsia="zh-CN"/>
              </w:rPr>
              <w:t>有</w:t>
            </w:r>
            <w:r>
              <w:rPr>
                <w:rFonts w:hint="eastAsia"/>
                <w:color w:val="auto"/>
                <w:highlight w:val="none"/>
              </w:rPr>
              <w:t>工程师及以上</w:t>
            </w:r>
            <w:bookmarkEnd w:id="79"/>
            <w:r>
              <w:rPr>
                <w:rFonts w:hint="eastAsia"/>
                <w:color w:val="auto"/>
                <w:highlight w:val="none"/>
              </w:rPr>
              <w:t>技术职称</w:t>
            </w:r>
            <w:r>
              <w:rPr>
                <w:rFonts w:hint="eastAsia" w:eastAsia="宋体"/>
                <w:color w:val="auto"/>
                <w:highlight w:val="none"/>
                <w:lang w:eastAsia="zh-CN"/>
              </w:rPr>
              <w:t>，</w:t>
            </w:r>
            <w:r>
              <w:rPr>
                <w:rFonts w:hint="eastAsia" w:ascii="宋体" w:hAnsi="宋体" w:eastAsia="宋体" w:cs="宋体"/>
                <w:color w:val="auto"/>
                <w:kern w:val="0"/>
                <w:sz w:val="21"/>
                <w:szCs w:val="21"/>
                <w:highlight w:val="none"/>
                <w:lang w:val="en-US" w:eastAsia="zh-CN" w:bidi="ar"/>
              </w:rPr>
              <w:t>公路工程专业二级及以上注册建造师注册证书</w:t>
            </w:r>
            <w:r>
              <w:rPr>
                <w:rFonts w:hint="eastAsia" w:eastAsia="宋体"/>
                <w:color w:val="auto"/>
                <w:highlight w:val="none"/>
                <w:lang w:eastAsia="zh-CN"/>
              </w:rPr>
              <w:t>，</w:t>
            </w:r>
            <w:r>
              <w:rPr>
                <w:rFonts w:hint="eastAsia" w:eastAsia="宋体"/>
                <w:color w:val="auto"/>
                <w:highlight w:val="none"/>
                <w:lang w:eastAsia="zh-CN"/>
              </w:rPr>
              <w:t>并具有有效期内的交通主管部门核发的安全生产考核合格证书（B类）</w:t>
            </w:r>
            <w:r>
              <w:rPr>
                <w:rFonts w:hint="eastAsia" w:eastAsia="宋体"/>
                <w:color w:val="auto"/>
                <w:highlight w:val="none"/>
                <w:lang w:eastAsia="zh-CN"/>
              </w:rPr>
              <w:t>。</w:t>
            </w:r>
          </w:p>
          <w:p w14:paraId="1EEBE8F4">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kern w:val="0"/>
                <w:sz w:val="21"/>
                <w:szCs w:val="21"/>
                <w:highlight w:val="none"/>
                <w:lang w:val="en-US" w:eastAsia="zh-CN" w:bidi="ar"/>
              </w:rPr>
            </w:pPr>
            <w:r>
              <w:rPr>
                <w:rFonts w:hint="eastAsia"/>
                <w:color w:val="auto"/>
                <w:highlight w:val="none"/>
                <w:lang w:val="en-US" w:eastAsia="zh-CN"/>
              </w:rPr>
              <w:t>2</w:t>
            </w:r>
            <w:r>
              <w:rPr>
                <w:rFonts w:hint="eastAsia" w:eastAsia="宋体"/>
                <w:color w:val="auto"/>
                <w:highlight w:val="none"/>
                <w:lang w:val="en-US" w:eastAsia="zh-CN"/>
              </w:rPr>
              <w:t>.</w:t>
            </w:r>
            <w:r>
              <w:rPr>
                <w:rFonts w:hint="eastAsia" w:ascii="宋体" w:hAnsi="宋体" w:eastAsia="宋体" w:cs="宋体"/>
                <w:color w:val="auto"/>
                <w:kern w:val="0"/>
                <w:sz w:val="21"/>
                <w:szCs w:val="21"/>
                <w:highlight w:val="none"/>
                <w:lang w:val="en-US" w:eastAsia="zh-CN" w:bidi="ar"/>
              </w:rPr>
              <w:t>拟委任项目经理投标截止日未在其他在建合同工程中任项目经理。</w:t>
            </w:r>
          </w:p>
          <w:p w14:paraId="5FF7DD47">
            <w:pPr>
              <w:pStyle w:val="37"/>
              <w:keepNext w:val="0"/>
              <w:keepLines w:val="0"/>
              <w:pageBreakBefore w:val="0"/>
              <w:kinsoku/>
              <w:wordWrap/>
              <w:overflowPunct/>
              <w:topLinePunct w:val="0"/>
              <w:autoSpaceDE/>
              <w:autoSpaceDN/>
              <w:bidi w:val="0"/>
              <w:adjustRightInd/>
              <w:snapToGrid/>
              <w:spacing w:line="360" w:lineRule="exact"/>
              <w:ind w:left="0" w:leftChars="0" w:firstLine="0" w:firstLineChars="0"/>
              <w:textAlignment w:val="auto"/>
              <w:rPr>
                <w:color w:val="auto"/>
                <w:highlight w:val="none"/>
              </w:rPr>
            </w:pPr>
            <w:r>
              <w:rPr>
                <w:rFonts w:hint="eastAsia" w:eastAsia="Times New Roman" w:cs="Times New Roman"/>
                <w:color w:val="auto"/>
                <w:kern w:val="2"/>
                <w:sz w:val="21"/>
                <w:szCs w:val="22"/>
                <w:highlight w:val="none"/>
                <w:lang w:val="en-US" w:eastAsia="zh-CN" w:bidi="ar-SA"/>
              </w:rPr>
              <w:t>3</w:t>
            </w:r>
            <w:r>
              <w:rPr>
                <w:rFonts w:hint="eastAsia" w:ascii="Times New Roman" w:hAnsi="Times New Roman" w:eastAsia="Times New Roman" w:cs="Times New Roman"/>
                <w:color w:val="auto"/>
                <w:kern w:val="2"/>
                <w:sz w:val="21"/>
                <w:szCs w:val="22"/>
                <w:highlight w:val="none"/>
                <w:lang w:val="en-US" w:eastAsia="zh-CN" w:bidi="ar-SA"/>
              </w:rPr>
              <w:t>.拟委任的项目经理的公路工程专业</w:t>
            </w:r>
            <w:r>
              <w:rPr>
                <w:rFonts w:hint="eastAsia" w:ascii="宋体" w:hAnsi="宋体" w:eastAsia="宋体" w:cs="宋体"/>
                <w:color w:val="auto"/>
                <w:kern w:val="0"/>
                <w:sz w:val="21"/>
                <w:szCs w:val="21"/>
                <w:highlight w:val="none"/>
                <w:lang w:val="en-US" w:eastAsia="zh-CN" w:bidi="ar"/>
              </w:rPr>
              <w:t>二级及以上</w:t>
            </w:r>
            <w:r>
              <w:rPr>
                <w:rFonts w:hint="eastAsia" w:ascii="Times New Roman" w:hAnsi="Times New Roman" w:eastAsia="Times New Roman" w:cs="Times New Roman"/>
                <w:color w:val="auto"/>
                <w:kern w:val="2"/>
                <w:sz w:val="21"/>
                <w:szCs w:val="22"/>
                <w:highlight w:val="none"/>
                <w:lang w:val="en-US" w:eastAsia="zh-CN" w:bidi="ar-SA"/>
              </w:rPr>
              <w:t>注册建造师证书上的聘用企业名称应与投标人名称一致，否则资格审查不予通过。</w:t>
            </w:r>
          </w:p>
        </w:tc>
      </w:tr>
      <w:tr w14:paraId="6CE8B92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22" w:hRule="atLeast"/>
        </w:trPr>
        <w:tc>
          <w:tcPr>
            <w:tcW w:w="1790" w:type="dxa"/>
            <w:tcBorders>
              <w:tl2br w:val="nil"/>
              <w:tr2bl w:val="nil"/>
            </w:tcBorders>
            <w:noWrap w:val="0"/>
            <w:vAlign w:val="center"/>
          </w:tcPr>
          <w:p w14:paraId="51035795">
            <w:pPr>
              <w:pStyle w:val="9"/>
              <w:spacing w:line="360" w:lineRule="auto"/>
              <w:jc w:val="center"/>
              <w:rPr>
                <w:rFonts w:hint="default" w:ascii="宋体" w:hAnsi="宋体" w:eastAsia="宋体"/>
                <w:color w:val="auto"/>
                <w:szCs w:val="21"/>
                <w:highlight w:val="none"/>
                <w:lang w:val="en-US" w:eastAsia="zh-CN"/>
              </w:rPr>
            </w:pPr>
            <w:r>
              <w:rPr>
                <w:rFonts w:hint="eastAsia" w:ascii="宋体" w:hAnsi="宋体"/>
                <w:color w:val="auto"/>
                <w:szCs w:val="21"/>
                <w:highlight w:val="none"/>
              </w:rPr>
              <w:t>项目</w:t>
            </w:r>
            <w:r>
              <w:rPr>
                <w:rFonts w:hint="eastAsia" w:ascii="宋体" w:hAnsi="宋体" w:eastAsia="宋体"/>
                <w:color w:val="auto"/>
                <w:szCs w:val="21"/>
                <w:highlight w:val="none"/>
                <w:lang w:val="en-US" w:eastAsia="zh-CN"/>
              </w:rPr>
              <w:t>技术负责人</w:t>
            </w:r>
          </w:p>
        </w:tc>
        <w:tc>
          <w:tcPr>
            <w:tcW w:w="740" w:type="dxa"/>
            <w:tcBorders>
              <w:tl2br w:val="nil"/>
              <w:tr2bl w:val="nil"/>
            </w:tcBorders>
            <w:noWrap w:val="0"/>
            <w:vAlign w:val="center"/>
          </w:tcPr>
          <w:p w14:paraId="108A8019">
            <w:pPr>
              <w:pStyle w:val="9"/>
              <w:spacing w:line="360" w:lineRule="auto"/>
              <w:jc w:val="center"/>
              <w:rPr>
                <w:rFonts w:hint="eastAsia" w:ascii="宋体" w:hAnsi="宋体" w:eastAsia="宋体"/>
                <w:color w:val="auto"/>
                <w:szCs w:val="21"/>
                <w:highlight w:val="none"/>
                <w:lang w:eastAsia="zh-CN"/>
              </w:rPr>
            </w:pPr>
            <w:r>
              <w:rPr>
                <w:rFonts w:hint="eastAsia" w:ascii="宋体" w:hAnsi="宋体" w:eastAsia="宋体"/>
                <w:color w:val="auto"/>
                <w:szCs w:val="21"/>
                <w:highlight w:val="none"/>
                <w:lang w:val="en-US" w:eastAsia="zh-CN"/>
              </w:rPr>
              <w:t>1</w:t>
            </w:r>
          </w:p>
        </w:tc>
        <w:tc>
          <w:tcPr>
            <w:tcW w:w="6037" w:type="dxa"/>
            <w:tcBorders>
              <w:tl2br w:val="nil"/>
              <w:tr2bl w:val="nil"/>
            </w:tcBorders>
            <w:noWrap w:val="0"/>
            <w:vAlign w:val="center"/>
          </w:tcPr>
          <w:p w14:paraId="1358A1EA">
            <w:pPr>
              <w:pStyle w:val="11"/>
              <w:keepNext w:val="0"/>
              <w:keepLines w:val="0"/>
              <w:pageBreakBefore w:val="0"/>
              <w:kinsoku/>
              <w:wordWrap/>
              <w:overflowPunct/>
              <w:topLinePunct w:val="0"/>
              <w:bidi w:val="0"/>
              <w:adjustRightInd/>
              <w:snapToGrid/>
              <w:spacing w:line="360" w:lineRule="exact"/>
              <w:ind w:firstLine="0" w:firstLineChars="0"/>
              <w:textAlignment w:val="auto"/>
              <w:rPr>
                <w:rFonts w:hint="eastAsia" w:eastAsia="宋体"/>
                <w:color w:val="auto"/>
                <w:highlight w:val="none"/>
                <w:lang w:val="en-US" w:eastAsia="zh-CN"/>
              </w:rPr>
            </w:pPr>
            <w:r>
              <w:rPr>
                <w:rFonts w:hint="eastAsia"/>
                <w:color w:val="auto"/>
                <w:highlight w:val="none"/>
                <w:lang w:val="en-US" w:eastAsia="zh-CN"/>
              </w:rPr>
              <w:t>具有机电类专业</w:t>
            </w:r>
            <w:r>
              <w:rPr>
                <w:rFonts w:hint="eastAsia"/>
                <w:color w:val="auto"/>
                <w:highlight w:val="none"/>
              </w:rPr>
              <w:t>高级工程师及以上技术职称</w:t>
            </w:r>
          </w:p>
        </w:tc>
      </w:tr>
      <w:tr w14:paraId="071BFA7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92" w:hRule="atLeast"/>
        </w:trPr>
        <w:tc>
          <w:tcPr>
            <w:tcW w:w="1790" w:type="dxa"/>
            <w:tcBorders>
              <w:tl2br w:val="nil"/>
              <w:tr2bl w:val="nil"/>
            </w:tcBorders>
            <w:noWrap w:val="0"/>
            <w:vAlign w:val="center"/>
          </w:tcPr>
          <w:p w14:paraId="19B82051">
            <w:pPr>
              <w:pStyle w:val="9"/>
              <w:spacing w:line="360" w:lineRule="auto"/>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安全负责人</w:t>
            </w:r>
          </w:p>
        </w:tc>
        <w:tc>
          <w:tcPr>
            <w:tcW w:w="740" w:type="dxa"/>
            <w:tcBorders>
              <w:tl2br w:val="nil"/>
              <w:tr2bl w:val="nil"/>
            </w:tcBorders>
            <w:noWrap w:val="0"/>
            <w:vAlign w:val="center"/>
          </w:tcPr>
          <w:p w14:paraId="06190FCD">
            <w:pPr>
              <w:pStyle w:val="9"/>
              <w:spacing w:line="360" w:lineRule="auto"/>
              <w:jc w:val="center"/>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1</w:t>
            </w:r>
          </w:p>
        </w:tc>
        <w:tc>
          <w:tcPr>
            <w:tcW w:w="6037" w:type="dxa"/>
            <w:tcBorders>
              <w:tl2br w:val="nil"/>
              <w:tr2bl w:val="nil"/>
            </w:tcBorders>
            <w:noWrap w:val="0"/>
            <w:vAlign w:val="center"/>
          </w:tcPr>
          <w:p w14:paraId="7D1212F5">
            <w:pPr>
              <w:pStyle w:val="11"/>
              <w:keepNext w:val="0"/>
              <w:keepLines w:val="0"/>
              <w:pageBreakBefore w:val="0"/>
              <w:kinsoku/>
              <w:wordWrap/>
              <w:overflowPunct/>
              <w:topLinePunct w:val="0"/>
              <w:bidi w:val="0"/>
              <w:adjustRightInd/>
              <w:snapToGrid/>
              <w:spacing w:line="360" w:lineRule="exact"/>
              <w:ind w:firstLine="0" w:firstLineChars="0"/>
              <w:textAlignment w:val="auto"/>
              <w:rPr>
                <w:rFonts w:hint="default" w:hAnsi="宋体" w:eastAsia="宋体"/>
                <w:color w:val="auto"/>
                <w:highlight w:val="none"/>
                <w:lang w:val="en-US" w:eastAsia="zh-CN"/>
              </w:rPr>
            </w:pPr>
            <w:r>
              <w:rPr>
                <w:rFonts w:hint="eastAsia" w:hAnsi="宋体"/>
                <w:color w:val="auto"/>
                <w:highlight w:val="none"/>
                <w:lang w:val="en-US" w:eastAsia="zh-CN"/>
              </w:rPr>
              <w:t>有中级及以上技术职称，</w:t>
            </w:r>
            <w:r>
              <w:rPr>
                <w:rFonts w:hint="eastAsia"/>
                <w:color w:val="auto"/>
                <w:highlight w:val="none"/>
              </w:rPr>
              <w:t>具有</w:t>
            </w:r>
            <w:r>
              <w:rPr>
                <w:rFonts w:hint="eastAsia"/>
                <w:color w:val="auto"/>
                <w:szCs w:val="21"/>
                <w:highlight w:val="none"/>
              </w:rPr>
              <w:t>有效期内的</w:t>
            </w:r>
            <w:r>
              <w:rPr>
                <w:rFonts w:hint="eastAsia" w:ascii="宋体" w:hAnsi="宋体" w:cs="宋体"/>
                <w:color w:val="auto"/>
                <w:spacing w:val="-4"/>
                <w:szCs w:val="21"/>
                <w:highlight w:val="none"/>
              </w:rPr>
              <w:t>交通主管部门核发的安全生产考核合格证书（</w:t>
            </w:r>
            <w:r>
              <w:rPr>
                <w:rFonts w:hint="eastAsia" w:ascii="宋体" w:hAnsi="宋体" w:cs="宋体"/>
                <w:color w:val="auto"/>
                <w:spacing w:val="-4"/>
                <w:szCs w:val="21"/>
                <w:highlight w:val="none"/>
                <w:lang w:val="en-US" w:eastAsia="zh-CN"/>
              </w:rPr>
              <w:t>C</w:t>
            </w:r>
            <w:r>
              <w:rPr>
                <w:rFonts w:hint="eastAsia" w:ascii="宋体" w:hAnsi="宋体" w:cs="宋体"/>
                <w:color w:val="auto"/>
                <w:spacing w:val="-4"/>
                <w:szCs w:val="21"/>
                <w:highlight w:val="none"/>
              </w:rPr>
              <w:t>类）</w:t>
            </w:r>
          </w:p>
        </w:tc>
      </w:tr>
    </w:tbl>
    <w:p w14:paraId="625F6225">
      <w:pPr>
        <w:pStyle w:val="11"/>
        <w:keepNext w:val="0"/>
        <w:keepLines w:val="0"/>
        <w:pageBreakBefore w:val="0"/>
        <w:kinsoku/>
        <w:wordWrap/>
        <w:overflowPunct/>
        <w:topLinePunct w:val="0"/>
        <w:bidi w:val="0"/>
        <w:adjustRightInd/>
        <w:snapToGrid/>
        <w:spacing w:line="300" w:lineRule="exact"/>
        <w:ind w:left="0" w:leftChars="0" w:firstLine="0" w:firstLineChars="0"/>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注：1.在建合同工程的开始时间为该合同工程中标通知书发出之日（不通过招标方式的，开始时间为合同签订之日），结束时间为该合同工程通过交工验收或合同解除之日。  </w:t>
      </w:r>
    </w:p>
    <w:p w14:paraId="5817ADA3">
      <w:pPr>
        <w:pStyle w:val="11"/>
        <w:keepNext w:val="0"/>
        <w:keepLines w:val="0"/>
        <w:pageBreakBefore w:val="0"/>
        <w:kinsoku/>
        <w:wordWrap/>
        <w:overflowPunct/>
        <w:topLinePunct w:val="0"/>
        <w:bidi w:val="0"/>
        <w:adjustRightInd/>
        <w:snapToGrid/>
        <w:spacing w:line="300" w:lineRule="exact"/>
        <w:ind w:left="0" w:leftChars="0" w:firstLine="360" w:firstLineChars="200"/>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2.拟委任项目经理是否有“在建合同工程”按以下原则认定： </w:t>
      </w:r>
    </w:p>
    <w:p w14:paraId="361C06F7">
      <w:pPr>
        <w:pStyle w:val="11"/>
        <w:keepNext w:val="0"/>
        <w:keepLines w:val="0"/>
        <w:pageBreakBefore w:val="0"/>
        <w:kinsoku/>
        <w:wordWrap/>
        <w:overflowPunct/>
        <w:topLinePunct w:val="0"/>
        <w:bidi w:val="0"/>
        <w:adjustRightInd/>
        <w:snapToGrid/>
        <w:spacing w:line="300" w:lineRule="exact"/>
        <w:ind w:left="0" w:leftChars="0" w:firstLine="360" w:firstLineChars="200"/>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（1）若该合同工程协议书尚未签订，则其中标通知书中明确的项目经理视为有“在建合同工程”； </w:t>
      </w:r>
    </w:p>
    <w:p w14:paraId="6C911FB1">
      <w:pPr>
        <w:pStyle w:val="11"/>
        <w:keepNext w:val="0"/>
        <w:keepLines w:val="0"/>
        <w:pageBreakBefore w:val="0"/>
        <w:kinsoku/>
        <w:wordWrap/>
        <w:overflowPunct/>
        <w:topLinePunct w:val="0"/>
        <w:bidi w:val="0"/>
        <w:adjustRightInd/>
        <w:snapToGrid/>
        <w:spacing w:line="300" w:lineRule="exact"/>
        <w:ind w:left="0" w:leftChars="0" w:firstLine="360" w:firstLineChars="200"/>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（2）若该合同工程协议书已签订的，则合同协议书中明确的项目经理视为有“在建合同工程”。 </w:t>
      </w:r>
    </w:p>
    <w:p w14:paraId="3F1A2A7C">
      <w:pPr>
        <w:pStyle w:val="11"/>
        <w:keepNext w:val="0"/>
        <w:keepLines w:val="0"/>
        <w:pageBreakBefore w:val="0"/>
        <w:kinsoku/>
        <w:wordWrap/>
        <w:overflowPunct/>
        <w:topLinePunct w:val="0"/>
        <w:bidi w:val="0"/>
        <w:adjustRightInd/>
        <w:snapToGrid/>
        <w:spacing w:line="300" w:lineRule="exact"/>
        <w:ind w:left="0" w:leftChars="0" w:firstLine="360" w:firstLineChars="200"/>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3）该合同工程未通过验收或合同解除前，合同协议书中明确的项目经理已经更换的，则现任项目经理视为有“在建合同工程”，同时应在投标文件中附该合同工程项目发包人的同意更换证明材料，否则更换前后的项目经理均视为有“在建合同工程”。 </w:t>
      </w:r>
    </w:p>
    <w:p w14:paraId="14D4931C">
      <w:pPr>
        <w:pStyle w:val="11"/>
        <w:keepNext w:val="0"/>
        <w:keepLines w:val="0"/>
        <w:pageBreakBefore w:val="0"/>
        <w:kinsoku/>
        <w:wordWrap/>
        <w:overflowPunct/>
        <w:topLinePunct w:val="0"/>
        <w:bidi w:val="0"/>
        <w:adjustRightInd/>
        <w:snapToGrid/>
        <w:spacing w:line="300" w:lineRule="exact"/>
        <w:ind w:left="0" w:leftChars="0" w:firstLine="360" w:firstLineChars="200"/>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3.“在建合同工程”范围：包括在中华人民共和国境内所有建设工程，不受地域、行业和投资性质的限制。 </w:t>
      </w:r>
    </w:p>
    <w:p w14:paraId="0CAFC1C2">
      <w:pPr>
        <w:pStyle w:val="11"/>
        <w:keepNext w:val="0"/>
        <w:keepLines w:val="0"/>
        <w:pageBreakBefore w:val="0"/>
        <w:kinsoku/>
        <w:wordWrap/>
        <w:overflowPunct/>
        <w:topLinePunct w:val="0"/>
        <w:bidi w:val="0"/>
        <w:adjustRightInd/>
        <w:snapToGrid/>
        <w:spacing w:line="300" w:lineRule="exact"/>
        <w:ind w:left="0" w:leftChars="0" w:firstLine="360" w:firstLineChars="200"/>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4.所附资料见投标人须知前附表 3.5.5 项规定。 </w:t>
      </w:r>
    </w:p>
    <w:p w14:paraId="038F68D1">
      <w:pPr>
        <w:pStyle w:val="9"/>
        <w:keepNext w:val="0"/>
        <w:keepLines w:val="0"/>
        <w:pageBreakBefore w:val="0"/>
        <w:kinsoku/>
        <w:wordWrap/>
        <w:overflowPunct/>
        <w:topLinePunct w:val="0"/>
        <w:bidi w:val="0"/>
        <w:adjustRightInd/>
        <w:snapToGrid/>
        <w:spacing w:line="300" w:lineRule="exact"/>
        <w:ind w:firstLine="360" w:firstLineChars="200"/>
        <w:textAlignment w:val="auto"/>
        <w:rPr>
          <w:rFonts w:hint="eastAsia" w:ascii="宋体" w:hAnsi="宋体" w:eastAsia="Times New Roman" w:cs="Times New Roman"/>
          <w:color w:val="auto"/>
          <w:sz w:val="18"/>
          <w:szCs w:val="18"/>
          <w:highlight w:val="none"/>
        </w:rPr>
      </w:pPr>
      <w:r>
        <w:rPr>
          <w:rFonts w:hint="eastAsia" w:ascii="宋体" w:hAnsi="宋体" w:eastAsia="Times New Roman" w:cs="Times New Roman"/>
          <w:color w:val="auto"/>
          <w:sz w:val="18"/>
          <w:szCs w:val="18"/>
          <w:highlight w:val="none"/>
          <w:lang w:val="en-US" w:eastAsia="zh-CN"/>
        </w:rPr>
        <w:t>5.以联合体形式参与投标的，上述人员须由联合体牵头人提供。</w:t>
      </w:r>
    </w:p>
    <w:p w14:paraId="16AFDCAE">
      <w:pPr>
        <w:pStyle w:val="9"/>
        <w:spacing w:line="320" w:lineRule="exact"/>
        <w:ind w:firstLine="360" w:firstLineChars="200"/>
        <w:rPr>
          <w:rFonts w:hint="eastAsia" w:ascii="宋体" w:hAnsi="宋体" w:eastAsia="宋体" w:cs="宋体"/>
          <w:color w:val="auto"/>
          <w:sz w:val="18"/>
          <w:szCs w:val="18"/>
          <w:highlight w:val="none"/>
        </w:rPr>
      </w:pPr>
    </w:p>
    <w:p w14:paraId="73A7968C">
      <w:pPr>
        <w:pStyle w:val="9"/>
        <w:spacing w:line="320" w:lineRule="exact"/>
        <w:ind w:firstLine="420" w:firstLineChars="200"/>
        <w:rPr>
          <w:rFonts w:ascii="宋体" w:hAnsi="宋体"/>
          <w:color w:val="auto"/>
          <w:szCs w:val="21"/>
          <w:highlight w:val="none"/>
        </w:rPr>
      </w:pPr>
    </w:p>
    <w:p w14:paraId="7542D34C">
      <w:pPr>
        <w:pStyle w:val="42"/>
        <w:pageBreakBefore/>
        <w:rPr>
          <w:color w:val="auto"/>
          <w:highlight w:val="none"/>
        </w:rPr>
      </w:pPr>
      <w:bookmarkStart w:id="80" w:name="_Toc689"/>
      <w:r>
        <w:rPr>
          <w:rFonts w:hint="eastAsia"/>
          <w:color w:val="auto"/>
          <w:highlight w:val="none"/>
        </w:rPr>
        <w:t>1. 总则</w:t>
      </w:r>
      <w:r>
        <w:rPr>
          <w:rStyle w:val="28"/>
          <w:color w:val="auto"/>
          <w:highlight w:val="none"/>
        </w:rPr>
        <w:footnoteReference w:id="0"/>
      </w:r>
      <w:bookmarkEnd w:id="80"/>
    </w:p>
    <w:p w14:paraId="4F7DB740">
      <w:pPr>
        <w:pStyle w:val="9"/>
        <w:spacing w:line="400" w:lineRule="exact"/>
        <w:outlineLvl w:val="3"/>
        <w:rPr>
          <w:rFonts w:ascii="宋体" w:hAnsi="宋体"/>
          <w:b/>
          <w:bCs/>
          <w:color w:val="auto"/>
          <w:highlight w:val="none"/>
        </w:rPr>
      </w:pPr>
      <w:r>
        <w:rPr>
          <w:rFonts w:hint="eastAsia" w:ascii="宋体" w:hAnsi="宋体"/>
          <w:b/>
          <w:bCs/>
          <w:color w:val="auto"/>
          <w:highlight w:val="none"/>
        </w:rPr>
        <w:t>1.1 项目概况</w:t>
      </w:r>
    </w:p>
    <w:p w14:paraId="7B078F37">
      <w:pPr>
        <w:pStyle w:val="9"/>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1.1.1根据《中华人民共和国招标投标法》等有关法律、法规和规章的规定，本招标项目已具备招标条件，现对本标段施工进行招标。</w:t>
      </w:r>
    </w:p>
    <w:p w14:paraId="691E5CDF">
      <w:pPr>
        <w:pStyle w:val="9"/>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1.1.2 本招标项目招标人：见投标人须知前附表。</w:t>
      </w:r>
    </w:p>
    <w:p w14:paraId="2A183B14">
      <w:pPr>
        <w:pStyle w:val="9"/>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1.1.3 本标段招标代理机构：见投标人须知前附表。</w:t>
      </w:r>
    </w:p>
    <w:p w14:paraId="66121484">
      <w:pPr>
        <w:pStyle w:val="9"/>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1.1.4 本招标项目名称：见投标人须知前附表。</w:t>
      </w:r>
    </w:p>
    <w:p w14:paraId="3DF78E84">
      <w:pPr>
        <w:pStyle w:val="9"/>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1.1.5 本标段地点：见投标人须知前附表。</w:t>
      </w:r>
    </w:p>
    <w:p w14:paraId="623E9BAB">
      <w:pPr>
        <w:pStyle w:val="9"/>
        <w:spacing w:line="400" w:lineRule="exact"/>
        <w:outlineLvl w:val="3"/>
        <w:rPr>
          <w:rFonts w:ascii="宋体" w:hAnsi="宋体"/>
          <w:b/>
          <w:bCs/>
          <w:color w:val="auto"/>
          <w:highlight w:val="none"/>
        </w:rPr>
      </w:pPr>
      <w:r>
        <w:rPr>
          <w:rFonts w:hint="eastAsia" w:ascii="宋体" w:hAnsi="宋体"/>
          <w:b/>
          <w:bCs/>
          <w:color w:val="auto"/>
          <w:highlight w:val="none"/>
        </w:rPr>
        <w:t>1.2 资金来源和落实情况</w:t>
      </w:r>
    </w:p>
    <w:p w14:paraId="75FF6E18">
      <w:pPr>
        <w:pStyle w:val="9"/>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1.2.1 本招标项目的资金来源：见投标人须知前附表。</w:t>
      </w:r>
    </w:p>
    <w:p w14:paraId="03F46371">
      <w:pPr>
        <w:pStyle w:val="9"/>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1.2.2 本招标项目的资金落实情况：见投标人须知前附表。</w:t>
      </w:r>
    </w:p>
    <w:p w14:paraId="3C5007DB">
      <w:pPr>
        <w:pStyle w:val="9"/>
        <w:spacing w:line="400" w:lineRule="exact"/>
        <w:outlineLvl w:val="3"/>
        <w:rPr>
          <w:rFonts w:hint="default" w:ascii="宋体" w:hAnsi="宋体" w:eastAsia="宋体"/>
          <w:b/>
          <w:bCs/>
          <w:color w:val="auto"/>
          <w:highlight w:val="none"/>
          <w:lang w:val="en-US" w:eastAsia="zh-CN"/>
        </w:rPr>
      </w:pPr>
      <w:r>
        <w:rPr>
          <w:rFonts w:hint="eastAsia" w:ascii="宋体" w:hAnsi="宋体"/>
          <w:b/>
          <w:bCs/>
          <w:color w:val="auto"/>
          <w:highlight w:val="none"/>
        </w:rPr>
        <w:t>1.3 招标范围、计划工期</w:t>
      </w:r>
      <w:r>
        <w:rPr>
          <w:rFonts w:hint="eastAsia" w:ascii="宋体" w:hAnsi="宋体" w:eastAsia="宋体"/>
          <w:b/>
          <w:bCs/>
          <w:color w:val="auto"/>
          <w:highlight w:val="none"/>
          <w:lang w:eastAsia="zh-CN"/>
        </w:rPr>
        <w:t>、</w:t>
      </w:r>
      <w:r>
        <w:rPr>
          <w:rFonts w:hint="eastAsia" w:ascii="宋体" w:hAnsi="宋体"/>
          <w:b/>
          <w:bCs/>
          <w:color w:val="auto"/>
          <w:highlight w:val="none"/>
        </w:rPr>
        <w:t>质量要求</w:t>
      </w:r>
      <w:r>
        <w:rPr>
          <w:rFonts w:hint="eastAsia" w:ascii="宋体" w:hAnsi="宋体" w:eastAsia="宋体"/>
          <w:b/>
          <w:bCs/>
          <w:color w:val="auto"/>
          <w:highlight w:val="none"/>
          <w:lang w:val="en-US" w:eastAsia="zh-CN"/>
        </w:rPr>
        <w:t>和安全目标</w:t>
      </w:r>
    </w:p>
    <w:p w14:paraId="4F6A5DCB">
      <w:pPr>
        <w:pStyle w:val="9"/>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 xml:space="preserve">1.3.1 本次招标范围：见投标人须知前附表。 </w:t>
      </w:r>
    </w:p>
    <w:p w14:paraId="420E0706">
      <w:pPr>
        <w:pStyle w:val="9"/>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 xml:space="preserve">1.3.2 本标段的计划工期：见投标人须知前附表。 </w:t>
      </w:r>
    </w:p>
    <w:p w14:paraId="1B7B154F">
      <w:pPr>
        <w:pStyle w:val="9"/>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 xml:space="preserve">1.3.3 本标段的质量要求：见投标人须知前附表。 </w:t>
      </w:r>
    </w:p>
    <w:p w14:paraId="36CA09D5">
      <w:pPr>
        <w:pStyle w:val="9"/>
        <w:spacing w:line="400" w:lineRule="exact"/>
        <w:ind w:firstLine="420" w:firstLineChars="200"/>
        <w:rPr>
          <w:rFonts w:hint="eastAsia"/>
          <w:color w:val="auto"/>
          <w:highlight w:val="none"/>
        </w:rPr>
      </w:pPr>
      <w:r>
        <w:rPr>
          <w:rFonts w:hint="eastAsia" w:ascii="宋体" w:hAnsi="宋体"/>
          <w:color w:val="auto"/>
          <w:szCs w:val="21"/>
          <w:highlight w:val="none"/>
        </w:rPr>
        <w:t>1.3.</w:t>
      </w:r>
      <w:r>
        <w:rPr>
          <w:rFonts w:hint="eastAsia" w:ascii="宋体" w:hAnsi="宋体" w:eastAsia="宋体"/>
          <w:color w:val="auto"/>
          <w:szCs w:val="21"/>
          <w:highlight w:val="none"/>
          <w:lang w:val="en-US" w:eastAsia="zh-CN"/>
        </w:rPr>
        <w:t>4</w:t>
      </w:r>
      <w:r>
        <w:rPr>
          <w:rFonts w:hint="eastAsia" w:ascii="宋体" w:hAnsi="宋体"/>
          <w:color w:val="auto"/>
          <w:szCs w:val="21"/>
          <w:highlight w:val="none"/>
        </w:rPr>
        <w:t xml:space="preserve"> 本标段的</w:t>
      </w:r>
      <w:r>
        <w:rPr>
          <w:rFonts w:hint="eastAsia" w:ascii="宋体" w:hAnsi="宋体" w:eastAsia="宋体"/>
          <w:color w:val="auto"/>
          <w:szCs w:val="21"/>
          <w:highlight w:val="none"/>
          <w:lang w:val="en-US" w:eastAsia="zh-CN"/>
        </w:rPr>
        <w:t>安全目标</w:t>
      </w:r>
      <w:r>
        <w:rPr>
          <w:rFonts w:hint="eastAsia" w:ascii="宋体" w:hAnsi="宋体"/>
          <w:color w:val="auto"/>
          <w:szCs w:val="21"/>
          <w:highlight w:val="none"/>
        </w:rPr>
        <w:t xml:space="preserve">：见投标人须知前附表。 </w:t>
      </w:r>
    </w:p>
    <w:p w14:paraId="2965360A">
      <w:pPr>
        <w:pStyle w:val="9"/>
        <w:spacing w:line="400" w:lineRule="exact"/>
        <w:outlineLvl w:val="3"/>
        <w:rPr>
          <w:rFonts w:ascii="宋体" w:hAnsi="宋体"/>
          <w:b/>
          <w:bCs/>
          <w:color w:val="auto"/>
          <w:highlight w:val="none"/>
        </w:rPr>
      </w:pPr>
      <w:r>
        <w:rPr>
          <w:rFonts w:hint="eastAsia" w:ascii="宋体" w:hAnsi="宋体"/>
          <w:b/>
          <w:bCs/>
          <w:color w:val="auto"/>
          <w:highlight w:val="none"/>
        </w:rPr>
        <w:t>1.4 投标人资格要求</w:t>
      </w:r>
    </w:p>
    <w:p w14:paraId="26BEABE4">
      <w:pPr>
        <w:pStyle w:val="9"/>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ascii="宋体" w:hAnsi="宋体"/>
          <w:color w:val="auto"/>
          <w:szCs w:val="21"/>
          <w:highlight w:val="none"/>
        </w:rPr>
      </w:pPr>
      <w:r>
        <w:rPr>
          <w:rFonts w:hint="eastAsia" w:ascii="宋体" w:hAnsi="宋体"/>
          <w:color w:val="auto"/>
          <w:szCs w:val="21"/>
          <w:highlight w:val="none"/>
        </w:rPr>
        <w:t>1.4.1投标人应具备承担本标段施工的资质条件、能力和信誉。</w:t>
      </w:r>
    </w:p>
    <w:p w14:paraId="06F61B7D">
      <w:pPr>
        <w:pStyle w:val="9"/>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ascii="宋体" w:hAnsi="宋体"/>
          <w:color w:val="auto"/>
          <w:szCs w:val="21"/>
          <w:highlight w:val="none"/>
        </w:rPr>
      </w:pPr>
      <w:r>
        <w:rPr>
          <w:rFonts w:hint="eastAsia" w:ascii="宋体" w:hAnsi="宋体"/>
          <w:color w:val="auto"/>
          <w:szCs w:val="21"/>
          <w:highlight w:val="none"/>
        </w:rPr>
        <w:t>(1)资质条件：见投标人须知前附表；</w:t>
      </w:r>
    </w:p>
    <w:p w14:paraId="4527F087">
      <w:pPr>
        <w:pStyle w:val="9"/>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ascii="宋体" w:hAnsi="宋体"/>
          <w:color w:val="auto"/>
          <w:szCs w:val="21"/>
          <w:highlight w:val="none"/>
        </w:rPr>
      </w:pPr>
      <w:r>
        <w:rPr>
          <w:rFonts w:hint="eastAsia" w:ascii="宋体" w:hAnsi="宋体"/>
          <w:color w:val="auto"/>
          <w:szCs w:val="21"/>
          <w:highlight w:val="none"/>
        </w:rPr>
        <w:t>(2)财务要求：见投标人须知前附表；</w:t>
      </w:r>
    </w:p>
    <w:p w14:paraId="6F370A7E">
      <w:pPr>
        <w:pStyle w:val="9"/>
        <w:keepNext w:val="0"/>
        <w:keepLines w:val="0"/>
        <w:pageBreakBefore w:val="0"/>
        <w:kinsoku/>
        <w:wordWrap/>
        <w:overflowPunct/>
        <w:topLinePunct w:val="0"/>
        <w:bidi w:val="0"/>
        <w:adjustRightInd/>
        <w:snapToGrid/>
        <w:spacing w:line="400" w:lineRule="exact"/>
        <w:ind w:firstLine="420" w:firstLineChars="200"/>
        <w:textAlignment w:val="auto"/>
        <w:rPr>
          <w:rFonts w:ascii="宋体" w:hAnsi="宋体"/>
          <w:color w:val="auto"/>
          <w:szCs w:val="21"/>
          <w:highlight w:val="none"/>
        </w:rPr>
      </w:pPr>
      <w:r>
        <w:rPr>
          <w:rFonts w:hint="eastAsia" w:ascii="宋体" w:hAnsi="宋体"/>
          <w:color w:val="auto"/>
          <w:szCs w:val="21"/>
          <w:highlight w:val="none"/>
        </w:rPr>
        <w:t>(3)业绩要求：见投标人须知前附表；</w:t>
      </w:r>
    </w:p>
    <w:p w14:paraId="7B866630">
      <w:pPr>
        <w:pStyle w:val="9"/>
        <w:keepNext w:val="0"/>
        <w:keepLines w:val="0"/>
        <w:pageBreakBefore w:val="0"/>
        <w:kinsoku/>
        <w:wordWrap/>
        <w:overflowPunct/>
        <w:topLinePunct w:val="0"/>
        <w:bidi w:val="0"/>
        <w:adjustRightInd/>
        <w:snapToGrid/>
        <w:spacing w:line="400" w:lineRule="exact"/>
        <w:ind w:firstLine="420" w:firstLineChars="200"/>
        <w:textAlignment w:val="auto"/>
        <w:rPr>
          <w:rFonts w:ascii="宋体" w:hAnsi="宋体"/>
          <w:color w:val="auto"/>
          <w:szCs w:val="21"/>
          <w:highlight w:val="none"/>
        </w:rPr>
      </w:pPr>
      <w:r>
        <w:rPr>
          <w:rFonts w:hint="eastAsia" w:ascii="宋体" w:hAnsi="宋体"/>
          <w:color w:val="auto"/>
          <w:szCs w:val="21"/>
          <w:highlight w:val="none"/>
        </w:rPr>
        <w:t>(4)信誉要求：见投标人须知前附表;</w:t>
      </w:r>
    </w:p>
    <w:p w14:paraId="741AABFB">
      <w:pPr>
        <w:pStyle w:val="9"/>
        <w:keepNext w:val="0"/>
        <w:keepLines w:val="0"/>
        <w:pageBreakBefore w:val="0"/>
        <w:kinsoku/>
        <w:wordWrap/>
        <w:overflowPunct/>
        <w:topLinePunct w:val="0"/>
        <w:bidi w:val="0"/>
        <w:adjustRightInd/>
        <w:snapToGrid/>
        <w:spacing w:line="400" w:lineRule="exact"/>
        <w:ind w:firstLine="420" w:firstLineChars="200"/>
        <w:textAlignment w:val="auto"/>
        <w:rPr>
          <w:rFonts w:ascii="宋体" w:hAnsi="宋体"/>
          <w:color w:val="auto"/>
          <w:szCs w:val="21"/>
          <w:highlight w:val="none"/>
        </w:rPr>
      </w:pPr>
      <w:r>
        <w:rPr>
          <w:rFonts w:hint="eastAsia" w:ascii="宋体" w:hAnsi="宋体"/>
          <w:color w:val="auto"/>
          <w:szCs w:val="21"/>
          <w:highlight w:val="none"/>
        </w:rPr>
        <w:t>(5)项目经理</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lang w:val="en-US" w:eastAsia="zh-CN"/>
        </w:rPr>
        <w:t>项目技术负责人和安全负责人</w:t>
      </w:r>
      <w:r>
        <w:rPr>
          <w:rFonts w:hint="eastAsia" w:ascii="宋体" w:hAnsi="宋体"/>
          <w:color w:val="auto"/>
          <w:szCs w:val="21"/>
          <w:highlight w:val="none"/>
        </w:rPr>
        <w:t>资格：见投标人须知前附表；</w:t>
      </w:r>
    </w:p>
    <w:p w14:paraId="4AC754AA">
      <w:pPr>
        <w:pStyle w:val="9"/>
        <w:keepNext w:val="0"/>
        <w:keepLines w:val="0"/>
        <w:pageBreakBefore w:val="0"/>
        <w:kinsoku/>
        <w:wordWrap/>
        <w:overflowPunct/>
        <w:topLinePunct w:val="0"/>
        <w:bidi w:val="0"/>
        <w:adjustRightInd/>
        <w:snapToGrid/>
        <w:spacing w:line="400" w:lineRule="exact"/>
        <w:ind w:firstLine="420" w:firstLineChars="200"/>
        <w:textAlignment w:val="auto"/>
        <w:rPr>
          <w:rFonts w:hint="eastAsia" w:ascii="宋体" w:hAnsi="宋体"/>
          <w:color w:val="auto"/>
          <w:szCs w:val="21"/>
          <w:highlight w:val="none"/>
        </w:rPr>
      </w:pPr>
      <w:r>
        <w:rPr>
          <w:rFonts w:hint="eastAsia" w:ascii="宋体" w:hAnsi="宋体"/>
          <w:color w:val="auto"/>
          <w:szCs w:val="21"/>
          <w:highlight w:val="none"/>
        </w:rPr>
        <w:t>(6)其他要求：见投标人须知前附表。</w:t>
      </w:r>
    </w:p>
    <w:p w14:paraId="2D4627F2">
      <w:pPr>
        <w:pStyle w:val="11"/>
        <w:keepNext w:val="0"/>
        <w:keepLines w:val="0"/>
        <w:pageBreakBefore w:val="0"/>
        <w:kinsoku/>
        <w:wordWrap/>
        <w:overflowPunct/>
        <w:topLinePunct w:val="0"/>
        <w:bidi w:val="0"/>
        <w:adjustRightInd/>
        <w:snapToGrid/>
        <w:spacing w:line="400" w:lineRule="exact"/>
        <w:textAlignment w:val="auto"/>
        <w:rPr>
          <w:rFonts w:hint="default" w:eastAsia="宋体"/>
          <w:color w:val="auto"/>
          <w:highlight w:val="none"/>
          <w:lang w:val="en-US" w:eastAsia="zh-CN"/>
        </w:rPr>
      </w:pPr>
      <w:r>
        <w:rPr>
          <w:rFonts w:hint="eastAsia" w:hAnsi="宋体"/>
          <w:color w:val="auto"/>
          <w:szCs w:val="21"/>
          <w:highlight w:val="none"/>
          <w:lang w:val="en-US" w:eastAsia="zh-CN"/>
        </w:rPr>
        <w:t>需要提交的相关证明材料见本章第3.5款要求。</w:t>
      </w:r>
    </w:p>
    <w:p w14:paraId="7576DCF2">
      <w:pPr>
        <w:pStyle w:val="9"/>
        <w:keepNext w:val="0"/>
        <w:keepLines w:val="0"/>
        <w:pageBreakBefore w:val="0"/>
        <w:kinsoku/>
        <w:wordWrap/>
        <w:overflowPunct/>
        <w:topLinePunct w:val="0"/>
        <w:bidi w:val="0"/>
        <w:adjustRightInd/>
        <w:snapToGrid/>
        <w:spacing w:line="400" w:lineRule="exact"/>
        <w:ind w:firstLine="420" w:firstLineChars="200"/>
        <w:textAlignment w:val="auto"/>
        <w:rPr>
          <w:rFonts w:ascii="宋体" w:hAnsi="宋体"/>
          <w:color w:val="auto"/>
          <w:szCs w:val="21"/>
          <w:highlight w:val="none"/>
        </w:rPr>
      </w:pPr>
      <w:r>
        <w:rPr>
          <w:rFonts w:hint="eastAsia" w:ascii="宋体" w:hAnsi="宋体"/>
          <w:color w:val="auto"/>
          <w:szCs w:val="21"/>
          <w:highlight w:val="none"/>
        </w:rPr>
        <w:t>1.4.2投标人须知前附表规定接受联合体投标的，</w:t>
      </w:r>
      <w:r>
        <w:rPr>
          <w:rFonts w:hint="eastAsia" w:ascii="宋体" w:hAnsi="宋体" w:eastAsia="宋体"/>
          <w:color w:val="auto"/>
          <w:szCs w:val="21"/>
          <w:highlight w:val="none"/>
          <w:lang w:val="en-US" w:eastAsia="zh-CN"/>
        </w:rPr>
        <w:t>联合体</w:t>
      </w:r>
      <w:r>
        <w:rPr>
          <w:rFonts w:hint="eastAsia" w:ascii="宋体" w:hAnsi="宋体"/>
          <w:color w:val="auto"/>
          <w:szCs w:val="21"/>
          <w:highlight w:val="none"/>
        </w:rPr>
        <w:t>除应符合本章第1.4.1项和投标人须知前附表的要求外，还应遵守以下规定：</w:t>
      </w:r>
    </w:p>
    <w:p w14:paraId="2156CDDD">
      <w:pPr>
        <w:pStyle w:val="9"/>
        <w:keepNext w:val="0"/>
        <w:keepLines w:val="0"/>
        <w:pageBreakBefore w:val="0"/>
        <w:kinsoku/>
        <w:wordWrap/>
        <w:overflowPunct/>
        <w:topLinePunct w:val="0"/>
        <w:bidi w:val="0"/>
        <w:adjustRightInd/>
        <w:snapToGrid/>
        <w:spacing w:line="400" w:lineRule="exact"/>
        <w:textAlignment w:val="auto"/>
        <w:rPr>
          <w:rFonts w:ascii="宋体" w:hAnsi="宋体"/>
          <w:color w:val="auto"/>
          <w:szCs w:val="21"/>
          <w:highlight w:val="none"/>
        </w:rPr>
      </w:pPr>
      <w:r>
        <w:rPr>
          <w:rFonts w:hint="eastAsia" w:ascii="宋体" w:hAnsi="宋体"/>
          <w:color w:val="auto"/>
          <w:szCs w:val="21"/>
          <w:highlight w:val="none"/>
        </w:rPr>
        <w:t xml:space="preserve">    (1)联合体各方应按招标文件提供的格式签订联合体协议书，明确联合体牵头人和各方权利义务</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lang w:val="en-US" w:eastAsia="zh-CN"/>
        </w:rPr>
        <w:t>并承诺就中标项目向招标人承担连带责任</w:t>
      </w:r>
      <w:r>
        <w:rPr>
          <w:rFonts w:hint="eastAsia" w:ascii="宋体" w:hAnsi="宋体"/>
          <w:color w:val="auto"/>
          <w:szCs w:val="21"/>
          <w:highlight w:val="none"/>
        </w:rPr>
        <w:t>；</w:t>
      </w:r>
    </w:p>
    <w:p w14:paraId="2B365E53">
      <w:pPr>
        <w:pStyle w:val="9"/>
        <w:keepNext w:val="0"/>
        <w:keepLines w:val="0"/>
        <w:pageBreakBefore w:val="0"/>
        <w:kinsoku/>
        <w:wordWrap/>
        <w:overflowPunct/>
        <w:topLinePunct w:val="0"/>
        <w:bidi w:val="0"/>
        <w:adjustRightInd/>
        <w:snapToGrid/>
        <w:spacing w:line="400" w:lineRule="exact"/>
        <w:textAlignment w:val="auto"/>
        <w:rPr>
          <w:rFonts w:hint="eastAsia" w:ascii="宋体" w:hAnsi="宋体" w:eastAsia="Times New Roman" w:cs="Times New Roman"/>
          <w:color w:val="auto"/>
          <w:szCs w:val="21"/>
          <w:highlight w:val="none"/>
        </w:rPr>
      </w:pPr>
      <w:r>
        <w:rPr>
          <w:rFonts w:hint="eastAsia" w:ascii="宋体" w:hAnsi="宋体"/>
          <w:color w:val="auto"/>
          <w:szCs w:val="21"/>
          <w:highlight w:val="none"/>
        </w:rPr>
        <w:t xml:space="preserve">    </w:t>
      </w:r>
      <w:r>
        <w:rPr>
          <w:rFonts w:hint="eastAsia" w:ascii="宋体" w:hAnsi="宋体" w:eastAsia="Times New Roman" w:cs="Times New Roman"/>
          <w:color w:val="auto"/>
          <w:szCs w:val="21"/>
          <w:highlight w:val="none"/>
        </w:rPr>
        <w:t>(2)由同一专业的单位组成的联合体，按照资质等级较低的单位确定资质等级；</w:t>
      </w:r>
    </w:p>
    <w:p w14:paraId="0DDB0075">
      <w:pPr>
        <w:pStyle w:val="9"/>
        <w:keepNext w:val="0"/>
        <w:keepLines w:val="0"/>
        <w:pageBreakBefore w:val="0"/>
        <w:kinsoku/>
        <w:wordWrap/>
        <w:overflowPunct/>
        <w:topLinePunct w:val="0"/>
        <w:bidi w:val="0"/>
        <w:adjustRightInd/>
        <w:snapToGrid/>
        <w:spacing w:line="400" w:lineRule="exact"/>
        <w:textAlignment w:val="auto"/>
        <w:rPr>
          <w:rFonts w:hint="eastAsia" w:ascii="宋体" w:hAnsi="宋体" w:eastAsia="Times New Roman" w:cs="Times New Roman"/>
          <w:color w:val="auto"/>
          <w:szCs w:val="21"/>
          <w:highlight w:val="none"/>
        </w:rPr>
      </w:pPr>
      <w:r>
        <w:rPr>
          <w:rFonts w:hint="eastAsia" w:ascii="宋体" w:hAnsi="宋体" w:eastAsia="Times New Roman" w:cs="Times New Roman"/>
          <w:color w:val="auto"/>
          <w:szCs w:val="21"/>
          <w:highlight w:val="none"/>
        </w:rPr>
        <w:t xml:space="preserve">    (3)联合体各方不得再以自已名义单独或参加其他联合体在同一标段中投标；</w:t>
      </w:r>
    </w:p>
    <w:p w14:paraId="43155854">
      <w:pPr>
        <w:pStyle w:val="9"/>
        <w:keepNext w:val="0"/>
        <w:keepLines w:val="0"/>
        <w:pageBreakBefore w:val="0"/>
        <w:kinsoku/>
        <w:wordWrap/>
        <w:overflowPunct/>
        <w:topLinePunct w:val="0"/>
        <w:bidi w:val="0"/>
        <w:adjustRightInd/>
        <w:snapToGrid/>
        <w:spacing w:line="400" w:lineRule="exact"/>
        <w:ind w:firstLine="420" w:firstLineChars="200"/>
        <w:textAlignment w:val="auto"/>
        <w:rPr>
          <w:rFonts w:hint="eastAsia" w:ascii="宋体" w:hAnsi="宋体" w:eastAsia="Times New Roman" w:cs="Times New Roman"/>
          <w:color w:val="auto"/>
          <w:szCs w:val="21"/>
          <w:highlight w:val="none"/>
        </w:rPr>
      </w:pPr>
      <w:r>
        <w:rPr>
          <w:rFonts w:hint="eastAsia" w:ascii="宋体" w:hAnsi="宋体" w:eastAsia="Times New Roman" w:cs="Times New Roman"/>
          <w:color w:val="auto"/>
          <w:szCs w:val="21"/>
          <w:highlight w:val="none"/>
        </w:rPr>
        <w:t>(4)</w:t>
      </w:r>
      <w:r>
        <w:rPr>
          <w:rFonts w:hint="eastAsia" w:ascii="宋体" w:hAnsi="宋体" w:eastAsia="Times New Roman" w:cs="Times New Roman"/>
          <w:color w:val="auto"/>
          <w:szCs w:val="21"/>
          <w:highlight w:val="none"/>
          <w:lang w:val="en-US" w:eastAsia="zh-CN"/>
        </w:rPr>
        <w:t xml:space="preserve">联合体各方应分别按照本招标文件的要求，填写投标文件中的相应表格，并由联合体牵头人负责对联合体各成员的资料进行统一汇总后一并提交给招标人；联合体牵头人所提交的投标文件应认为已代表了联合体各成员的真实情况； </w:t>
      </w:r>
    </w:p>
    <w:p w14:paraId="25889FAF">
      <w:pPr>
        <w:pStyle w:val="9"/>
        <w:spacing w:line="400" w:lineRule="exact"/>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eastAsia="宋体"/>
          <w:color w:val="auto"/>
          <w:szCs w:val="21"/>
          <w:highlight w:val="none"/>
          <w:lang w:val="en-US" w:eastAsia="zh-CN"/>
        </w:rPr>
        <w:t>5</w:t>
      </w:r>
      <w:r>
        <w:rPr>
          <w:rFonts w:hint="eastAsia" w:ascii="宋体" w:hAnsi="宋体"/>
          <w:color w:val="auto"/>
          <w:szCs w:val="21"/>
          <w:highlight w:val="none"/>
        </w:rPr>
        <w:t>)尽管委任了联合体牵头人，但联合体各成员在投标、签约与履行合同过程中，仍负有连带的和各自的法律责任。</w:t>
      </w:r>
    </w:p>
    <w:p w14:paraId="72E2E3EF">
      <w:pPr>
        <w:pStyle w:val="9"/>
        <w:keepNext w:val="0"/>
        <w:keepLines w:val="0"/>
        <w:pageBreakBefore w:val="0"/>
        <w:kinsoku/>
        <w:wordWrap/>
        <w:overflowPunct/>
        <w:topLinePunct w:val="0"/>
        <w:bidi w:val="0"/>
        <w:adjustRightInd/>
        <w:snapToGrid/>
        <w:spacing w:line="400" w:lineRule="exact"/>
        <w:ind w:firstLine="420" w:firstLineChars="200"/>
        <w:textAlignment w:val="auto"/>
        <w:rPr>
          <w:rFonts w:ascii="宋体" w:hAnsi="宋体"/>
          <w:color w:val="auto"/>
          <w:szCs w:val="21"/>
          <w:highlight w:val="none"/>
        </w:rPr>
      </w:pPr>
      <w:r>
        <w:rPr>
          <w:rFonts w:hint="eastAsia" w:ascii="宋体" w:hAnsi="宋体"/>
          <w:color w:val="auto"/>
          <w:szCs w:val="21"/>
          <w:highlight w:val="none"/>
        </w:rPr>
        <w:t>1.4.3  投标人</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lang w:val="en-US" w:eastAsia="zh-CN"/>
        </w:rPr>
        <w:t>包括联合体各成员</w:t>
      </w:r>
      <w:r>
        <w:rPr>
          <w:rFonts w:hint="eastAsia" w:ascii="宋体" w:hAnsi="宋体" w:eastAsia="宋体"/>
          <w:color w:val="auto"/>
          <w:szCs w:val="21"/>
          <w:highlight w:val="none"/>
          <w:lang w:eastAsia="zh-CN"/>
        </w:rPr>
        <w:t>）</w:t>
      </w:r>
      <w:r>
        <w:rPr>
          <w:rFonts w:hint="eastAsia" w:ascii="宋体" w:hAnsi="宋体"/>
          <w:color w:val="auto"/>
          <w:szCs w:val="21"/>
          <w:highlight w:val="none"/>
        </w:rPr>
        <w:t>不得</w:t>
      </w:r>
      <w:r>
        <w:rPr>
          <w:rFonts w:hint="eastAsia" w:ascii="宋体" w:hAnsi="宋体" w:eastAsia="宋体"/>
          <w:color w:val="auto"/>
          <w:szCs w:val="21"/>
          <w:highlight w:val="none"/>
          <w:lang w:val="en-US" w:eastAsia="zh-CN"/>
        </w:rPr>
        <w:t>与本标段相关单位</w:t>
      </w:r>
      <w:r>
        <w:rPr>
          <w:rFonts w:hint="eastAsia" w:ascii="宋体" w:hAnsi="宋体"/>
          <w:color w:val="auto"/>
          <w:szCs w:val="21"/>
          <w:highlight w:val="none"/>
        </w:rPr>
        <w:t>存在下列</w:t>
      </w:r>
      <w:r>
        <w:rPr>
          <w:rFonts w:hint="eastAsia" w:ascii="宋体" w:hAnsi="宋体" w:eastAsia="宋体"/>
          <w:color w:val="auto"/>
          <w:szCs w:val="21"/>
          <w:highlight w:val="none"/>
          <w:lang w:val="en-US" w:eastAsia="zh-CN"/>
        </w:rPr>
        <w:t>关联</w:t>
      </w:r>
      <w:r>
        <w:rPr>
          <w:rFonts w:hint="eastAsia" w:ascii="宋体" w:hAnsi="宋体"/>
          <w:color w:val="auto"/>
          <w:szCs w:val="21"/>
          <w:highlight w:val="none"/>
        </w:rPr>
        <w:t>情形：</w:t>
      </w:r>
    </w:p>
    <w:p w14:paraId="5384A8EA">
      <w:pPr>
        <w:pStyle w:val="9"/>
        <w:keepNext w:val="0"/>
        <w:keepLines w:val="0"/>
        <w:pageBreakBefore w:val="0"/>
        <w:kinsoku/>
        <w:wordWrap/>
        <w:overflowPunct/>
        <w:topLinePunct w:val="0"/>
        <w:bidi w:val="0"/>
        <w:adjustRightInd/>
        <w:snapToGrid/>
        <w:spacing w:line="400" w:lineRule="exact"/>
        <w:textAlignment w:val="auto"/>
        <w:rPr>
          <w:rFonts w:ascii="宋体" w:hAnsi="宋体"/>
          <w:color w:val="auto"/>
          <w:szCs w:val="21"/>
          <w:highlight w:val="none"/>
        </w:rPr>
      </w:pPr>
      <w:r>
        <w:rPr>
          <w:rFonts w:hint="eastAsia" w:ascii="宋体" w:hAnsi="宋体"/>
          <w:color w:val="auto"/>
          <w:szCs w:val="21"/>
          <w:highlight w:val="none"/>
        </w:rPr>
        <w:t xml:space="preserve">    (1)为招标人不具有独立法人资格的附属机构（单位）；</w:t>
      </w:r>
    </w:p>
    <w:p w14:paraId="3496DF68">
      <w:pPr>
        <w:pStyle w:val="9"/>
        <w:keepNext w:val="0"/>
        <w:keepLines w:val="0"/>
        <w:pageBreakBefore w:val="0"/>
        <w:kinsoku/>
        <w:wordWrap/>
        <w:overflowPunct/>
        <w:topLinePunct w:val="0"/>
        <w:bidi w:val="0"/>
        <w:adjustRightInd/>
        <w:snapToGrid/>
        <w:spacing w:line="400" w:lineRule="exact"/>
        <w:textAlignment w:val="auto"/>
        <w:rPr>
          <w:rFonts w:ascii="宋体" w:hAnsi="宋体"/>
          <w:color w:val="auto"/>
          <w:szCs w:val="21"/>
          <w:highlight w:val="none"/>
        </w:rPr>
      </w:pPr>
      <w:r>
        <w:rPr>
          <w:rFonts w:hint="eastAsia" w:ascii="宋体" w:hAnsi="宋体"/>
          <w:color w:val="auto"/>
          <w:szCs w:val="21"/>
          <w:highlight w:val="none"/>
        </w:rPr>
        <w:t xml:space="preserve">    (2)</w:t>
      </w:r>
      <w:r>
        <w:rPr>
          <w:rFonts w:hint="eastAsia" w:ascii="宋体" w:hAnsi="宋体" w:eastAsia="宋体"/>
          <w:color w:val="auto"/>
          <w:szCs w:val="21"/>
          <w:highlight w:val="none"/>
          <w:lang w:val="en-US" w:eastAsia="zh-CN"/>
        </w:rPr>
        <w:t>与招标人存在利害关系且可能影响招标公正性</w:t>
      </w:r>
      <w:r>
        <w:rPr>
          <w:rFonts w:hint="eastAsia" w:ascii="宋体" w:hAnsi="宋体"/>
          <w:color w:val="auto"/>
          <w:szCs w:val="21"/>
          <w:highlight w:val="none"/>
        </w:rPr>
        <w:t>；</w:t>
      </w:r>
    </w:p>
    <w:p w14:paraId="2EDFB825">
      <w:pPr>
        <w:pStyle w:val="9"/>
        <w:keepNext w:val="0"/>
        <w:keepLines w:val="0"/>
        <w:pageBreakBefore w:val="0"/>
        <w:kinsoku/>
        <w:wordWrap/>
        <w:overflowPunct/>
        <w:topLinePunct w:val="0"/>
        <w:bidi w:val="0"/>
        <w:adjustRightInd/>
        <w:snapToGrid/>
        <w:spacing w:line="400" w:lineRule="exact"/>
        <w:ind w:firstLine="420"/>
        <w:textAlignment w:val="auto"/>
        <w:rPr>
          <w:rFonts w:hint="eastAsia" w:ascii="宋体" w:hAnsi="宋体" w:eastAsia="宋体"/>
          <w:color w:val="auto"/>
          <w:szCs w:val="21"/>
          <w:highlight w:val="none"/>
          <w:lang w:val="en-US" w:eastAsia="zh-CN"/>
        </w:rPr>
      </w:pPr>
      <w:r>
        <w:rPr>
          <w:rFonts w:hint="eastAsia" w:ascii="宋体" w:hAnsi="宋体"/>
          <w:color w:val="auto"/>
          <w:szCs w:val="21"/>
          <w:highlight w:val="none"/>
        </w:rPr>
        <w:t>(3)</w:t>
      </w:r>
      <w:r>
        <w:rPr>
          <w:rFonts w:hint="eastAsia" w:ascii="宋体" w:hAnsi="宋体" w:eastAsia="宋体"/>
          <w:color w:val="auto"/>
          <w:szCs w:val="21"/>
          <w:highlight w:val="none"/>
          <w:lang w:val="en-US" w:eastAsia="zh-CN"/>
        </w:rPr>
        <w:t>与本标段的其他投标人同为一个单位负责人；</w:t>
      </w:r>
    </w:p>
    <w:p w14:paraId="6F89B670">
      <w:pPr>
        <w:pStyle w:val="11"/>
        <w:keepNext w:val="0"/>
        <w:keepLines w:val="0"/>
        <w:pageBreakBefore w:val="0"/>
        <w:kinsoku/>
        <w:wordWrap/>
        <w:overflowPunct/>
        <w:topLinePunct w:val="0"/>
        <w:bidi w:val="0"/>
        <w:adjustRightInd/>
        <w:snapToGrid/>
        <w:spacing w:line="400" w:lineRule="exact"/>
        <w:textAlignment w:val="auto"/>
        <w:rPr>
          <w:rFonts w:hint="default" w:eastAsia="宋体"/>
          <w:color w:val="auto"/>
          <w:highlight w:val="none"/>
          <w:lang w:val="en-US" w:eastAsia="zh-CN"/>
        </w:rPr>
      </w:pPr>
      <w:r>
        <w:rPr>
          <w:rFonts w:hint="eastAsia" w:ascii="宋体" w:hAnsi="宋体"/>
          <w:color w:val="auto"/>
          <w:szCs w:val="21"/>
          <w:highlight w:val="none"/>
        </w:rPr>
        <w:t>(</w:t>
      </w:r>
      <w:r>
        <w:rPr>
          <w:rFonts w:hint="eastAsia" w:ascii="宋体" w:hAnsi="宋体"/>
          <w:color w:val="auto"/>
          <w:szCs w:val="21"/>
          <w:highlight w:val="none"/>
          <w:lang w:val="en-US" w:eastAsia="zh-CN"/>
        </w:rPr>
        <w:t>4</w:t>
      </w:r>
      <w:r>
        <w:rPr>
          <w:rFonts w:hint="eastAsia" w:ascii="宋体" w:hAnsi="宋体"/>
          <w:color w:val="auto"/>
          <w:szCs w:val="21"/>
          <w:highlight w:val="none"/>
        </w:rPr>
        <w:t>)</w:t>
      </w:r>
      <w:r>
        <w:rPr>
          <w:rFonts w:hint="eastAsia" w:ascii="宋体" w:hAnsi="宋体"/>
          <w:color w:val="auto"/>
          <w:szCs w:val="21"/>
          <w:highlight w:val="none"/>
          <w:lang w:val="en-US" w:eastAsia="zh-CN"/>
        </w:rPr>
        <w:t>与本标段的其他投标人存在控股（含法定代表人控股）、管理关系；</w:t>
      </w:r>
    </w:p>
    <w:p w14:paraId="6F39DA5F">
      <w:pPr>
        <w:pStyle w:val="11"/>
        <w:keepNext w:val="0"/>
        <w:keepLines w:val="0"/>
        <w:pageBreakBefore w:val="0"/>
        <w:kinsoku/>
        <w:wordWrap/>
        <w:overflowPunct/>
        <w:topLinePunct w:val="0"/>
        <w:bidi w:val="0"/>
        <w:adjustRightInd/>
        <w:snapToGrid/>
        <w:spacing w:line="400" w:lineRule="exact"/>
        <w:textAlignment w:val="auto"/>
        <w:rPr>
          <w:rFonts w:hint="default" w:eastAsia="宋体"/>
          <w:color w:val="auto"/>
          <w:highlight w:val="none"/>
          <w:lang w:val="en-US" w:eastAsia="zh-CN"/>
        </w:rPr>
      </w:pPr>
      <w:r>
        <w:rPr>
          <w:rFonts w:hint="eastAsia" w:ascii="宋体" w:hAnsi="宋体"/>
          <w:color w:val="auto"/>
          <w:szCs w:val="21"/>
          <w:highlight w:val="none"/>
        </w:rPr>
        <w:t>(</w:t>
      </w:r>
      <w:r>
        <w:rPr>
          <w:rFonts w:hint="eastAsia" w:ascii="宋体" w:hAnsi="宋体"/>
          <w:color w:val="auto"/>
          <w:szCs w:val="21"/>
          <w:highlight w:val="none"/>
          <w:lang w:val="en-US" w:eastAsia="zh-CN"/>
        </w:rPr>
        <w:t>5</w:t>
      </w:r>
      <w:r>
        <w:rPr>
          <w:rFonts w:hint="eastAsia" w:ascii="宋体" w:hAnsi="宋体"/>
          <w:color w:val="auto"/>
          <w:szCs w:val="21"/>
          <w:highlight w:val="none"/>
        </w:rPr>
        <w:t>)</w:t>
      </w:r>
      <w:r>
        <w:rPr>
          <w:rFonts w:hint="eastAsia" w:ascii="宋体" w:hAnsi="宋体"/>
          <w:color w:val="auto"/>
          <w:szCs w:val="21"/>
          <w:highlight w:val="none"/>
          <w:lang w:val="en-US" w:eastAsia="zh-CN"/>
        </w:rPr>
        <w:t>为本标段前期准备提供设计或咨询服务的；</w:t>
      </w:r>
    </w:p>
    <w:p w14:paraId="53D8CC49">
      <w:pPr>
        <w:pStyle w:val="9"/>
        <w:keepNext w:val="0"/>
        <w:keepLines w:val="0"/>
        <w:pageBreakBefore w:val="0"/>
        <w:kinsoku/>
        <w:wordWrap/>
        <w:overflowPunct/>
        <w:topLinePunct w:val="0"/>
        <w:bidi w:val="0"/>
        <w:adjustRightInd/>
        <w:snapToGrid/>
        <w:spacing w:line="400" w:lineRule="exact"/>
        <w:ind w:firstLine="420"/>
        <w:textAlignment w:val="auto"/>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6</w:t>
      </w:r>
      <w:r>
        <w:rPr>
          <w:rFonts w:hint="eastAsia" w:ascii="宋体" w:hAnsi="宋体"/>
          <w:color w:val="auto"/>
          <w:szCs w:val="21"/>
          <w:highlight w:val="none"/>
        </w:rPr>
        <w:t>)为本标段的监理人；</w:t>
      </w:r>
    </w:p>
    <w:p w14:paraId="33FCCAAD">
      <w:pPr>
        <w:pStyle w:val="9"/>
        <w:keepNext w:val="0"/>
        <w:keepLines w:val="0"/>
        <w:pageBreakBefore w:val="0"/>
        <w:kinsoku/>
        <w:wordWrap/>
        <w:overflowPunct/>
        <w:topLinePunct w:val="0"/>
        <w:bidi w:val="0"/>
        <w:adjustRightInd/>
        <w:snapToGrid/>
        <w:spacing w:line="400" w:lineRule="exact"/>
        <w:textAlignment w:val="auto"/>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eastAsia="宋体"/>
          <w:color w:val="auto"/>
          <w:szCs w:val="21"/>
          <w:highlight w:val="none"/>
          <w:lang w:val="en-US" w:eastAsia="zh-CN"/>
        </w:rPr>
        <w:t>7</w:t>
      </w:r>
      <w:r>
        <w:rPr>
          <w:rFonts w:hint="eastAsia" w:ascii="宋体" w:hAnsi="宋体"/>
          <w:color w:val="auto"/>
          <w:szCs w:val="21"/>
          <w:highlight w:val="none"/>
        </w:rPr>
        <w:t>)为本标段的代建人；</w:t>
      </w:r>
    </w:p>
    <w:p w14:paraId="3C72A8E4">
      <w:pPr>
        <w:pStyle w:val="9"/>
        <w:keepNext w:val="0"/>
        <w:keepLines w:val="0"/>
        <w:pageBreakBefore w:val="0"/>
        <w:kinsoku/>
        <w:wordWrap/>
        <w:overflowPunct/>
        <w:topLinePunct w:val="0"/>
        <w:bidi w:val="0"/>
        <w:adjustRightInd/>
        <w:snapToGrid/>
        <w:spacing w:line="400" w:lineRule="exact"/>
        <w:textAlignment w:val="auto"/>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eastAsia="宋体"/>
          <w:color w:val="auto"/>
          <w:szCs w:val="21"/>
          <w:highlight w:val="none"/>
          <w:lang w:val="en-US" w:eastAsia="zh-CN"/>
        </w:rPr>
        <w:t>8</w:t>
      </w:r>
      <w:r>
        <w:rPr>
          <w:rFonts w:hint="eastAsia" w:ascii="宋体" w:hAnsi="宋体"/>
          <w:color w:val="auto"/>
          <w:szCs w:val="21"/>
          <w:highlight w:val="none"/>
        </w:rPr>
        <w:t>)为本标段</w:t>
      </w:r>
      <w:r>
        <w:rPr>
          <w:rFonts w:hint="eastAsia" w:ascii="宋体" w:hAnsi="宋体" w:eastAsia="宋体"/>
          <w:color w:val="auto"/>
          <w:szCs w:val="21"/>
          <w:highlight w:val="none"/>
          <w:lang w:val="en-US" w:eastAsia="zh-CN"/>
        </w:rPr>
        <w:t>的</w:t>
      </w:r>
      <w:r>
        <w:rPr>
          <w:rFonts w:hint="eastAsia" w:ascii="宋体" w:hAnsi="宋体"/>
          <w:color w:val="auto"/>
          <w:szCs w:val="21"/>
          <w:highlight w:val="none"/>
        </w:rPr>
        <w:t>招标代理</w:t>
      </w:r>
      <w:r>
        <w:rPr>
          <w:rFonts w:hint="eastAsia" w:ascii="宋体" w:hAnsi="宋体" w:eastAsia="宋体"/>
          <w:color w:val="auto"/>
          <w:szCs w:val="21"/>
          <w:highlight w:val="none"/>
          <w:lang w:val="en-US" w:eastAsia="zh-CN"/>
        </w:rPr>
        <w:t>机构</w:t>
      </w:r>
      <w:r>
        <w:rPr>
          <w:rFonts w:hint="eastAsia" w:ascii="宋体" w:hAnsi="宋体"/>
          <w:color w:val="auto"/>
          <w:szCs w:val="21"/>
          <w:highlight w:val="none"/>
        </w:rPr>
        <w:t>；</w:t>
      </w:r>
    </w:p>
    <w:p w14:paraId="5E0DCB46">
      <w:pPr>
        <w:pStyle w:val="9"/>
        <w:keepNext w:val="0"/>
        <w:keepLines w:val="0"/>
        <w:pageBreakBefore w:val="0"/>
        <w:kinsoku/>
        <w:wordWrap/>
        <w:overflowPunct/>
        <w:topLinePunct w:val="0"/>
        <w:bidi w:val="0"/>
        <w:adjustRightInd/>
        <w:snapToGrid/>
        <w:spacing w:line="400" w:lineRule="exact"/>
        <w:textAlignment w:val="auto"/>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eastAsia="宋体"/>
          <w:color w:val="auto"/>
          <w:szCs w:val="21"/>
          <w:highlight w:val="none"/>
          <w:lang w:val="en-US" w:eastAsia="zh-CN"/>
        </w:rPr>
        <w:t>9</w:t>
      </w:r>
      <w:r>
        <w:rPr>
          <w:rFonts w:hint="eastAsia" w:ascii="宋体" w:hAnsi="宋体"/>
          <w:color w:val="auto"/>
          <w:szCs w:val="21"/>
          <w:highlight w:val="none"/>
        </w:rPr>
        <w:t>)与本标段的监理人或代建人或招标代理机构同为一个法定代表人；</w:t>
      </w:r>
    </w:p>
    <w:p w14:paraId="6522C077">
      <w:pPr>
        <w:pStyle w:val="9"/>
        <w:keepNext w:val="0"/>
        <w:keepLines w:val="0"/>
        <w:pageBreakBefore w:val="0"/>
        <w:kinsoku/>
        <w:wordWrap/>
        <w:overflowPunct/>
        <w:topLinePunct w:val="0"/>
        <w:bidi w:val="0"/>
        <w:adjustRightInd/>
        <w:snapToGrid/>
        <w:spacing w:line="400" w:lineRule="exact"/>
        <w:textAlignment w:val="auto"/>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eastAsia="宋体"/>
          <w:color w:val="auto"/>
          <w:szCs w:val="21"/>
          <w:highlight w:val="none"/>
          <w:lang w:val="en-US" w:eastAsia="zh-CN"/>
        </w:rPr>
        <w:t>10</w:t>
      </w:r>
      <w:r>
        <w:rPr>
          <w:rFonts w:hint="eastAsia" w:ascii="宋体" w:hAnsi="宋体"/>
          <w:color w:val="auto"/>
          <w:szCs w:val="21"/>
          <w:highlight w:val="none"/>
        </w:rPr>
        <w:t>)与本标段的监理人或代建人或招标代理机构</w:t>
      </w:r>
      <w:r>
        <w:rPr>
          <w:rFonts w:hint="eastAsia" w:ascii="宋体" w:hAnsi="宋体" w:eastAsia="宋体"/>
          <w:color w:val="auto"/>
          <w:szCs w:val="21"/>
          <w:highlight w:val="none"/>
          <w:lang w:val="en-US" w:eastAsia="zh-CN"/>
        </w:rPr>
        <w:t>存在控股或</w:t>
      </w:r>
      <w:r>
        <w:rPr>
          <w:rFonts w:hint="eastAsia" w:ascii="宋体" w:hAnsi="宋体"/>
          <w:color w:val="auto"/>
          <w:szCs w:val="21"/>
          <w:highlight w:val="none"/>
        </w:rPr>
        <w:t>参股</w:t>
      </w:r>
      <w:r>
        <w:rPr>
          <w:rFonts w:hint="eastAsia" w:ascii="宋体" w:hAnsi="宋体" w:eastAsia="宋体"/>
          <w:color w:val="auto"/>
          <w:szCs w:val="21"/>
          <w:highlight w:val="none"/>
          <w:lang w:val="en-US" w:eastAsia="zh-CN"/>
        </w:rPr>
        <w:t>关系</w:t>
      </w:r>
      <w:r>
        <w:rPr>
          <w:rFonts w:hint="eastAsia" w:ascii="宋体" w:hAnsi="宋体"/>
          <w:color w:val="auto"/>
          <w:szCs w:val="21"/>
          <w:highlight w:val="none"/>
        </w:rPr>
        <w:t>；</w:t>
      </w:r>
    </w:p>
    <w:p w14:paraId="3E9E9B87">
      <w:pPr>
        <w:pStyle w:val="9"/>
        <w:keepNext w:val="0"/>
        <w:keepLines w:val="0"/>
        <w:pageBreakBefore w:val="0"/>
        <w:kinsoku/>
        <w:wordWrap/>
        <w:overflowPunct/>
        <w:topLinePunct w:val="0"/>
        <w:bidi w:val="0"/>
        <w:adjustRightInd/>
        <w:snapToGrid/>
        <w:spacing w:line="400" w:lineRule="exact"/>
        <w:textAlignment w:val="auto"/>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eastAsia="宋体"/>
          <w:color w:val="auto"/>
          <w:szCs w:val="21"/>
          <w:highlight w:val="none"/>
          <w:lang w:val="en-US" w:eastAsia="zh-CN"/>
        </w:rPr>
        <w:t>11</w:t>
      </w:r>
      <w:r>
        <w:rPr>
          <w:rFonts w:hint="eastAsia" w:ascii="宋体" w:hAnsi="宋体"/>
          <w:color w:val="auto"/>
          <w:szCs w:val="21"/>
          <w:highlight w:val="none"/>
        </w:rPr>
        <w:t>)与本标段的监理人或代建人或招标代理机构相互任职或工作的；</w:t>
      </w:r>
    </w:p>
    <w:p w14:paraId="34D4E214">
      <w:pPr>
        <w:pStyle w:val="9"/>
        <w:keepNext w:val="0"/>
        <w:keepLines w:val="0"/>
        <w:pageBreakBefore w:val="0"/>
        <w:kinsoku/>
        <w:wordWrap/>
        <w:overflowPunct/>
        <w:topLinePunct w:val="0"/>
        <w:bidi w:val="0"/>
        <w:adjustRightInd/>
        <w:snapToGrid/>
        <w:spacing w:line="400" w:lineRule="exact"/>
        <w:textAlignment w:val="auto"/>
        <w:rPr>
          <w:rFonts w:hint="eastAsia" w:ascii="宋体" w:hAnsi="宋体"/>
          <w:color w:val="auto"/>
          <w:szCs w:val="21"/>
          <w:highlight w:val="none"/>
        </w:rPr>
      </w:pPr>
      <w:r>
        <w:rPr>
          <w:rFonts w:hint="eastAsia" w:ascii="宋体" w:hAnsi="宋体"/>
          <w:color w:val="auto"/>
          <w:szCs w:val="21"/>
          <w:highlight w:val="none"/>
        </w:rPr>
        <w:t xml:space="preserve">    (</w:t>
      </w:r>
      <w:r>
        <w:rPr>
          <w:rFonts w:hint="eastAsia" w:ascii="宋体" w:hAnsi="宋体" w:eastAsia="宋体"/>
          <w:color w:val="auto"/>
          <w:szCs w:val="21"/>
          <w:highlight w:val="none"/>
          <w:lang w:val="en-US" w:eastAsia="zh-CN"/>
        </w:rPr>
        <w:t>12</w:t>
      </w:r>
      <w:r>
        <w:rPr>
          <w:rFonts w:hint="eastAsia" w:ascii="宋体" w:hAnsi="宋体"/>
          <w:color w:val="auto"/>
          <w:szCs w:val="21"/>
          <w:highlight w:val="none"/>
        </w:rPr>
        <w:t>)</w:t>
      </w:r>
      <w:r>
        <w:rPr>
          <w:rFonts w:hint="eastAsia" w:ascii="宋体" w:hAnsi="宋体" w:eastAsia="宋体"/>
          <w:color w:val="auto"/>
          <w:szCs w:val="21"/>
          <w:highlight w:val="none"/>
          <w:lang w:val="en-US" w:eastAsia="zh-CN"/>
        </w:rPr>
        <w:t>为投资参股本项目的法人单位</w:t>
      </w:r>
      <w:r>
        <w:rPr>
          <w:rFonts w:hint="eastAsia" w:ascii="宋体" w:hAnsi="宋体"/>
          <w:color w:val="auto"/>
          <w:szCs w:val="21"/>
          <w:highlight w:val="none"/>
        </w:rPr>
        <w:t>；</w:t>
      </w:r>
    </w:p>
    <w:p w14:paraId="791B0D37">
      <w:pPr>
        <w:pStyle w:val="9"/>
        <w:keepNext w:val="0"/>
        <w:keepLines w:val="0"/>
        <w:pageBreakBefore w:val="0"/>
        <w:kinsoku/>
        <w:wordWrap/>
        <w:overflowPunct/>
        <w:topLinePunct w:val="0"/>
        <w:bidi w:val="0"/>
        <w:adjustRightInd/>
        <w:snapToGrid/>
        <w:spacing w:line="400" w:lineRule="exact"/>
        <w:textAlignment w:val="auto"/>
        <w:rPr>
          <w:rFonts w:hint="eastAsia" w:ascii="宋体" w:hAnsi="宋体"/>
          <w:color w:val="auto"/>
          <w:szCs w:val="21"/>
          <w:highlight w:val="none"/>
        </w:rPr>
      </w:pPr>
      <w:r>
        <w:rPr>
          <w:rFonts w:hint="eastAsia" w:ascii="宋体" w:hAnsi="宋体"/>
          <w:color w:val="auto"/>
          <w:szCs w:val="21"/>
          <w:highlight w:val="none"/>
        </w:rPr>
        <w:t xml:space="preserve">    (</w:t>
      </w:r>
      <w:r>
        <w:rPr>
          <w:rFonts w:hint="eastAsia" w:ascii="宋体" w:hAnsi="宋体" w:eastAsia="宋体"/>
          <w:color w:val="auto"/>
          <w:szCs w:val="21"/>
          <w:highlight w:val="none"/>
          <w:lang w:val="en-US" w:eastAsia="zh-CN"/>
        </w:rPr>
        <w:t>13</w:t>
      </w:r>
      <w:r>
        <w:rPr>
          <w:rFonts w:hint="eastAsia" w:ascii="宋体" w:hAnsi="宋体"/>
          <w:color w:val="auto"/>
          <w:szCs w:val="21"/>
          <w:highlight w:val="none"/>
        </w:rPr>
        <w:t>)</w:t>
      </w:r>
      <w:r>
        <w:rPr>
          <w:rFonts w:hint="eastAsia" w:ascii="宋体" w:hAnsi="宋体" w:eastAsia="宋体"/>
          <w:color w:val="auto"/>
          <w:szCs w:val="21"/>
          <w:highlight w:val="none"/>
          <w:lang w:val="en-US" w:eastAsia="zh-CN"/>
        </w:rPr>
        <w:t>法律法规或投标人须知前附表规定的其他情形。</w:t>
      </w:r>
    </w:p>
    <w:p w14:paraId="108487FF">
      <w:pPr>
        <w:pStyle w:val="9"/>
        <w:keepNext w:val="0"/>
        <w:keepLines w:val="0"/>
        <w:pageBreakBefore w:val="0"/>
        <w:kinsoku/>
        <w:wordWrap/>
        <w:overflowPunct/>
        <w:topLinePunct w:val="0"/>
        <w:bidi w:val="0"/>
        <w:adjustRightInd/>
        <w:snapToGrid/>
        <w:spacing w:line="400" w:lineRule="exact"/>
        <w:ind w:firstLine="420" w:firstLineChars="200"/>
        <w:textAlignment w:val="auto"/>
        <w:rPr>
          <w:rFonts w:ascii="宋体" w:hAnsi="宋体"/>
          <w:color w:val="auto"/>
          <w:szCs w:val="21"/>
          <w:highlight w:val="none"/>
        </w:rPr>
      </w:pPr>
      <w:r>
        <w:rPr>
          <w:rFonts w:hint="eastAsia" w:ascii="宋体" w:hAnsi="宋体"/>
          <w:color w:val="auto"/>
          <w:szCs w:val="21"/>
          <w:highlight w:val="none"/>
        </w:rPr>
        <w:t>1.4.</w:t>
      </w:r>
      <w:r>
        <w:rPr>
          <w:rFonts w:hint="eastAsia" w:ascii="宋体" w:hAnsi="宋体" w:eastAsia="宋体"/>
          <w:color w:val="auto"/>
          <w:szCs w:val="21"/>
          <w:highlight w:val="none"/>
          <w:lang w:val="en-US" w:eastAsia="zh-CN"/>
        </w:rPr>
        <w:t>4</w:t>
      </w:r>
      <w:r>
        <w:rPr>
          <w:rFonts w:hint="eastAsia" w:ascii="宋体" w:hAnsi="宋体"/>
          <w:color w:val="auto"/>
          <w:szCs w:val="21"/>
          <w:highlight w:val="none"/>
        </w:rPr>
        <w:t xml:space="preserve">  投标人</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lang w:val="en-US" w:eastAsia="zh-CN"/>
        </w:rPr>
        <w:t>包括联合体各成员</w:t>
      </w:r>
      <w:r>
        <w:rPr>
          <w:rFonts w:hint="eastAsia" w:ascii="宋体" w:hAnsi="宋体" w:eastAsia="宋体"/>
          <w:color w:val="auto"/>
          <w:szCs w:val="21"/>
          <w:highlight w:val="none"/>
          <w:lang w:eastAsia="zh-CN"/>
        </w:rPr>
        <w:t>）</w:t>
      </w:r>
      <w:r>
        <w:rPr>
          <w:rFonts w:hint="eastAsia" w:ascii="宋体" w:hAnsi="宋体"/>
          <w:color w:val="auto"/>
          <w:szCs w:val="21"/>
          <w:highlight w:val="none"/>
        </w:rPr>
        <w:t>不得</w:t>
      </w:r>
      <w:r>
        <w:rPr>
          <w:rFonts w:hint="eastAsia" w:ascii="宋体" w:hAnsi="宋体" w:eastAsia="宋体"/>
          <w:color w:val="auto"/>
          <w:szCs w:val="21"/>
          <w:highlight w:val="none"/>
          <w:lang w:val="en-US" w:eastAsia="zh-CN"/>
        </w:rPr>
        <w:t>存在下列不良状况或不良信用记录</w:t>
      </w:r>
      <w:r>
        <w:rPr>
          <w:rFonts w:hint="eastAsia" w:ascii="宋体" w:hAnsi="宋体"/>
          <w:color w:val="auto"/>
          <w:szCs w:val="21"/>
          <w:highlight w:val="none"/>
        </w:rPr>
        <w:t>：</w:t>
      </w:r>
    </w:p>
    <w:p w14:paraId="70B51E07">
      <w:pPr>
        <w:pStyle w:val="9"/>
        <w:keepNext w:val="0"/>
        <w:keepLines w:val="0"/>
        <w:pageBreakBefore w:val="0"/>
        <w:kinsoku/>
        <w:wordWrap/>
        <w:overflowPunct/>
        <w:topLinePunct w:val="0"/>
        <w:bidi w:val="0"/>
        <w:adjustRightInd/>
        <w:snapToGrid/>
        <w:spacing w:line="400" w:lineRule="exact"/>
        <w:textAlignment w:val="auto"/>
        <w:rPr>
          <w:rFonts w:hint="eastAsia" w:ascii="宋体" w:hAnsi="宋体"/>
          <w:color w:val="auto"/>
          <w:szCs w:val="21"/>
          <w:highlight w:val="none"/>
        </w:rPr>
      </w:pPr>
      <w:r>
        <w:rPr>
          <w:rFonts w:hint="eastAsia" w:ascii="宋体" w:hAnsi="宋体"/>
          <w:color w:val="auto"/>
          <w:szCs w:val="21"/>
          <w:highlight w:val="none"/>
        </w:rPr>
        <w:t xml:space="preserve">    (1)</w:t>
      </w:r>
      <w:r>
        <w:rPr>
          <w:rFonts w:hint="eastAsia" w:ascii="宋体" w:hAnsi="宋体" w:eastAsia="宋体"/>
          <w:color w:val="auto"/>
          <w:szCs w:val="21"/>
          <w:highlight w:val="none"/>
          <w:lang w:val="en-US" w:eastAsia="zh-CN"/>
        </w:rPr>
        <w:t>被交通运输部、浙江省交通运输厅、浙江省发展和改革委员会取消投标资格或禁止进入浙江省建设市场且处于有效期内的</w:t>
      </w:r>
      <w:r>
        <w:rPr>
          <w:rFonts w:hint="eastAsia" w:ascii="宋体" w:hAnsi="宋体"/>
          <w:color w:val="auto"/>
          <w:szCs w:val="21"/>
          <w:highlight w:val="none"/>
        </w:rPr>
        <w:t>；</w:t>
      </w:r>
    </w:p>
    <w:p w14:paraId="38009A35">
      <w:pPr>
        <w:pStyle w:val="9"/>
        <w:keepNext w:val="0"/>
        <w:keepLines w:val="0"/>
        <w:pageBreakBefore w:val="0"/>
        <w:kinsoku/>
        <w:wordWrap/>
        <w:overflowPunct/>
        <w:topLinePunct w:val="0"/>
        <w:bidi w:val="0"/>
        <w:adjustRightInd/>
        <w:snapToGrid/>
        <w:spacing w:line="400" w:lineRule="exact"/>
        <w:textAlignment w:val="auto"/>
        <w:rPr>
          <w:rFonts w:hint="eastAsia" w:ascii="宋体" w:hAnsi="宋体" w:eastAsia="Times New Roman" w:cs="Times New Roman"/>
          <w:color w:val="auto"/>
          <w:szCs w:val="21"/>
          <w:highlight w:val="none"/>
        </w:rPr>
      </w:pPr>
      <w:r>
        <w:rPr>
          <w:rFonts w:hint="eastAsia" w:ascii="宋体" w:hAnsi="宋体" w:eastAsia="Times New Roman" w:cs="Times New Roman"/>
          <w:color w:val="auto"/>
          <w:szCs w:val="21"/>
          <w:highlight w:val="none"/>
        </w:rPr>
        <w:t xml:space="preserve"> </w:t>
      </w:r>
      <w:r>
        <w:rPr>
          <w:rFonts w:hint="eastAsia" w:ascii="宋体" w:hAnsi="宋体" w:eastAsia="Times New Roman" w:cs="Times New Roman"/>
          <w:color w:val="auto"/>
          <w:szCs w:val="21"/>
          <w:highlight w:val="none"/>
          <w:lang w:val="en-US" w:eastAsia="zh-CN"/>
        </w:rPr>
        <w:t xml:space="preserve">  </w:t>
      </w:r>
      <w:r>
        <w:rPr>
          <w:rFonts w:hint="eastAsia" w:ascii="宋体" w:hAnsi="宋体" w:eastAsia="Times New Roman" w:cs="Times New Roman"/>
          <w:color w:val="auto"/>
          <w:szCs w:val="21"/>
          <w:highlight w:val="none"/>
        </w:rPr>
        <w:t xml:space="preserve"> (</w:t>
      </w:r>
      <w:r>
        <w:rPr>
          <w:rFonts w:hint="eastAsia" w:ascii="宋体" w:hAnsi="宋体" w:eastAsia="Times New Roman" w:cs="Times New Roman"/>
          <w:color w:val="auto"/>
          <w:szCs w:val="21"/>
          <w:highlight w:val="none"/>
          <w:lang w:val="en-US" w:eastAsia="zh-CN"/>
        </w:rPr>
        <w:t>2</w:t>
      </w:r>
      <w:r>
        <w:rPr>
          <w:rFonts w:hint="eastAsia" w:ascii="宋体" w:hAnsi="宋体" w:eastAsia="Times New Roman" w:cs="Times New Roman"/>
          <w:color w:val="auto"/>
          <w:szCs w:val="21"/>
          <w:highlight w:val="none"/>
        </w:rPr>
        <w:t>)被责令停业</w:t>
      </w:r>
      <w:r>
        <w:rPr>
          <w:rFonts w:hint="eastAsia" w:ascii="宋体" w:hAnsi="宋体" w:eastAsia="Times New Roman" w:cs="Times New Roman"/>
          <w:color w:val="auto"/>
          <w:szCs w:val="21"/>
          <w:highlight w:val="none"/>
          <w:lang w:eastAsia="zh-CN"/>
        </w:rPr>
        <w:t>，</w:t>
      </w:r>
      <w:r>
        <w:rPr>
          <w:rFonts w:hint="eastAsia" w:ascii="宋体" w:hAnsi="宋体" w:eastAsia="Times New Roman" w:cs="Times New Roman"/>
          <w:color w:val="auto"/>
          <w:szCs w:val="21"/>
          <w:highlight w:val="none"/>
          <w:lang w:val="en-US" w:eastAsia="zh-CN"/>
        </w:rPr>
        <w:t>暂扣或吊销执照，或吊销资质证书</w:t>
      </w:r>
      <w:r>
        <w:rPr>
          <w:rFonts w:hint="eastAsia" w:ascii="宋体" w:hAnsi="宋体" w:eastAsia="Times New Roman" w:cs="Times New Roman"/>
          <w:color w:val="auto"/>
          <w:szCs w:val="21"/>
          <w:highlight w:val="none"/>
        </w:rPr>
        <w:t>；</w:t>
      </w:r>
    </w:p>
    <w:p w14:paraId="555432CF">
      <w:pPr>
        <w:pStyle w:val="9"/>
        <w:keepNext w:val="0"/>
        <w:keepLines w:val="0"/>
        <w:pageBreakBefore w:val="0"/>
        <w:kinsoku/>
        <w:wordWrap/>
        <w:overflowPunct/>
        <w:topLinePunct w:val="0"/>
        <w:bidi w:val="0"/>
        <w:adjustRightInd/>
        <w:snapToGrid/>
        <w:spacing w:line="400" w:lineRule="exact"/>
        <w:textAlignment w:val="auto"/>
        <w:rPr>
          <w:rFonts w:hint="eastAsia" w:ascii="宋体" w:hAnsi="宋体" w:eastAsia="Times New Roman" w:cs="Times New Roman"/>
          <w:color w:val="auto"/>
          <w:szCs w:val="21"/>
          <w:highlight w:val="none"/>
        </w:rPr>
      </w:pPr>
      <w:r>
        <w:rPr>
          <w:rFonts w:hint="eastAsia" w:ascii="宋体" w:hAnsi="宋体" w:eastAsia="Times New Roman" w:cs="Times New Roman"/>
          <w:color w:val="auto"/>
          <w:szCs w:val="21"/>
          <w:highlight w:val="none"/>
        </w:rPr>
        <w:t xml:space="preserve">    (</w:t>
      </w:r>
      <w:r>
        <w:rPr>
          <w:rFonts w:hint="eastAsia" w:ascii="宋体" w:hAnsi="宋体" w:eastAsia="Times New Roman" w:cs="Times New Roman"/>
          <w:color w:val="auto"/>
          <w:szCs w:val="21"/>
          <w:highlight w:val="none"/>
          <w:lang w:val="en-US" w:eastAsia="zh-CN"/>
        </w:rPr>
        <w:t>3</w:t>
      </w:r>
      <w:r>
        <w:rPr>
          <w:rFonts w:hint="eastAsia" w:ascii="宋体" w:hAnsi="宋体" w:eastAsia="Times New Roman" w:cs="Times New Roman"/>
          <w:color w:val="auto"/>
          <w:szCs w:val="21"/>
          <w:highlight w:val="none"/>
        </w:rPr>
        <w:t>)</w:t>
      </w:r>
      <w:r>
        <w:rPr>
          <w:rFonts w:hint="eastAsia" w:ascii="宋体" w:hAnsi="宋体" w:eastAsia="Times New Roman" w:cs="Times New Roman"/>
          <w:color w:val="auto"/>
          <w:szCs w:val="21"/>
          <w:highlight w:val="none"/>
          <w:lang w:val="en-US" w:eastAsia="zh-CN"/>
        </w:rPr>
        <w:t>进入清算程序，或被宣告破产，或其他丧失履约能力的情形</w:t>
      </w:r>
      <w:r>
        <w:rPr>
          <w:rFonts w:hint="eastAsia" w:ascii="宋体" w:hAnsi="宋体" w:eastAsia="Times New Roman" w:cs="Times New Roman"/>
          <w:color w:val="auto"/>
          <w:szCs w:val="21"/>
          <w:highlight w:val="none"/>
        </w:rPr>
        <w:t>；</w:t>
      </w:r>
    </w:p>
    <w:p w14:paraId="6543EE65">
      <w:pPr>
        <w:pStyle w:val="9"/>
        <w:keepNext w:val="0"/>
        <w:keepLines w:val="0"/>
        <w:pageBreakBefore w:val="0"/>
        <w:kinsoku/>
        <w:wordWrap/>
        <w:overflowPunct/>
        <w:topLinePunct w:val="0"/>
        <w:bidi w:val="0"/>
        <w:adjustRightInd/>
        <w:snapToGrid/>
        <w:spacing w:line="400" w:lineRule="exact"/>
        <w:textAlignment w:val="auto"/>
        <w:rPr>
          <w:rFonts w:hint="eastAsia" w:ascii="宋体" w:hAnsi="宋体" w:eastAsia="Times New Roman" w:cs="Times New Roman"/>
          <w:color w:val="auto"/>
          <w:szCs w:val="21"/>
          <w:highlight w:val="none"/>
        </w:rPr>
      </w:pPr>
      <w:r>
        <w:rPr>
          <w:rFonts w:hint="eastAsia" w:ascii="宋体" w:hAnsi="宋体" w:eastAsia="Times New Roman" w:cs="Times New Roman"/>
          <w:color w:val="auto"/>
          <w:szCs w:val="21"/>
          <w:highlight w:val="none"/>
        </w:rPr>
        <w:t xml:space="preserve">    (</w:t>
      </w:r>
      <w:r>
        <w:rPr>
          <w:rFonts w:hint="eastAsia" w:ascii="宋体" w:hAnsi="宋体" w:eastAsia="Times New Roman" w:cs="Times New Roman"/>
          <w:color w:val="auto"/>
          <w:szCs w:val="21"/>
          <w:highlight w:val="none"/>
          <w:lang w:val="en-US" w:eastAsia="zh-CN"/>
        </w:rPr>
        <w:t>4</w:t>
      </w:r>
      <w:r>
        <w:rPr>
          <w:rFonts w:hint="eastAsia" w:ascii="宋体" w:hAnsi="宋体" w:eastAsia="Times New Roman" w:cs="Times New Roman"/>
          <w:color w:val="auto"/>
          <w:szCs w:val="21"/>
          <w:highlight w:val="none"/>
        </w:rPr>
        <w:t>)</w:t>
      </w:r>
      <w:r>
        <w:rPr>
          <w:rFonts w:hint="eastAsia" w:ascii="宋体" w:hAnsi="宋体" w:eastAsia="Times New Roman" w:cs="Times New Roman"/>
          <w:color w:val="auto"/>
          <w:szCs w:val="21"/>
          <w:highlight w:val="none"/>
          <w:lang w:val="en-US" w:eastAsia="zh-CN"/>
        </w:rPr>
        <w:t>在“信用中国”网站（http://www.creditchina.gov.cn）中被列入失信被执行人名单</w:t>
      </w:r>
      <w:r>
        <w:rPr>
          <w:rFonts w:hint="eastAsia" w:ascii="宋体" w:hAnsi="宋体" w:eastAsia="Times New Roman" w:cs="Times New Roman"/>
          <w:color w:val="auto"/>
          <w:szCs w:val="21"/>
          <w:highlight w:val="none"/>
        </w:rPr>
        <w:t>；</w:t>
      </w:r>
    </w:p>
    <w:p w14:paraId="444BEB21">
      <w:pPr>
        <w:pStyle w:val="9"/>
        <w:keepNext w:val="0"/>
        <w:keepLines w:val="0"/>
        <w:pageBreakBefore w:val="0"/>
        <w:kinsoku/>
        <w:wordWrap/>
        <w:overflowPunct/>
        <w:topLinePunct w:val="0"/>
        <w:bidi w:val="0"/>
        <w:adjustRightInd/>
        <w:snapToGrid/>
        <w:spacing w:line="400" w:lineRule="exact"/>
        <w:textAlignment w:val="auto"/>
        <w:rPr>
          <w:rFonts w:hint="eastAsia" w:ascii="宋体" w:hAnsi="宋体" w:eastAsia="Times New Roman" w:cs="Times New Roman"/>
          <w:color w:val="auto"/>
          <w:szCs w:val="21"/>
          <w:highlight w:val="none"/>
        </w:rPr>
      </w:pPr>
      <w:r>
        <w:rPr>
          <w:rFonts w:hint="eastAsia" w:ascii="宋体" w:hAnsi="宋体" w:eastAsia="Times New Roman" w:cs="Times New Roman"/>
          <w:color w:val="auto"/>
          <w:szCs w:val="21"/>
          <w:highlight w:val="none"/>
        </w:rPr>
        <w:t xml:space="preserve">    (</w:t>
      </w:r>
      <w:r>
        <w:rPr>
          <w:rFonts w:hint="eastAsia" w:ascii="宋体" w:hAnsi="宋体" w:eastAsia="Times New Roman" w:cs="Times New Roman"/>
          <w:color w:val="auto"/>
          <w:szCs w:val="21"/>
          <w:highlight w:val="none"/>
          <w:lang w:val="en-US" w:eastAsia="zh-CN"/>
        </w:rPr>
        <w:t>5</w:t>
      </w:r>
      <w:r>
        <w:rPr>
          <w:rFonts w:hint="eastAsia" w:ascii="宋体" w:hAnsi="宋体" w:eastAsia="Times New Roman" w:cs="Times New Roman"/>
          <w:color w:val="auto"/>
          <w:szCs w:val="21"/>
          <w:highlight w:val="none"/>
        </w:rPr>
        <w:t>)</w:t>
      </w:r>
      <w:r>
        <w:rPr>
          <w:rFonts w:hint="eastAsia" w:ascii="宋体" w:hAnsi="宋体" w:eastAsia="Times New Roman" w:cs="Times New Roman"/>
          <w:color w:val="auto"/>
          <w:szCs w:val="21"/>
          <w:highlight w:val="none"/>
          <w:lang w:val="en-US" w:eastAsia="zh-CN"/>
        </w:rPr>
        <w:t>在国家企业信用信息公示系统（http://www.gsxt.gov.cn）中被列入严重违法失信企业名单</w:t>
      </w:r>
      <w:r>
        <w:rPr>
          <w:rFonts w:hint="eastAsia" w:ascii="宋体" w:hAnsi="宋体" w:eastAsia="Times New Roman" w:cs="Times New Roman"/>
          <w:color w:val="auto"/>
          <w:szCs w:val="21"/>
          <w:highlight w:val="none"/>
        </w:rPr>
        <w:t>；</w:t>
      </w:r>
    </w:p>
    <w:p w14:paraId="38B2914B">
      <w:pPr>
        <w:pStyle w:val="9"/>
        <w:keepNext w:val="0"/>
        <w:keepLines w:val="0"/>
        <w:pageBreakBefore w:val="0"/>
        <w:kinsoku/>
        <w:wordWrap/>
        <w:overflowPunct/>
        <w:topLinePunct w:val="0"/>
        <w:bidi w:val="0"/>
        <w:adjustRightInd/>
        <w:snapToGrid/>
        <w:spacing w:line="400" w:lineRule="exact"/>
        <w:textAlignment w:val="auto"/>
        <w:rPr>
          <w:rFonts w:hint="eastAsia" w:ascii="宋体" w:hAnsi="宋体" w:eastAsia="Times New Roman" w:cs="Times New Roman"/>
          <w:color w:val="auto"/>
          <w:szCs w:val="21"/>
          <w:highlight w:val="none"/>
        </w:rPr>
      </w:pPr>
      <w:r>
        <w:rPr>
          <w:rFonts w:hint="eastAsia" w:ascii="宋体" w:hAnsi="宋体" w:eastAsia="Times New Roman" w:cs="Times New Roman"/>
          <w:color w:val="auto"/>
          <w:szCs w:val="21"/>
          <w:highlight w:val="none"/>
        </w:rPr>
        <w:t xml:space="preserve">    (</w:t>
      </w:r>
      <w:r>
        <w:rPr>
          <w:rFonts w:hint="eastAsia" w:ascii="宋体" w:hAnsi="宋体" w:eastAsia="宋体" w:cs="Times New Roman"/>
          <w:color w:val="auto"/>
          <w:szCs w:val="21"/>
          <w:highlight w:val="none"/>
          <w:lang w:val="en-US" w:eastAsia="zh-CN"/>
        </w:rPr>
        <w:t>6</w:t>
      </w:r>
      <w:r>
        <w:rPr>
          <w:rFonts w:hint="eastAsia" w:ascii="宋体" w:hAnsi="宋体" w:eastAsia="Times New Roman" w:cs="Times New Roman"/>
          <w:color w:val="auto"/>
          <w:szCs w:val="21"/>
          <w:highlight w:val="none"/>
        </w:rPr>
        <w:t>)</w:t>
      </w:r>
      <w:r>
        <w:rPr>
          <w:rFonts w:hint="eastAsia" w:ascii="宋体" w:hAnsi="宋体" w:eastAsia="Times New Roman" w:cs="Times New Roman"/>
          <w:color w:val="auto"/>
          <w:szCs w:val="21"/>
          <w:highlight w:val="none"/>
          <w:lang w:val="en-US" w:eastAsia="zh-CN"/>
        </w:rPr>
        <w:t>投标人或其法定代表人、拟委任的项目经理在投标人须知前附表规定日期后有行贿犯罪行为的（行贿犯罪行为的认定以中国裁判文书网（http://wenshu.court.gov.cn/））查询结果为准，投标文件中无需提供查询结果；</w:t>
      </w:r>
    </w:p>
    <w:p w14:paraId="6276BE81">
      <w:pPr>
        <w:pStyle w:val="9"/>
        <w:keepNext w:val="0"/>
        <w:keepLines w:val="0"/>
        <w:pageBreakBefore w:val="0"/>
        <w:kinsoku/>
        <w:wordWrap/>
        <w:overflowPunct/>
        <w:topLinePunct w:val="0"/>
        <w:bidi w:val="0"/>
        <w:adjustRightInd/>
        <w:snapToGrid/>
        <w:spacing w:line="400" w:lineRule="exact"/>
        <w:textAlignment w:val="auto"/>
        <w:rPr>
          <w:rFonts w:hint="eastAsia" w:ascii="宋体" w:hAnsi="宋体" w:eastAsia="Times New Roman" w:cs="Times New Roman"/>
          <w:color w:val="auto"/>
          <w:szCs w:val="21"/>
          <w:highlight w:val="none"/>
        </w:rPr>
      </w:pPr>
      <w:r>
        <w:rPr>
          <w:rFonts w:hint="eastAsia" w:ascii="宋体" w:hAnsi="宋体" w:eastAsia="Times New Roman" w:cs="Times New Roman"/>
          <w:color w:val="auto"/>
          <w:szCs w:val="21"/>
          <w:highlight w:val="none"/>
        </w:rPr>
        <w:t xml:space="preserve">    (</w:t>
      </w:r>
      <w:r>
        <w:rPr>
          <w:rFonts w:hint="eastAsia" w:ascii="宋体" w:hAnsi="宋体" w:eastAsia="宋体" w:cs="Times New Roman"/>
          <w:color w:val="auto"/>
          <w:szCs w:val="21"/>
          <w:highlight w:val="none"/>
          <w:lang w:val="en-US" w:eastAsia="zh-CN"/>
        </w:rPr>
        <w:t>7</w:t>
      </w:r>
      <w:r>
        <w:rPr>
          <w:rFonts w:hint="eastAsia" w:ascii="宋体" w:hAnsi="宋体" w:eastAsia="Times New Roman" w:cs="Times New Roman"/>
          <w:color w:val="auto"/>
          <w:szCs w:val="21"/>
          <w:highlight w:val="none"/>
        </w:rPr>
        <w:t>)</w:t>
      </w:r>
      <w:r>
        <w:rPr>
          <w:rFonts w:hint="eastAsia" w:ascii="宋体" w:hAnsi="宋体" w:eastAsia="Times New Roman" w:cs="Times New Roman"/>
          <w:color w:val="auto"/>
          <w:szCs w:val="21"/>
          <w:highlight w:val="none"/>
          <w:lang w:val="en-US" w:eastAsia="zh-CN"/>
        </w:rPr>
        <w:t xml:space="preserve">在最近三年内有骗取中标或严重违约或重大工程质量问题的（以省级及以上交通主管部门的书面通报或司法机关出具的有关法律文书为准）； </w:t>
      </w:r>
    </w:p>
    <w:p w14:paraId="7217C133">
      <w:pPr>
        <w:pStyle w:val="9"/>
        <w:keepNext w:val="0"/>
        <w:keepLines w:val="0"/>
        <w:pageBreakBefore w:val="0"/>
        <w:kinsoku/>
        <w:wordWrap/>
        <w:overflowPunct/>
        <w:topLinePunct w:val="0"/>
        <w:bidi w:val="0"/>
        <w:adjustRightInd/>
        <w:snapToGrid/>
        <w:spacing w:line="400" w:lineRule="exact"/>
        <w:textAlignment w:val="auto"/>
        <w:rPr>
          <w:rFonts w:hint="eastAsia" w:ascii="宋体" w:hAnsi="宋体" w:eastAsia="Times New Roman" w:cs="Times New Roman"/>
          <w:color w:val="auto"/>
          <w:szCs w:val="21"/>
          <w:highlight w:val="none"/>
        </w:rPr>
      </w:pPr>
      <w:r>
        <w:rPr>
          <w:rFonts w:hint="eastAsia" w:ascii="宋体" w:hAnsi="宋体" w:eastAsia="Times New Roman" w:cs="Times New Roman"/>
          <w:color w:val="auto"/>
          <w:szCs w:val="21"/>
          <w:highlight w:val="none"/>
        </w:rPr>
        <w:t xml:space="preserve"> </w:t>
      </w:r>
      <w:r>
        <w:rPr>
          <w:rFonts w:hint="eastAsia" w:ascii="宋体" w:hAnsi="宋体" w:eastAsia="宋体" w:cs="Times New Roman"/>
          <w:color w:val="auto"/>
          <w:szCs w:val="21"/>
          <w:highlight w:val="none"/>
          <w:lang w:val="en-US" w:eastAsia="zh-CN"/>
        </w:rPr>
        <w:t xml:space="preserve">   </w:t>
      </w:r>
      <w:r>
        <w:rPr>
          <w:rFonts w:hint="eastAsia" w:ascii="宋体" w:hAnsi="宋体" w:eastAsia="Times New Roman" w:cs="Times New Roman"/>
          <w:color w:val="auto"/>
          <w:szCs w:val="21"/>
          <w:highlight w:val="none"/>
        </w:rPr>
        <w:t>(</w:t>
      </w:r>
      <w:r>
        <w:rPr>
          <w:rFonts w:hint="eastAsia" w:ascii="宋体" w:hAnsi="宋体" w:eastAsia="宋体" w:cs="Times New Roman"/>
          <w:color w:val="auto"/>
          <w:szCs w:val="21"/>
          <w:highlight w:val="none"/>
          <w:lang w:val="en-US" w:eastAsia="zh-CN"/>
        </w:rPr>
        <w:t>8</w:t>
      </w:r>
      <w:r>
        <w:rPr>
          <w:rFonts w:hint="eastAsia" w:ascii="宋体" w:hAnsi="宋体" w:eastAsia="Times New Roman" w:cs="Times New Roman"/>
          <w:color w:val="auto"/>
          <w:szCs w:val="21"/>
          <w:highlight w:val="none"/>
        </w:rPr>
        <w:t>)</w:t>
      </w:r>
      <w:r>
        <w:rPr>
          <w:rFonts w:hint="eastAsia" w:ascii="宋体" w:hAnsi="宋体" w:eastAsia="Times New Roman" w:cs="Times New Roman"/>
          <w:color w:val="auto"/>
          <w:szCs w:val="21"/>
          <w:highlight w:val="none"/>
          <w:lang w:val="en-US" w:eastAsia="zh-CN"/>
        </w:rPr>
        <w:t xml:space="preserve">涉及正在诉讼的案件经审查委员会认定会对承担本项目造成重大影响； </w:t>
      </w:r>
    </w:p>
    <w:p w14:paraId="688C65F5">
      <w:pPr>
        <w:pStyle w:val="9"/>
        <w:keepNext w:val="0"/>
        <w:keepLines w:val="0"/>
        <w:pageBreakBefore w:val="0"/>
        <w:kinsoku/>
        <w:wordWrap/>
        <w:overflowPunct/>
        <w:topLinePunct w:val="0"/>
        <w:bidi w:val="0"/>
        <w:adjustRightInd/>
        <w:snapToGrid/>
        <w:spacing w:line="400" w:lineRule="exact"/>
        <w:ind w:firstLine="420" w:firstLineChars="200"/>
        <w:textAlignment w:val="auto"/>
        <w:rPr>
          <w:rFonts w:hint="eastAsia" w:ascii="宋体" w:hAnsi="宋体" w:eastAsia="Times New Roman" w:cs="Times New Roman"/>
          <w:color w:val="auto"/>
          <w:szCs w:val="21"/>
          <w:highlight w:val="none"/>
        </w:rPr>
      </w:pPr>
      <w:r>
        <w:rPr>
          <w:rFonts w:hint="eastAsia" w:ascii="宋体" w:hAnsi="宋体" w:eastAsia="Times New Roman" w:cs="Times New Roman"/>
          <w:color w:val="auto"/>
          <w:szCs w:val="21"/>
          <w:highlight w:val="none"/>
        </w:rPr>
        <w:t>(</w:t>
      </w:r>
      <w:r>
        <w:rPr>
          <w:rFonts w:hint="eastAsia" w:ascii="宋体" w:hAnsi="宋体" w:eastAsia="宋体" w:cs="Times New Roman"/>
          <w:color w:val="auto"/>
          <w:szCs w:val="21"/>
          <w:highlight w:val="none"/>
          <w:lang w:val="en-US" w:eastAsia="zh-CN"/>
        </w:rPr>
        <w:t>9</w:t>
      </w:r>
      <w:r>
        <w:rPr>
          <w:rFonts w:hint="eastAsia" w:ascii="宋体" w:hAnsi="宋体" w:eastAsia="Times New Roman" w:cs="Times New Roman"/>
          <w:color w:val="auto"/>
          <w:szCs w:val="21"/>
          <w:highlight w:val="none"/>
        </w:rPr>
        <w:t>)</w:t>
      </w:r>
      <w:r>
        <w:rPr>
          <w:rFonts w:hint="eastAsia" w:ascii="宋体" w:hAnsi="宋体" w:eastAsia="Times New Roman" w:cs="Times New Roman"/>
          <w:color w:val="auto"/>
          <w:szCs w:val="21"/>
          <w:highlight w:val="none"/>
          <w:lang w:val="en-US" w:eastAsia="zh-CN"/>
        </w:rPr>
        <w:t xml:space="preserve">法律法规或投标人须知前附表规定的其他情形。 </w:t>
      </w:r>
    </w:p>
    <w:p w14:paraId="2AB3B3AC">
      <w:pPr>
        <w:pStyle w:val="9"/>
        <w:keepNext w:val="0"/>
        <w:keepLines w:val="0"/>
        <w:pageBreakBefore w:val="0"/>
        <w:kinsoku/>
        <w:wordWrap/>
        <w:overflowPunct/>
        <w:topLinePunct w:val="0"/>
        <w:bidi w:val="0"/>
        <w:adjustRightInd/>
        <w:snapToGrid/>
        <w:spacing w:line="400" w:lineRule="exact"/>
        <w:textAlignment w:val="auto"/>
        <w:rPr>
          <w:rFonts w:ascii="宋体" w:hAnsi="宋体"/>
          <w:color w:val="auto"/>
          <w:szCs w:val="21"/>
          <w:highlight w:val="none"/>
        </w:rPr>
      </w:pPr>
    </w:p>
    <w:p w14:paraId="5A77BF0A">
      <w:pPr>
        <w:pStyle w:val="9"/>
        <w:spacing w:line="400" w:lineRule="exact"/>
        <w:outlineLvl w:val="3"/>
        <w:rPr>
          <w:rFonts w:ascii="宋体" w:hAnsi="宋体"/>
          <w:b/>
          <w:bCs/>
          <w:color w:val="auto"/>
          <w:highlight w:val="none"/>
        </w:rPr>
      </w:pPr>
      <w:r>
        <w:rPr>
          <w:rFonts w:hint="eastAsia" w:ascii="宋体" w:hAnsi="宋体"/>
          <w:b/>
          <w:bCs/>
          <w:color w:val="auto"/>
          <w:highlight w:val="none"/>
        </w:rPr>
        <w:t>1.5 费用承担</w:t>
      </w:r>
    </w:p>
    <w:p w14:paraId="3CC3C6D1">
      <w:pPr>
        <w:pStyle w:val="9"/>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投标人准备和参加投标活动发生的费用自理。</w:t>
      </w:r>
    </w:p>
    <w:p w14:paraId="21CFE121">
      <w:pPr>
        <w:pStyle w:val="9"/>
        <w:spacing w:line="400" w:lineRule="exact"/>
        <w:outlineLvl w:val="3"/>
        <w:rPr>
          <w:rFonts w:ascii="宋体" w:hAnsi="宋体"/>
          <w:b/>
          <w:bCs/>
          <w:color w:val="auto"/>
          <w:highlight w:val="none"/>
        </w:rPr>
      </w:pPr>
      <w:r>
        <w:rPr>
          <w:rFonts w:hint="eastAsia" w:ascii="宋体" w:hAnsi="宋体"/>
          <w:b/>
          <w:bCs/>
          <w:color w:val="auto"/>
          <w:highlight w:val="none"/>
        </w:rPr>
        <w:t>1.6 保密</w:t>
      </w:r>
    </w:p>
    <w:p w14:paraId="75010CB2">
      <w:pPr>
        <w:pStyle w:val="9"/>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参与招标投标活动的各方应对招标文件和投标文件中的商业和技术等秘密保密，</w:t>
      </w:r>
      <w:r>
        <w:rPr>
          <w:rFonts w:hint="eastAsia" w:ascii="宋体" w:hAnsi="宋体" w:eastAsia="宋体"/>
          <w:color w:val="auto"/>
          <w:szCs w:val="21"/>
          <w:highlight w:val="none"/>
          <w:lang w:val="en-US" w:eastAsia="zh-CN"/>
        </w:rPr>
        <w:t>否则</w:t>
      </w:r>
      <w:r>
        <w:rPr>
          <w:rFonts w:hint="eastAsia" w:ascii="宋体" w:hAnsi="宋体"/>
          <w:color w:val="auto"/>
          <w:szCs w:val="21"/>
          <w:highlight w:val="none"/>
        </w:rPr>
        <w:t>应承担</w:t>
      </w:r>
      <w:r>
        <w:rPr>
          <w:rFonts w:hint="eastAsia" w:ascii="宋体" w:hAnsi="宋体" w:eastAsia="宋体"/>
          <w:color w:val="auto"/>
          <w:szCs w:val="21"/>
          <w:highlight w:val="none"/>
          <w:lang w:val="en-US" w:eastAsia="zh-CN"/>
        </w:rPr>
        <w:t>相应的</w:t>
      </w:r>
      <w:r>
        <w:rPr>
          <w:rFonts w:hint="eastAsia" w:ascii="宋体" w:hAnsi="宋体"/>
          <w:color w:val="auto"/>
          <w:szCs w:val="21"/>
          <w:highlight w:val="none"/>
        </w:rPr>
        <w:t xml:space="preserve">法律责任。 </w:t>
      </w:r>
    </w:p>
    <w:p w14:paraId="2EA35986">
      <w:pPr>
        <w:pStyle w:val="9"/>
        <w:spacing w:line="400" w:lineRule="exact"/>
        <w:outlineLvl w:val="3"/>
        <w:rPr>
          <w:rFonts w:ascii="宋体" w:hAnsi="宋体"/>
          <w:b/>
          <w:bCs/>
          <w:color w:val="auto"/>
          <w:highlight w:val="none"/>
        </w:rPr>
      </w:pPr>
      <w:r>
        <w:rPr>
          <w:rFonts w:hint="eastAsia" w:ascii="宋体" w:hAnsi="宋体"/>
          <w:b/>
          <w:bCs/>
          <w:color w:val="auto"/>
          <w:highlight w:val="none"/>
        </w:rPr>
        <w:t>1.7 语言文字</w:t>
      </w:r>
    </w:p>
    <w:p w14:paraId="21506F0E">
      <w:pPr>
        <w:pStyle w:val="9"/>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招标投标</w:t>
      </w:r>
      <w:r>
        <w:rPr>
          <w:rFonts w:hint="eastAsia" w:ascii="宋体" w:hAnsi="宋体" w:eastAsia="宋体"/>
          <w:color w:val="auto"/>
          <w:szCs w:val="21"/>
          <w:highlight w:val="none"/>
          <w:lang w:val="en-US" w:eastAsia="zh-CN"/>
        </w:rPr>
        <w:t>文件使用的</w:t>
      </w:r>
      <w:r>
        <w:rPr>
          <w:rFonts w:hint="eastAsia" w:ascii="宋体" w:hAnsi="宋体"/>
          <w:color w:val="auto"/>
          <w:szCs w:val="21"/>
          <w:highlight w:val="none"/>
        </w:rPr>
        <w:t>语言</w:t>
      </w:r>
      <w:r>
        <w:rPr>
          <w:rFonts w:hint="eastAsia" w:ascii="宋体" w:hAnsi="宋体" w:eastAsia="宋体"/>
          <w:color w:val="auto"/>
          <w:szCs w:val="21"/>
          <w:highlight w:val="none"/>
          <w:lang w:val="en-US" w:eastAsia="zh-CN"/>
        </w:rPr>
        <w:t>文字为</w:t>
      </w:r>
      <w:r>
        <w:rPr>
          <w:rFonts w:hint="eastAsia" w:ascii="宋体" w:hAnsi="宋体"/>
          <w:color w:val="auto"/>
          <w:szCs w:val="21"/>
          <w:highlight w:val="none"/>
        </w:rPr>
        <w:t>中文。</w:t>
      </w:r>
      <w:r>
        <w:rPr>
          <w:rFonts w:hint="eastAsia" w:ascii="宋体" w:hAnsi="宋体" w:eastAsia="宋体"/>
          <w:color w:val="auto"/>
          <w:szCs w:val="21"/>
          <w:highlight w:val="none"/>
          <w:lang w:val="en-US" w:eastAsia="zh-CN"/>
        </w:rPr>
        <w:t>专用术语使用外文的，应附有</w:t>
      </w:r>
      <w:r>
        <w:rPr>
          <w:rFonts w:hint="eastAsia" w:ascii="宋体" w:hAnsi="宋体"/>
          <w:color w:val="auto"/>
          <w:szCs w:val="21"/>
          <w:highlight w:val="none"/>
        </w:rPr>
        <w:t>中文注释。</w:t>
      </w:r>
    </w:p>
    <w:p w14:paraId="1F922EE6">
      <w:pPr>
        <w:pStyle w:val="9"/>
        <w:spacing w:line="400" w:lineRule="exact"/>
        <w:outlineLvl w:val="3"/>
        <w:rPr>
          <w:rFonts w:ascii="宋体" w:hAnsi="宋体"/>
          <w:b/>
          <w:bCs/>
          <w:color w:val="auto"/>
          <w:highlight w:val="none"/>
        </w:rPr>
      </w:pPr>
      <w:r>
        <w:rPr>
          <w:rFonts w:hint="eastAsia" w:ascii="宋体" w:hAnsi="宋体"/>
          <w:b/>
          <w:bCs/>
          <w:color w:val="auto"/>
          <w:highlight w:val="none"/>
        </w:rPr>
        <w:t>1.8 计量单位</w:t>
      </w:r>
    </w:p>
    <w:p w14:paraId="23E049CA">
      <w:pPr>
        <w:pStyle w:val="9"/>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所有计量均采用中华人民共和国法定计量单位。</w:t>
      </w:r>
    </w:p>
    <w:p w14:paraId="79193D2C">
      <w:pPr>
        <w:pStyle w:val="9"/>
        <w:spacing w:line="400" w:lineRule="exact"/>
        <w:outlineLvl w:val="3"/>
        <w:rPr>
          <w:rFonts w:ascii="宋体" w:hAnsi="宋体"/>
          <w:b/>
          <w:bCs/>
          <w:color w:val="auto"/>
          <w:highlight w:val="none"/>
        </w:rPr>
      </w:pPr>
      <w:r>
        <w:rPr>
          <w:rFonts w:hint="eastAsia" w:ascii="宋体" w:hAnsi="宋体"/>
          <w:b/>
          <w:bCs/>
          <w:color w:val="auto"/>
          <w:highlight w:val="none"/>
        </w:rPr>
        <w:t>1.9 踏勘现场</w:t>
      </w:r>
    </w:p>
    <w:p w14:paraId="013E89F4">
      <w:pPr>
        <w:pStyle w:val="9"/>
        <w:spacing w:line="400" w:lineRule="exact"/>
        <w:ind w:firstLine="420" w:firstLineChars="200"/>
        <w:rPr>
          <w:rFonts w:hint="eastAsia" w:ascii="宋体" w:hAnsi="宋体" w:eastAsia="Times New Roman" w:cs="Times New Roman"/>
          <w:color w:val="auto"/>
          <w:szCs w:val="21"/>
          <w:highlight w:val="none"/>
        </w:rPr>
      </w:pPr>
      <w:r>
        <w:rPr>
          <w:rFonts w:hint="eastAsia" w:ascii="宋体" w:hAnsi="宋体" w:eastAsia="Times New Roman" w:cs="Times New Roman"/>
          <w:color w:val="auto"/>
          <w:szCs w:val="21"/>
          <w:highlight w:val="none"/>
        </w:rPr>
        <w:t xml:space="preserve">1.9.1 </w:t>
      </w:r>
      <w:r>
        <w:rPr>
          <w:rFonts w:hint="eastAsia" w:ascii="宋体" w:hAnsi="宋体" w:eastAsia="Times New Roman" w:cs="Times New Roman"/>
          <w:color w:val="auto"/>
          <w:szCs w:val="21"/>
          <w:highlight w:val="none"/>
          <w:lang w:val="en-US" w:eastAsia="zh-CN"/>
        </w:rPr>
        <w:t>第一章“招标公告”</w:t>
      </w:r>
      <w:r>
        <w:rPr>
          <w:rFonts w:hint="eastAsia" w:ascii="宋体" w:hAnsi="宋体" w:eastAsia="Times New Roman" w:cs="Times New Roman"/>
          <w:color w:val="auto"/>
          <w:szCs w:val="21"/>
          <w:highlight w:val="none"/>
        </w:rPr>
        <w:t>规定组织踏勘现场的，招标人</w:t>
      </w:r>
      <w:r>
        <w:rPr>
          <w:rFonts w:hint="eastAsia" w:ascii="宋体" w:hAnsi="宋体" w:eastAsia="Times New Roman" w:cs="Times New Roman"/>
          <w:color w:val="auto"/>
          <w:szCs w:val="21"/>
          <w:highlight w:val="none"/>
          <w:lang w:val="en-US" w:eastAsia="zh-CN"/>
        </w:rPr>
        <w:t>按照</w:t>
      </w:r>
      <w:r>
        <w:rPr>
          <w:rFonts w:hint="eastAsia" w:ascii="宋体" w:hAnsi="宋体" w:eastAsia="Times New Roman" w:cs="Times New Roman"/>
          <w:color w:val="auto"/>
          <w:szCs w:val="21"/>
          <w:highlight w:val="none"/>
        </w:rPr>
        <w:t>规定的时间、地点组织投标人踏勘项目现场。</w:t>
      </w:r>
      <w:r>
        <w:rPr>
          <w:rFonts w:hint="eastAsia" w:ascii="宋体" w:hAnsi="宋体" w:eastAsia="Times New Roman" w:cs="Times New Roman"/>
          <w:color w:val="auto"/>
          <w:szCs w:val="21"/>
          <w:highlight w:val="none"/>
          <w:lang w:val="en-US" w:eastAsia="zh-CN"/>
        </w:rPr>
        <w:t xml:space="preserve">部分投标人未按时参加踏勘现场的，不影响踏勘现场的正常进行。招标人不得组织单个或者部分投标人踏勘项目现场。 </w:t>
      </w:r>
      <w:r>
        <w:rPr>
          <w:rFonts w:hint="eastAsia" w:ascii="宋体" w:hAnsi="宋体" w:eastAsia="Times New Roman" w:cs="Times New Roman"/>
          <w:color w:val="auto"/>
          <w:szCs w:val="21"/>
          <w:highlight w:val="none"/>
        </w:rPr>
        <w:t xml:space="preserve"> </w:t>
      </w:r>
    </w:p>
    <w:p w14:paraId="60C63E15">
      <w:pPr>
        <w:pStyle w:val="9"/>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1.9.2 投标人踏勘现场发生的费用自理。</w:t>
      </w:r>
    </w:p>
    <w:p w14:paraId="64FDB7FF">
      <w:pPr>
        <w:pStyle w:val="9"/>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1.9.3 除招标人的原因外，投标人自行负责在踏勘现场中所发生的人员伤亡和财产损失。</w:t>
      </w:r>
    </w:p>
    <w:p w14:paraId="0C63B814">
      <w:pPr>
        <w:pStyle w:val="9"/>
        <w:spacing w:line="400" w:lineRule="exact"/>
        <w:ind w:firstLine="420" w:firstLineChars="200"/>
        <w:rPr>
          <w:rFonts w:hint="eastAsia" w:ascii="宋体" w:hAnsi="宋体" w:eastAsia="Times New Roman" w:cs="Times New Roman"/>
          <w:color w:val="auto"/>
          <w:szCs w:val="21"/>
          <w:highlight w:val="none"/>
        </w:rPr>
      </w:pPr>
      <w:r>
        <w:rPr>
          <w:rFonts w:hint="eastAsia" w:ascii="宋体" w:hAnsi="宋体" w:eastAsia="Times New Roman" w:cs="Times New Roman"/>
          <w:color w:val="auto"/>
          <w:szCs w:val="21"/>
          <w:highlight w:val="none"/>
        </w:rPr>
        <w:t>1.9.4 招标人在踏勘现场中介绍的工程场地和相关的周边环境情况，供投标人在编制投标文件时参考，招标人不对投标人据此作出的判断和决策负责。</w:t>
      </w:r>
    </w:p>
    <w:p w14:paraId="5D5AD50A">
      <w:pPr>
        <w:pStyle w:val="9"/>
        <w:spacing w:line="400" w:lineRule="exact"/>
        <w:ind w:firstLine="420" w:firstLineChars="200"/>
        <w:rPr>
          <w:rFonts w:hint="eastAsia" w:ascii="宋体" w:hAnsi="宋体" w:eastAsia="Times New Roman" w:cs="Times New Roman"/>
          <w:color w:val="auto"/>
          <w:szCs w:val="21"/>
          <w:highlight w:val="none"/>
        </w:rPr>
      </w:pPr>
      <w:r>
        <w:rPr>
          <w:rFonts w:hint="eastAsia" w:ascii="宋体" w:hAnsi="宋体" w:eastAsia="Times New Roman" w:cs="Times New Roman"/>
          <w:color w:val="auto"/>
          <w:szCs w:val="21"/>
          <w:highlight w:val="none"/>
        </w:rPr>
        <w:t>1.9.5</w:t>
      </w:r>
      <w:r>
        <w:rPr>
          <w:rFonts w:hint="eastAsia" w:ascii="宋体" w:hAnsi="宋体" w:eastAsia="Times New Roman" w:cs="Times New Roman"/>
          <w:color w:val="auto"/>
          <w:szCs w:val="21"/>
          <w:highlight w:val="none"/>
          <w:lang w:val="en-US" w:eastAsia="zh-CN"/>
        </w:rPr>
        <w:t>招标人提供的本标段工程的道路现状、交通流量、水文、地质、气象和料场、取土场、弃土场位置等参考资料，并不构成合同文件的组成部分，投标人应对自己就上述资料的解释、推论和应用负责，招标人不对投标人据此作出的判断和决策承担任何责任。</w:t>
      </w:r>
    </w:p>
    <w:p w14:paraId="7774777D">
      <w:pPr>
        <w:pStyle w:val="9"/>
        <w:spacing w:line="400" w:lineRule="exact"/>
        <w:outlineLvl w:val="3"/>
        <w:rPr>
          <w:rFonts w:ascii="宋体" w:hAnsi="宋体"/>
          <w:b/>
          <w:bCs/>
          <w:color w:val="auto"/>
          <w:highlight w:val="none"/>
        </w:rPr>
      </w:pPr>
      <w:r>
        <w:rPr>
          <w:rFonts w:hint="eastAsia" w:ascii="宋体" w:hAnsi="宋体"/>
          <w:b/>
          <w:bCs/>
          <w:color w:val="auto"/>
          <w:highlight w:val="none"/>
        </w:rPr>
        <w:t>1.10 投标预备会</w:t>
      </w:r>
    </w:p>
    <w:p w14:paraId="48FBE502">
      <w:pPr>
        <w:pStyle w:val="9"/>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 xml:space="preserve">1.10.1 </w:t>
      </w:r>
      <w:r>
        <w:rPr>
          <w:rFonts w:hint="eastAsia" w:ascii="宋体" w:hAnsi="宋体" w:eastAsia="Times New Roman" w:cs="Times New Roman"/>
          <w:color w:val="auto"/>
          <w:szCs w:val="21"/>
          <w:highlight w:val="none"/>
          <w:lang w:val="en-US" w:eastAsia="zh-CN"/>
        </w:rPr>
        <w:t>第一章“招标公告”</w:t>
      </w:r>
      <w:r>
        <w:rPr>
          <w:rFonts w:hint="eastAsia" w:ascii="宋体" w:hAnsi="宋体" w:eastAsia="Times New Roman" w:cs="Times New Roman"/>
          <w:color w:val="auto"/>
          <w:szCs w:val="21"/>
          <w:highlight w:val="none"/>
        </w:rPr>
        <w:t>规定</w:t>
      </w:r>
      <w:r>
        <w:rPr>
          <w:rFonts w:hint="eastAsia" w:ascii="宋体" w:hAnsi="宋体"/>
          <w:color w:val="auto"/>
          <w:szCs w:val="21"/>
          <w:highlight w:val="none"/>
        </w:rPr>
        <w:t>召开投标预备会的，招标人</w:t>
      </w:r>
      <w:r>
        <w:rPr>
          <w:rFonts w:hint="eastAsia" w:ascii="宋体" w:hAnsi="宋体" w:eastAsia="宋体"/>
          <w:color w:val="auto"/>
          <w:szCs w:val="21"/>
          <w:highlight w:val="none"/>
          <w:lang w:val="en-US" w:eastAsia="zh-CN"/>
        </w:rPr>
        <w:t>按照</w:t>
      </w:r>
      <w:r>
        <w:rPr>
          <w:rFonts w:hint="eastAsia" w:ascii="宋体" w:hAnsi="宋体"/>
          <w:color w:val="auto"/>
          <w:szCs w:val="21"/>
          <w:highlight w:val="none"/>
        </w:rPr>
        <w:t>规定的时间和地点召开投标预备会，澄清投标人提出的问题。</w:t>
      </w:r>
    </w:p>
    <w:p w14:paraId="240BDC96">
      <w:pPr>
        <w:pStyle w:val="9"/>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1.10.2 投标人应在投标人须知前附表规定的时间前，通过</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lang w:val="en-US" w:eastAsia="zh-CN"/>
        </w:rPr>
        <w:t>电子</w:t>
      </w:r>
      <w:r>
        <w:rPr>
          <w:rFonts w:hint="eastAsia" w:ascii="宋体" w:hAnsi="宋体"/>
          <w:color w:val="auto"/>
          <w:szCs w:val="21"/>
          <w:highlight w:val="none"/>
        </w:rPr>
        <w:t>交易平台</w:t>
      </w:r>
      <w:r>
        <w:rPr>
          <w:rFonts w:hint="eastAsia" w:ascii="宋体" w:hAnsi="宋体" w:eastAsia="宋体"/>
          <w:color w:val="auto"/>
          <w:szCs w:val="21"/>
          <w:highlight w:val="none"/>
          <w:lang w:eastAsia="zh-CN"/>
        </w:rPr>
        <w:t>”</w:t>
      </w:r>
      <w:r>
        <w:rPr>
          <w:rFonts w:hint="eastAsia" w:ascii="宋体" w:hAnsi="宋体"/>
          <w:color w:val="auto"/>
          <w:szCs w:val="21"/>
          <w:highlight w:val="none"/>
        </w:rPr>
        <w:t>将提出的问题送达招标人，以便招标人在会议期间澄清。</w:t>
      </w:r>
    </w:p>
    <w:p w14:paraId="7E0C279C">
      <w:pPr>
        <w:pStyle w:val="9"/>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1.10.3 投标预备会后，招标人将对投标人所提问题的澄清，以</w:t>
      </w:r>
      <w:r>
        <w:rPr>
          <w:rFonts w:hint="eastAsia" w:ascii="宋体" w:hAnsi="宋体" w:eastAsia="宋体"/>
          <w:color w:val="auto"/>
          <w:szCs w:val="21"/>
          <w:highlight w:val="none"/>
          <w:lang w:val="en-US" w:eastAsia="zh-CN"/>
        </w:rPr>
        <w:t>本章第2.2款规定的形式上传“电子</w:t>
      </w:r>
      <w:r>
        <w:rPr>
          <w:rFonts w:hint="eastAsia" w:ascii="宋体" w:hAnsi="宋体"/>
          <w:color w:val="auto"/>
          <w:szCs w:val="21"/>
          <w:highlight w:val="none"/>
        </w:rPr>
        <w:t>交易平台</w:t>
      </w:r>
      <w:r>
        <w:rPr>
          <w:rFonts w:hint="eastAsia" w:ascii="宋体" w:hAnsi="宋体" w:eastAsia="宋体"/>
          <w:color w:val="auto"/>
          <w:szCs w:val="21"/>
          <w:highlight w:val="none"/>
          <w:lang w:eastAsia="zh-CN"/>
        </w:rPr>
        <w:t>”。</w:t>
      </w:r>
      <w:r>
        <w:rPr>
          <w:rFonts w:hint="eastAsia" w:ascii="宋体" w:hAnsi="宋体"/>
          <w:color w:val="auto"/>
          <w:szCs w:val="21"/>
          <w:highlight w:val="none"/>
        </w:rPr>
        <w:t>该澄清内容为招标文件的组成部分。</w:t>
      </w:r>
    </w:p>
    <w:p w14:paraId="25411AB2">
      <w:pPr>
        <w:pStyle w:val="9"/>
        <w:spacing w:line="400" w:lineRule="exact"/>
        <w:outlineLvl w:val="3"/>
        <w:rPr>
          <w:rFonts w:ascii="宋体" w:hAnsi="宋体"/>
          <w:b/>
          <w:bCs/>
          <w:color w:val="auto"/>
          <w:highlight w:val="none"/>
        </w:rPr>
      </w:pPr>
      <w:r>
        <w:rPr>
          <w:rFonts w:hint="eastAsia" w:ascii="宋体" w:hAnsi="宋体"/>
          <w:b/>
          <w:bCs/>
          <w:color w:val="auto"/>
          <w:highlight w:val="none"/>
        </w:rPr>
        <w:t>1.11 分包</w:t>
      </w:r>
    </w:p>
    <w:p w14:paraId="13936D32">
      <w:pPr>
        <w:pStyle w:val="9"/>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本项目严禁转包和违规分包，且不得再次分包。投标人拟在中标后将中标项目的部分非主体、非关键性工作进行分包的，应符合以下规定：</w:t>
      </w:r>
    </w:p>
    <w:p w14:paraId="7E1D107E">
      <w:pPr>
        <w:pStyle w:val="9"/>
        <w:spacing w:line="400" w:lineRule="exact"/>
        <w:rPr>
          <w:rFonts w:ascii="宋体" w:hAnsi="宋体"/>
          <w:color w:val="auto"/>
          <w:szCs w:val="21"/>
          <w:highlight w:val="none"/>
        </w:rPr>
      </w:pPr>
      <w:r>
        <w:rPr>
          <w:rFonts w:hint="eastAsia" w:ascii="宋体" w:hAnsi="宋体"/>
          <w:color w:val="auto"/>
          <w:szCs w:val="21"/>
          <w:highlight w:val="none"/>
        </w:rPr>
        <w:t xml:space="preserve">    分包内容要求：允许分包的工程范围仅限于非关键性工程或者适合专业化队伍施工的专业工程；</w:t>
      </w:r>
    </w:p>
    <w:p w14:paraId="682C1D44">
      <w:pPr>
        <w:pStyle w:val="9"/>
        <w:spacing w:line="400" w:lineRule="exact"/>
        <w:rPr>
          <w:rFonts w:ascii="宋体" w:hAnsi="宋体"/>
          <w:color w:val="auto"/>
          <w:szCs w:val="21"/>
          <w:highlight w:val="none"/>
        </w:rPr>
      </w:pPr>
      <w:r>
        <w:rPr>
          <w:rFonts w:hint="eastAsia" w:ascii="宋体" w:hAnsi="宋体"/>
          <w:color w:val="auto"/>
          <w:szCs w:val="21"/>
          <w:highlight w:val="none"/>
        </w:rPr>
        <w:t xml:space="preserve">    分包金额要求：专业工程分包的工程量累计不得超过总工程量的30%；</w:t>
      </w:r>
    </w:p>
    <w:p w14:paraId="37C71690">
      <w:pPr>
        <w:pStyle w:val="9"/>
        <w:spacing w:line="400" w:lineRule="exact"/>
        <w:rPr>
          <w:rFonts w:ascii="宋体" w:hAnsi="宋体"/>
          <w:color w:val="auto"/>
          <w:szCs w:val="21"/>
          <w:highlight w:val="none"/>
        </w:rPr>
      </w:pPr>
      <w:r>
        <w:rPr>
          <w:rFonts w:hint="eastAsia" w:ascii="宋体" w:hAnsi="宋体"/>
          <w:color w:val="auto"/>
          <w:szCs w:val="21"/>
          <w:highlight w:val="none"/>
        </w:rPr>
        <w:t xml:space="preserve">    接受分包的第三人资质要求：分包人的资格能力应与其分包工程的标准和规模相适应，具备相应的专业承包资质或劳务分包资质；</w:t>
      </w:r>
    </w:p>
    <w:p w14:paraId="2922BF21">
      <w:pPr>
        <w:pStyle w:val="9"/>
        <w:spacing w:line="400" w:lineRule="exact"/>
        <w:rPr>
          <w:rFonts w:ascii="宋体" w:hAnsi="宋体"/>
          <w:color w:val="auto"/>
          <w:szCs w:val="21"/>
          <w:highlight w:val="none"/>
        </w:rPr>
      </w:pPr>
      <w:r>
        <w:rPr>
          <w:rFonts w:hint="eastAsia" w:ascii="宋体" w:hAnsi="宋体"/>
          <w:color w:val="auto"/>
          <w:szCs w:val="21"/>
          <w:highlight w:val="none"/>
        </w:rPr>
        <w:t xml:space="preserve">    其他要求：投标人如有分包计划，应按第八章“投标文件格式”的要求填写“拟分包项目情况表”，且投标人中标后的分包应满足合同条款第4.3款的相关要求。</w:t>
      </w:r>
    </w:p>
    <w:p w14:paraId="4FABC29F">
      <w:pPr>
        <w:pStyle w:val="9"/>
        <w:spacing w:line="400" w:lineRule="exact"/>
        <w:outlineLvl w:val="3"/>
        <w:rPr>
          <w:rFonts w:ascii="宋体" w:hAnsi="宋体"/>
          <w:b/>
          <w:bCs/>
          <w:color w:val="auto"/>
          <w:highlight w:val="none"/>
        </w:rPr>
      </w:pPr>
      <w:r>
        <w:rPr>
          <w:rFonts w:hint="eastAsia" w:ascii="宋体" w:hAnsi="宋体"/>
          <w:b/>
          <w:bCs/>
          <w:color w:val="auto"/>
          <w:highlight w:val="none"/>
        </w:rPr>
        <w:t xml:space="preserve">1.12 </w:t>
      </w:r>
      <w:r>
        <w:rPr>
          <w:rFonts w:hint="eastAsia" w:ascii="宋体" w:hAnsi="宋体" w:eastAsia="宋体"/>
          <w:b/>
          <w:bCs/>
          <w:color w:val="auto"/>
          <w:highlight w:val="none"/>
          <w:lang w:val="en-US" w:eastAsia="zh-CN"/>
        </w:rPr>
        <w:t>响应和</w:t>
      </w:r>
      <w:r>
        <w:rPr>
          <w:rFonts w:hint="eastAsia" w:ascii="宋体" w:hAnsi="宋体"/>
          <w:b/>
          <w:bCs/>
          <w:color w:val="auto"/>
          <w:highlight w:val="none"/>
        </w:rPr>
        <w:t>偏离</w:t>
      </w:r>
    </w:p>
    <w:p w14:paraId="31A27479">
      <w:pPr>
        <w:pStyle w:val="9"/>
        <w:spacing w:line="400" w:lineRule="exact"/>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eastAsia="宋体"/>
          <w:color w:val="auto"/>
          <w:szCs w:val="21"/>
          <w:highlight w:val="none"/>
          <w:lang w:val="en-US" w:eastAsia="zh-CN"/>
        </w:rPr>
        <w:t xml:space="preserve">1.12.1 </w:t>
      </w:r>
      <w:r>
        <w:rPr>
          <w:rFonts w:hint="eastAsia" w:ascii="宋体" w:hAnsi="宋体"/>
          <w:color w:val="auto"/>
          <w:szCs w:val="21"/>
          <w:highlight w:val="none"/>
        </w:rPr>
        <w:t>投标文件偏离招标文件某些要求，</w:t>
      </w:r>
      <w:r>
        <w:rPr>
          <w:rFonts w:hint="eastAsia" w:ascii="宋体" w:hAnsi="宋体" w:eastAsia="宋体"/>
          <w:color w:val="auto"/>
          <w:szCs w:val="21"/>
          <w:highlight w:val="none"/>
          <w:lang w:val="en-US" w:eastAsia="zh-CN"/>
        </w:rPr>
        <w:t>视为投标文件存在偏差。</w:t>
      </w:r>
      <w:r>
        <w:rPr>
          <w:rFonts w:hint="eastAsia" w:ascii="宋体" w:hAnsi="宋体"/>
          <w:color w:val="auto"/>
          <w:szCs w:val="21"/>
          <w:highlight w:val="none"/>
        </w:rPr>
        <w:t>偏差</w:t>
      </w:r>
      <w:r>
        <w:rPr>
          <w:rFonts w:hint="eastAsia" w:ascii="宋体" w:hAnsi="宋体" w:eastAsia="宋体"/>
          <w:color w:val="auto"/>
          <w:szCs w:val="21"/>
          <w:highlight w:val="none"/>
          <w:lang w:val="en-US" w:eastAsia="zh-CN"/>
        </w:rPr>
        <w:t>包括</w:t>
      </w:r>
      <w:r>
        <w:rPr>
          <w:rFonts w:hint="eastAsia" w:ascii="宋体" w:hAnsi="宋体"/>
          <w:color w:val="auto"/>
          <w:szCs w:val="21"/>
          <w:highlight w:val="none"/>
        </w:rPr>
        <w:t>重大偏差和细微偏差。</w:t>
      </w:r>
    </w:p>
    <w:p w14:paraId="7764444A">
      <w:pPr>
        <w:pStyle w:val="9"/>
        <w:spacing w:line="400" w:lineRule="exact"/>
        <w:ind w:firstLine="420" w:firstLineChars="200"/>
        <w:rPr>
          <w:rFonts w:hint="eastAsia" w:ascii="宋体" w:hAnsi="宋体" w:eastAsia="Times New Roman" w:cs="Times New Roman"/>
          <w:color w:val="auto"/>
          <w:szCs w:val="21"/>
          <w:highlight w:val="none"/>
        </w:rPr>
      </w:pPr>
      <w:r>
        <w:rPr>
          <w:rFonts w:hint="eastAsia" w:ascii="宋体" w:hAnsi="宋体" w:eastAsia="Times New Roman" w:cs="Times New Roman"/>
          <w:color w:val="auto"/>
          <w:szCs w:val="21"/>
          <w:highlight w:val="none"/>
        </w:rPr>
        <w:t>1.12.</w:t>
      </w:r>
      <w:r>
        <w:rPr>
          <w:rFonts w:hint="eastAsia" w:ascii="宋体" w:hAnsi="宋体" w:eastAsia="Times New Roman" w:cs="Times New Roman"/>
          <w:color w:val="auto"/>
          <w:szCs w:val="21"/>
          <w:highlight w:val="none"/>
          <w:lang w:val="en-US" w:eastAsia="zh-CN"/>
        </w:rPr>
        <w:t xml:space="preserve">2 投标文件应对招标文件的实质性要求和条件作出满足性或更有利于招标人的响应，否则，视为投标文件存在重大偏差，投标人的投标将被否决。 </w:t>
      </w:r>
    </w:p>
    <w:p w14:paraId="0213B9CC">
      <w:pPr>
        <w:pStyle w:val="9"/>
        <w:spacing w:line="400" w:lineRule="exact"/>
        <w:ind w:firstLine="420" w:firstLineChars="200"/>
        <w:rPr>
          <w:rFonts w:hint="eastAsia" w:ascii="宋体" w:hAnsi="宋体" w:eastAsia="Times New Roman" w:cs="Times New Roman"/>
          <w:color w:val="auto"/>
          <w:szCs w:val="21"/>
          <w:highlight w:val="none"/>
        </w:rPr>
      </w:pPr>
      <w:r>
        <w:rPr>
          <w:rFonts w:hint="eastAsia" w:ascii="宋体" w:hAnsi="宋体" w:eastAsia="Times New Roman" w:cs="Times New Roman"/>
          <w:color w:val="auto"/>
          <w:szCs w:val="21"/>
          <w:highlight w:val="none"/>
          <w:lang w:val="en-US" w:eastAsia="zh-CN"/>
        </w:rPr>
        <w:t xml:space="preserve">投标文件存在第三章“评标办法”中所列任一否决投标情形的，均属于存在重大偏差。 </w:t>
      </w:r>
    </w:p>
    <w:p w14:paraId="3E5B91F5">
      <w:pPr>
        <w:pStyle w:val="9"/>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1.12.</w:t>
      </w:r>
      <w:r>
        <w:rPr>
          <w:rFonts w:hint="eastAsia" w:ascii="宋体" w:hAnsi="宋体" w:eastAsia="宋体"/>
          <w:color w:val="auto"/>
          <w:szCs w:val="21"/>
          <w:highlight w:val="none"/>
          <w:lang w:val="en-US" w:eastAsia="zh-CN"/>
        </w:rPr>
        <w:t>3</w:t>
      </w:r>
      <w:r>
        <w:rPr>
          <w:rFonts w:hint="eastAsia" w:ascii="宋体" w:hAnsi="宋体"/>
          <w:color w:val="auto"/>
          <w:szCs w:val="21"/>
          <w:highlight w:val="none"/>
        </w:rPr>
        <w:t>投标文件中的下列偏差为细微偏差：</w:t>
      </w:r>
    </w:p>
    <w:p w14:paraId="09FDC4BA">
      <w:pPr>
        <w:pStyle w:val="9"/>
        <w:spacing w:line="400" w:lineRule="exact"/>
        <w:rPr>
          <w:rFonts w:ascii="宋体" w:hAnsi="宋体"/>
          <w:color w:val="auto"/>
          <w:szCs w:val="21"/>
          <w:highlight w:val="none"/>
        </w:rPr>
      </w:pPr>
      <w:r>
        <w:rPr>
          <w:rFonts w:hint="eastAsia" w:ascii="宋体" w:hAnsi="宋体"/>
          <w:color w:val="auto"/>
          <w:szCs w:val="21"/>
          <w:highlight w:val="none"/>
        </w:rPr>
        <w:t xml:space="preserve">    (1)在按照第三章“评标办法”的规定对投标价进行算术性错误修正及其他错误修正后，最终投标报价未超过</w:t>
      </w:r>
      <w:r>
        <w:rPr>
          <w:rFonts w:hint="eastAsia" w:ascii="宋体" w:hAnsi="宋体" w:eastAsia="宋体"/>
          <w:color w:val="auto"/>
          <w:szCs w:val="21"/>
          <w:highlight w:val="none"/>
          <w:lang w:val="en-US" w:eastAsia="zh-CN"/>
        </w:rPr>
        <w:t>最高投标限价</w:t>
      </w:r>
      <w:r>
        <w:rPr>
          <w:rFonts w:hint="eastAsia" w:ascii="宋体" w:hAnsi="宋体"/>
          <w:color w:val="auto"/>
          <w:szCs w:val="21"/>
          <w:highlight w:val="none"/>
        </w:rPr>
        <w:t>的情况下，出现第三章“评标办法”</w:t>
      </w:r>
      <w:r>
        <w:rPr>
          <w:rFonts w:hint="eastAsia" w:ascii="宋体" w:hAnsi="宋体" w:eastAsia="宋体"/>
          <w:color w:val="auto"/>
          <w:szCs w:val="21"/>
          <w:highlight w:val="none"/>
          <w:lang w:val="en-US" w:eastAsia="zh-CN"/>
        </w:rPr>
        <w:t>规定</w:t>
      </w:r>
      <w:r>
        <w:rPr>
          <w:rFonts w:hint="eastAsia" w:ascii="宋体" w:hAnsi="宋体"/>
          <w:color w:val="auto"/>
          <w:szCs w:val="21"/>
          <w:highlight w:val="none"/>
        </w:rPr>
        <w:t>的算术性错误和投标报价的其他错误；</w:t>
      </w:r>
    </w:p>
    <w:p w14:paraId="79C9D7B9">
      <w:pPr>
        <w:pStyle w:val="9"/>
        <w:spacing w:line="400" w:lineRule="exact"/>
        <w:ind w:firstLine="420" w:firstLineChars="200"/>
        <w:rPr>
          <w:rFonts w:hint="eastAsia" w:ascii="宋体" w:hAnsi="宋体" w:eastAsia="Times New Roman" w:cs="Times New Roman"/>
          <w:color w:val="auto"/>
          <w:szCs w:val="21"/>
          <w:highlight w:val="none"/>
          <w:lang w:eastAsia="zh-CN"/>
        </w:rPr>
      </w:pPr>
      <w:r>
        <w:rPr>
          <w:rFonts w:hint="eastAsia" w:ascii="宋体" w:hAnsi="宋体" w:eastAsia="Times New Roman" w:cs="Times New Roman"/>
          <w:color w:val="auto"/>
          <w:szCs w:val="21"/>
          <w:highlight w:val="none"/>
        </w:rPr>
        <w:t>(2)</w:t>
      </w:r>
      <w:r>
        <w:rPr>
          <w:rFonts w:hint="eastAsia" w:ascii="宋体" w:hAnsi="宋体" w:eastAsia="Times New Roman" w:cs="Times New Roman"/>
          <w:color w:val="auto"/>
          <w:szCs w:val="21"/>
          <w:highlight w:val="none"/>
          <w:lang w:val="en-US" w:eastAsia="zh-CN"/>
        </w:rPr>
        <w:t>养护工程作业方案</w:t>
      </w:r>
      <w:r>
        <w:rPr>
          <w:rFonts w:hint="eastAsia" w:ascii="宋体" w:hAnsi="宋体" w:eastAsia="Times New Roman" w:cs="Times New Roman"/>
          <w:color w:val="auto"/>
          <w:szCs w:val="21"/>
          <w:highlight w:val="none"/>
        </w:rPr>
        <w:t>和项目管理机构不够完善</w:t>
      </w:r>
      <w:r>
        <w:rPr>
          <w:rFonts w:hint="eastAsia" w:ascii="宋体" w:hAnsi="宋体" w:eastAsia="Times New Roman" w:cs="Times New Roman"/>
          <w:color w:val="auto"/>
          <w:szCs w:val="21"/>
          <w:highlight w:val="none"/>
          <w:lang w:eastAsia="zh-CN"/>
        </w:rPr>
        <w:t>；</w:t>
      </w:r>
    </w:p>
    <w:p w14:paraId="313873C3">
      <w:pPr>
        <w:pStyle w:val="9"/>
        <w:spacing w:line="400" w:lineRule="exact"/>
        <w:ind w:firstLine="420" w:firstLineChars="200"/>
        <w:rPr>
          <w:rFonts w:hint="eastAsia" w:ascii="宋体" w:hAnsi="宋体" w:eastAsia="Times New Roman" w:cs="Times New Roman"/>
          <w:color w:val="auto"/>
          <w:szCs w:val="21"/>
          <w:highlight w:val="none"/>
          <w:lang w:eastAsia="zh-CN"/>
        </w:rPr>
      </w:pPr>
      <w:r>
        <w:rPr>
          <w:rFonts w:hint="eastAsia" w:ascii="宋体" w:hAnsi="宋体" w:eastAsia="Times New Roman" w:cs="Times New Roman"/>
          <w:color w:val="auto"/>
          <w:szCs w:val="21"/>
          <w:highlight w:val="none"/>
        </w:rPr>
        <w:t>(</w:t>
      </w:r>
      <w:r>
        <w:rPr>
          <w:rFonts w:hint="eastAsia" w:ascii="宋体" w:hAnsi="宋体" w:eastAsia="宋体" w:cs="Times New Roman"/>
          <w:color w:val="auto"/>
          <w:szCs w:val="21"/>
          <w:highlight w:val="none"/>
          <w:lang w:val="en-US" w:eastAsia="zh-CN"/>
        </w:rPr>
        <w:t>3</w:t>
      </w:r>
      <w:r>
        <w:rPr>
          <w:rFonts w:hint="eastAsia" w:ascii="宋体" w:hAnsi="宋体" w:eastAsia="Times New Roman" w:cs="Times New Roman"/>
          <w:color w:val="auto"/>
          <w:szCs w:val="21"/>
          <w:highlight w:val="none"/>
        </w:rPr>
        <w:t>)</w:t>
      </w:r>
      <w:r>
        <w:rPr>
          <w:rFonts w:hint="eastAsia" w:ascii="宋体" w:hAnsi="宋体" w:eastAsia="Times New Roman" w:cs="Times New Roman"/>
          <w:color w:val="auto"/>
          <w:szCs w:val="21"/>
          <w:highlight w:val="none"/>
          <w:lang w:val="en-US" w:eastAsia="zh-CN"/>
        </w:rPr>
        <w:t>投标文件页码不连续、个别文字有遗漏错误等不影响投标文件实质性内容的偏差。</w:t>
      </w:r>
    </w:p>
    <w:p w14:paraId="070F3B43">
      <w:pPr>
        <w:pStyle w:val="9"/>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1.12.</w:t>
      </w:r>
      <w:r>
        <w:rPr>
          <w:rFonts w:hint="eastAsia" w:ascii="宋体" w:hAnsi="宋体" w:eastAsia="宋体"/>
          <w:color w:val="auto"/>
          <w:szCs w:val="21"/>
          <w:highlight w:val="none"/>
          <w:lang w:val="en-US" w:eastAsia="zh-CN"/>
        </w:rPr>
        <w:t>4</w:t>
      </w:r>
      <w:r>
        <w:rPr>
          <w:rFonts w:hint="eastAsia" w:ascii="宋体" w:hAnsi="宋体"/>
          <w:color w:val="auto"/>
          <w:szCs w:val="21"/>
          <w:highlight w:val="none"/>
        </w:rPr>
        <w:t>评标委员会对投标文件中的细微偏差按如下规定处理：</w:t>
      </w:r>
    </w:p>
    <w:p w14:paraId="6BAE6D60">
      <w:pPr>
        <w:pStyle w:val="9"/>
        <w:spacing w:line="400" w:lineRule="exact"/>
        <w:rPr>
          <w:rFonts w:ascii="宋体" w:hAnsi="宋体"/>
          <w:color w:val="auto"/>
          <w:szCs w:val="21"/>
          <w:highlight w:val="none"/>
        </w:rPr>
      </w:pPr>
      <w:r>
        <w:rPr>
          <w:rFonts w:hint="eastAsia" w:ascii="宋体" w:hAnsi="宋体"/>
          <w:color w:val="auto"/>
          <w:szCs w:val="21"/>
          <w:highlight w:val="none"/>
        </w:rPr>
        <w:t xml:space="preserve">    (1)对于本章第1.12.2项(1)目所述的细微偏差，按照第三章“评标办法”的规定予以修正并要求投标人进行澄清；</w:t>
      </w:r>
    </w:p>
    <w:p w14:paraId="7EEFC429">
      <w:pPr>
        <w:pStyle w:val="9"/>
        <w:spacing w:line="400" w:lineRule="exact"/>
        <w:ind w:firstLine="420"/>
        <w:rPr>
          <w:rFonts w:hint="eastAsia"/>
          <w:color w:val="auto"/>
          <w:highlight w:val="none"/>
        </w:rPr>
      </w:pPr>
      <w:r>
        <w:rPr>
          <w:rFonts w:hint="eastAsia" w:ascii="宋体" w:hAnsi="宋体"/>
          <w:color w:val="auto"/>
          <w:szCs w:val="21"/>
          <w:highlight w:val="none"/>
        </w:rPr>
        <w:t>(2)对于本章第1.12.2项(2)目所述的细微偏差，如果采用最低投标价法评标，应要求投标人对细微偏差进行澄清，只有投标人的澄清文件被评标委员会接受，投标人才能参加评标价的最终评比。如果采用综合评估法评标，评标委员会可在相关评分因素的评分中酌情扣分。</w:t>
      </w:r>
      <w:bookmarkStart w:id="81" w:name="EB90aa47d141914bd39fc42b73cd846c97"/>
      <w:r>
        <w:rPr>
          <w:rFonts w:hint="eastAsia"/>
          <w:color w:val="auto"/>
          <w:sz w:val="20"/>
          <w:highlight w:val="none"/>
        </w:rPr>
        <w:t xml:space="preserve"> </w:t>
      </w:r>
      <w:bookmarkEnd w:id="81"/>
    </w:p>
    <w:p w14:paraId="50B23635">
      <w:pPr>
        <w:pStyle w:val="9"/>
        <w:spacing w:line="400" w:lineRule="exact"/>
        <w:ind w:firstLine="400" w:firstLineChars="200"/>
        <w:rPr>
          <w:color w:val="auto"/>
          <w:highlight w:val="none"/>
        </w:rPr>
      </w:pPr>
      <w:bookmarkStart w:id="82" w:name="EB030684df813643f19a65b4361523dc0b"/>
      <w:r>
        <w:rPr>
          <w:rFonts w:hint="eastAsia"/>
          <w:color w:val="auto"/>
          <w:sz w:val="20"/>
          <w:highlight w:val="none"/>
        </w:rPr>
        <w:t xml:space="preserve"> </w:t>
      </w:r>
      <w:bookmarkEnd w:id="82"/>
      <w:bookmarkStart w:id="83" w:name="EB5e507411a2264f839503d4d24fc02a00"/>
      <w:r>
        <w:rPr>
          <w:rFonts w:hint="eastAsia" w:ascii="宋体" w:hAnsi="宋体" w:eastAsia="Times New Roman" w:cs="Times New Roman"/>
          <w:color w:val="auto"/>
          <w:szCs w:val="21"/>
          <w:highlight w:val="none"/>
        </w:rPr>
        <w:t xml:space="preserve"> </w:t>
      </w:r>
      <w:bookmarkEnd w:id="83"/>
      <w:r>
        <w:rPr>
          <w:rFonts w:hint="eastAsia" w:ascii="宋体" w:hAnsi="宋体" w:eastAsia="Times New Roman" w:cs="Times New Roman"/>
          <w:color w:val="auto"/>
          <w:szCs w:val="21"/>
          <w:highlight w:val="none"/>
          <w:lang w:val="en-US" w:eastAsia="zh-CN"/>
        </w:rPr>
        <w:t>1.12.5 投标人应根据招标文件的要求提供养护工程作业方案等内容以对招标文件作出响应。</w:t>
      </w:r>
    </w:p>
    <w:p w14:paraId="27192475">
      <w:pPr>
        <w:pStyle w:val="9"/>
        <w:spacing w:line="400" w:lineRule="exact"/>
        <w:outlineLvl w:val="2"/>
        <w:rPr>
          <w:rFonts w:ascii="宋体" w:hAnsi="宋体"/>
          <w:b/>
          <w:color w:val="auto"/>
          <w:sz w:val="24"/>
          <w:szCs w:val="24"/>
          <w:highlight w:val="none"/>
        </w:rPr>
      </w:pPr>
      <w:bookmarkStart w:id="84" w:name="_Toc28700"/>
      <w:r>
        <w:rPr>
          <w:rFonts w:hint="eastAsia" w:ascii="宋体" w:hAnsi="宋体"/>
          <w:b/>
          <w:color w:val="auto"/>
          <w:sz w:val="24"/>
          <w:szCs w:val="24"/>
          <w:highlight w:val="none"/>
        </w:rPr>
        <w:t>2. 招标文件</w:t>
      </w:r>
      <w:bookmarkEnd w:id="84"/>
    </w:p>
    <w:p w14:paraId="72AF5B76">
      <w:pPr>
        <w:pStyle w:val="9"/>
        <w:spacing w:line="400" w:lineRule="exact"/>
        <w:outlineLvl w:val="3"/>
        <w:rPr>
          <w:rFonts w:ascii="宋体" w:hAnsi="宋体"/>
          <w:b/>
          <w:bCs/>
          <w:color w:val="auto"/>
          <w:highlight w:val="none"/>
        </w:rPr>
      </w:pPr>
      <w:r>
        <w:rPr>
          <w:rFonts w:hint="eastAsia" w:ascii="宋体" w:hAnsi="宋体"/>
          <w:b/>
          <w:bCs/>
          <w:color w:val="auto"/>
          <w:highlight w:val="none"/>
        </w:rPr>
        <w:t>2.1 招标文件的组成</w:t>
      </w:r>
    </w:p>
    <w:p w14:paraId="5944C208">
      <w:pPr>
        <w:pStyle w:val="9"/>
        <w:spacing w:line="400" w:lineRule="exact"/>
        <w:rPr>
          <w:rFonts w:ascii="宋体" w:hAnsi="宋体"/>
          <w:color w:val="auto"/>
          <w:szCs w:val="21"/>
          <w:highlight w:val="none"/>
        </w:rPr>
      </w:pPr>
      <w:r>
        <w:rPr>
          <w:rFonts w:hint="eastAsia" w:ascii="宋体" w:hAnsi="宋体"/>
          <w:color w:val="auto"/>
          <w:szCs w:val="21"/>
          <w:highlight w:val="none"/>
        </w:rPr>
        <w:t xml:space="preserve">    本招标文件包括：</w:t>
      </w:r>
    </w:p>
    <w:p w14:paraId="4D5E9281">
      <w:pPr>
        <w:pStyle w:val="9"/>
        <w:spacing w:line="400" w:lineRule="exact"/>
        <w:rPr>
          <w:rFonts w:ascii="宋体" w:hAnsi="宋体"/>
          <w:color w:val="auto"/>
          <w:szCs w:val="21"/>
          <w:highlight w:val="none"/>
        </w:rPr>
      </w:pPr>
      <w:r>
        <w:rPr>
          <w:rFonts w:hint="eastAsia" w:ascii="宋体" w:hAnsi="宋体"/>
          <w:color w:val="auto"/>
          <w:szCs w:val="21"/>
          <w:highlight w:val="none"/>
        </w:rPr>
        <w:t xml:space="preserve">    (1)招标公告</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lang w:val="en-US" w:eastAsia="zh-CN"/>
        </w:rPr>
        <w:t>或投标邀请书</w:t>
      </w:r>
      <w:r>
        <w:rPr>
          <w:rFonts w:hint="eastAsia" w:ascii="宋体" w:hAnsi="宋体" w:eastAsia="宋体"/>
          <w:color w:val="auto"/>
          <w:szCs w:val="21"/>
          <w:highlight w:val="none"/>
          <w:lang w:eastAsia="zh-CN"/>
        </w:rPr>
        <w:t>）</w:t>
      </w:r>
      <w:r>
        <w:rPr>
          <w:rFonts w:hint="eastAsia" w:ascii="宋体" w:hAnsi="宋体"/>
          <w:color w:val="auto"/>
          <w:szCs w:val="21"/>
          <w:highlight w:val="none"/>
        </w:rPr>
        <w:t>；</w:t>
      </w:r>
    </w:p>
    <w:p w14:paraId="2C875D66">
      <w:pPr>
        <w:pStyle w:val="9"/>
        <w:spacing w:line="400" w:lineRule="exact"/>
        <w:rPr>
          <w:rFonts w:ascii="宋体" w:hAnsi="宋体"/>
          <w:color w:val="auto"/>
          <w:szCs w:val="21"/>
          <w:highlight w:val="none"/>
        </w:rPr>
      </w:pPr>
      <w:r>
        <w:rPr>
          <w:rFonts w:hint="eastAsia" w:ascii="宋体" w:hAnsi="宋体"/>
          <w:color w:val="auto"/>
          <w:szCs w:val="21"/>
          <w:highlight w:val="none"/>
        </w:rPr>
        <w:t xml:space="preserve">    (2)投标人须知；</w:t>
      </w:r>
    </w:p>
    <w:p w14:paraId="5A6C3313">
      <w:pPr>
        <w:pStyle w:val="9"/>
        <w:spacing w:line="400" w:lineRule="exact"/>
        <w:rPr>
          <w:rFonts w:ascii="宋体" w:hAnsi="宋体"/>
          <w:color w:val="auto"/>
          <w:szCs w:val="21"/>
          <w:highlight w:val="none"/>
        </w:rPr>
      </w:pPr>
      <w:r>
        <w:rPr>
          <w:rFonts w:hint="eastAsia" w:ascii="宋体" w:hAnsi="宋体"/>
          <w:color w:val="auto"/>
          <w:szCs w:val="21"/>
          <w:highlight w:val="none"/>
        </w:rPr>
        <w:t xml:space="preserve">    (3)评标办法；</w:t>
      </w:r>
    </w:p>
    <w:p w14:paraId="1BE8EEEF">
      <w:pPr>
        <w:pStyle w:val="9"/>
        <w:spacing w:line="400" w:lineRule="exact"/>
        <w:rPr>
          <w:rFonts w:ascii="宋体" w:hAnsi="宋体"/>
          <w:color w:val="auto"/>
          <w:szCs w:val="21"/>
          <w:highlight w:val="none"/>
        </w:rPr>
      </w:pPr>
      <w:r>
        <w:rPr>
          <w:rFonts w:hint="eastAsia" w:ascii="宋体" w:hAnsi="宋体"/>
          <w:color w:val="auto"/>
          <w:szCs w:val="21"/>
          <w:highlight w:val="none"/>
        </w:rPr>
        <w:t xml:space="preserve">    (4)合同条款及格式；</w:t>
      </w:r>
    </w:p>
    <w:p w14:paraId="46476AA8">
      <w:pPr>
        <w:pStyle w:val="9"/>
        <w:spacing w:line="400" w:lineRule="exact"/>
        <w:rPr>
          <w:rFonts w:ascii="宋体" w:hAnsi="宋体"/>
          <w:color w:val="auto"/>
          <w:szCs w:val="21"/>
          <w:highlight w:val="none"/>
        </w:rPr>
      </w:pPr>
      <w:r>
        <w:rPr>
          <w:rFonts w:hint="eastAsia" w:ascii="宋体" w:hAnsi="宋体"/>
          <w:color w:val="auto"/>
          <w:szCs w:val="21"/>
          <w:highlight w:val="none"/>
        </w:rPr>
        <w:t xml:space="preserve">    (5)工程量清单；</w:t>
      </w:r>
    </w:p>
    <w:p w14:paraId="48E29704">
      <w:pPr>
        <w:pStyle w:val="9"/>
        <w:spacing w:line="400" w:lineRule="exact"/>
        <w:rPr>
          <w:rFonts w:ascii="宋体" w:hAnsi="宋体"/>
          <w:color w:val="auto"/>
          <w:szCs w:val="21"/>
          <w:highlight w:val="none"/>
        </w:rPr>
      </w:pPr>
      <w:r>
        <w:rPr>
          <w:rFonts w:hint="eastAsia" w:ascii="宋体" w:hAnsi="宋体"/>
          <w:color w:val="auto"/>
          <w:szCs w:val="21"/>
          <w:highlight w:val="none"/>
        </w:rPr>
        <w:t xml:space="preserve">    (6)图纸</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lang w:val="en-US" w:eastAsia="zh-CN"/>
        </w:rPr>
        <w:t>如有</w:t>
      </w:r>
      <w:r>
        <w:rPr>
          <w:rFonts w:hint="eastAsia" w:ascii="宋体" w:hAnsi="宋体" w:eastAsia="宋体"/>
          <w:color w:val="auto"/>
          <w:szCs w:val="21"/>
          <w:highlight w:val="none"/>
          <w:lang w:eastAsia="zh-CN"/>
        </w:rPr>
        <w:t>）</w:t>
      </w:r>
      <w:r>
        <w:rPr>
          <w:rFonts w:hint="eastAsia" w:ascii="宋体" w:hAnsi="宋体"/>
          <w:color w:val="auto"/>
          <w:szCs w:val="21"/>
          <w:highlight w:val="none"/>
        </w:rPr>
        <w:t>；</w:t>
      </w:r>
    </w:p>
    <w:p w14:paraId="1B37C295">
      <w:pPr>
        <w:pStyle w:val="9"/>
        <w:spacing w:line="400" w:lineRule="exact"/>
        <w:rPr>
          <w:rFonts w:ascii="宋体" w:hAnsi="宋体"/>
          <w:color w:val="auto"/>
          <w:szCs w:val="21"/>
          <w:highlight w:val="none"/>
        </w:rPr>
      </w:pPr>
      <w:r>
        <w:rPr>
          <w:rFonts w:hint="eastAsia" w:ascii="宋体" w:hAnsi="宋体"/>
          <w:color w:val="auto"/>
          <w:szCs w:val="21"/>
          <w:highlight w:val="none"/>
        </w:rPr>
        <w:t xml:space="preserve">    (7)技术规范；</w:t>
      </w:r>
    </w:p>
    <w:p w14:paraId="1D505332">
      <w:pPr>
        <w:pStyle w:val="9"/>
        <w:spacing w:line="400" w:lineRule="exact"/>
        <w:rPr>
          <w:rFonts w:ascii="宋体" w:hAnsi="宋体"/>
          <w:color w:val="auto"/>
          <w:szCs w:val="21"/>
          <w:highlight w:val="none"/>
        </w:rPr>
      </w:pPr>
      <w:r>
        <w:rPr>
          <w:rFonts w:hint="eastAsia" w:ascii="宋体" w:hAnsi="宋体"/>
          <w:color w:val="auto"/>
          <w:szCs w:val="21"/>
          <w:highlight w:val="none"/>
        </w:rPr>
        <w:t xml:space="preserve">    (8)投标文件格式；</w:t>
      </w:r>
    </w:p>
    <w:p w14:paraId="0B521E6E">
      <w:pPr>
        <w:pStyle w:val="9"/>
        <w:spacing w:line="400" w:lineRule="exact"/>
        <w:rPr>
          <w:rFonts w:ascii="宋体" w:hAnsi="宋体"/>
          <w:color w:val="auto"/>
          <w:szCs w:val="21"/>
          <w:highlight w:val="none"/>
        </w:rPr>
      </w:pPr>
      <w:r>
        <w:rPr>
          <w:rFonts w:hint="eastAsia" w:ascii="宋体" w:hAnsi="宋体"/>
          <w:color w:val="auto"/>
          <w:szCs w:val="21"/>
          <w:highlight w:val="none"/>
        </w:rPr>
        <w:t xml:space="preserve">    (9)投标人须知前附表规定的其他材料。</w:t>
      </w:r>
    </w:p>
    <w:p w14:paraId="5F8B143D">
      <w:pPr>
        <w:pStyle w:val="9"/>
        <w:spacing w:line="400" w:lineRule="exact"/>
        <w:rPr>
          <w:rFonts w:ascii="宋体" w:hAnsi="宋体"/>
          <w:color w:val="auto"/>
          <w:szCs w:val="21"/>
          <w:highlight w:val="none"/>
        </w:rPr>
      </w:pPr>
      <w:r>
        <w:rPr>
          <w:rFonts w:hint="eastAsia" w:ascii="宋体" w:hAnsi="宋体"/>
          <w:color w:val="auto"/>
          <w:szCs w:val="21"/>
          <w:highlight w:val="none"/>
        </w:rPr>
        <w:t xml:space="preserve">    根据本章第1. 10款、第2.2款和第2.3款对招标文件所作的澄清、修改，构成招标文件的组成部分。</w:t>
      </w:r>
    </w:p>
    <w:p w14:paraId="1620AF6A">
      <w:pPr>
        <w:pStyle w:val="9"/>
        <w:spacing w:line="400" w:lineRule="exact"/>
        <w:rPr>
          <w:rFonts w:ascii="宋体" w:hAnsi="宋体"/>
          <w:color w:val="auto"/>
          <w:szCs w:val="21"/>
          <w:highlight w:val="none"/>
        </w:rPr>
      </w:pPr>
      <w:r>
        <w:rPr>
          <w:rFonts w:hint="eastAsia" w:ascii="宋体" w:hAnsi="宋体"/>
          <w:color w:val="auto"/>
          <w:szCs w:val="21"/>
          <w:highlight w:val="none"/>
        </w:rPr>
        <w:t xml:space="preserve">    当招标文件、招标文件的澄清或修改等在同一内容的表述上不一致时，以最后发出的文件为准。</w:t>
      </w:r>
    </w:p>
    <w:p w14:paraId="00EF42AB">
      <w:pPr>
        <w:pStyle w:val="9"/>
        <w:spacing w:line="400" w:lineRule="exact"/>
        <w:outlineLvl w:val="3"/>
        <w:rPr>
          <w:rFonts w:ascii="宋体" w:hAnsi="宋体"/>
          <w:b/>
          <w:bCs/>
          <w:color w:val="auto"/>
          <w:highlight w:val="none"/>
        </w:rPr>
      </w:pPr>
      <w:r>
        <w:rPr>
          <w:rFonts w:hint="eastAsia" w:ascii="宋体" w:hAnsi="宋体"/>
          <w:b/>
          <w:bCs/>
          <w:color w:val="auto"/>
          <w:highlight w:val="none"/>
        </w:rPr>
        <w:t>2.2 招标文件的澄清</w:t>
      </w:r>
    </w:p>
    <w:p w14:paraId="47936B02">
      <w:pPr>
        <w:pStyle w:val="9"/>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2.2.1投标人应仔细阅读和检查招标文件的全部内容。如发现缺页或附件不全，应及时向招标人提出，以便补齐。如有疑问，应在投标人须知前附表规定的时间前通过</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lang w:val="en-US" w:eastAsia="zh-CN"/>
        </w:rPr>
        <w:t>电子</w:t>
      </w:r>
      <w:r>
        <w:rPr>
          <w:rFonts w:hint="eastAsia" w:ascii="宋体" w:hAnsi="宋体"/>
          <w:color w:val="auto"/>
          <w:szCs w:val="21"/>
          <w:highlight w:val="none"/>
        </w:rPr>
        <w:t>交易平台</w:t>
      </w:r>
      <w:r>
        <w:rPr>
          <w:rFonts w:hint="eastAsia" w:ascii="宋体" w:hAnsi="宋体" w:eastAsia="宋体"/>
          <w:color w:val="auto"/>
          <w:szCs w:val="21"/>
          <w:highlight w:val="none"/>
          <w:lang w:eastAsia="zh-CN"/>
        </w:rPr>
        <w:t>”</w:t>
      </w:r>
      <w:r>
        <w:rPr>
          <w:rFonts w:hint="eastAsia" w:ascii="宋体" w:hAnsi="宋体"/>
          <w:color w:val="auto"/>
          <w:szCs w:val="21"/>
          <w:highlight w:val="none"/>
        </w:rPr>
        <w:t>，要求招标人对招标文件予以澄清。</w:t>
      </w:r>
    </w:p>
    <w:p w14:paraId="6A3D7ABD">
      <w:pPr>
        <w:pStyle w:val="9"/>
        <w:spacing w:line="400" w:lineRule="exact"/>
        <w:ind w:firstLine="420" w:firstLineChars="200"/>
        <w:rPr>
          <w:rFonts w:hint="eastAsia" w:ascii="宋体" w:hAnsi="宋体" w:eastAsia="Times New Roman" w:cs="Times New Roman"/>
          <w:color w:val="auto"/>
          <w:szCs w:val="21"/>
          <w:highlight w:val="none"/>
        </w:rPr>
      </w:pPr>
      <w:r>
        <w:rPr>
          <w:rFonts w:hint="eastAsia" w:ascii="宋体" w:hAnsi="宋体" w:eastAsia="Times New Roman" w:cs="Times New Roman"/>
          <w:color w:val="auto"/>
          <w:szCs w:val="21"/>
          <w:highlight w:val="none"/>
        </w:rPr>
        <w:t>2.2.2招标文件的澄清将</w:t>
      </w:r>
      <w:r>
        <w:rPr>
          <w:rFonts w:hint="eastAsia" w:ascii="宋体" w:hAnsi="宋体" w:eastAsia="Times New Roman" w:cs="Times New Roman"/>
          <w:color w:val="auto"/>
          <w:szCs w:val="21"/>
          <w:highlight w:val="none"/>
          <w:lang w:val="en-US" w:eastAsia="zh-CN"/>
        </w:rPr>
        <w:t>以电子文件形式上传至“电子</w:t>
      </w:r>
      <w:r>
        <w:rPr>
          <w:rFonts w:hint="eastAsia" w:ascii="宋体" w:hAnsi="宋体" w:eastAsia="Times New Roman" w:cs="Times New Roman"/>
          <w:color w:val="auto"/>
          <w:szCs w:val="21"/>
          <w:highlight w:val="none"/>
        </w:rPr>
        <w:t>交易平台</w:t>
      </w:r>
      <w:r>
        <w:rPr>
          <w:rFonts w:hint="eastAsia" w:ascii="宋体" w:hAnsi="宋体" w:eastAsia="Times New Roman" w:cs="Times New Roman"/>
          <w:color w:val="auto"/>
          <w:szCs w:val="21"/>
          <w:highlight w:val="none"/>
          <w:lang w:eastAsia="zh-CN"/>
        </w:rPr>
        <w:t>”</w:t>
      </w:r>
      <w:r>
        <w:rPr>
          <w:rFonts w:hint="eastAsia" w:ascii="宋体" w:hAnsi="宋体" w:eastAsia="Times New Roman" w:cs="Times New Roman"/>
          <w:color w:val="auto"/>
          <w:szCs w:val="21"/>
          <w:highlight w:val="none"/>
        </w:rPr>
        <w:t>供投标人下载，但不指明澄清问题的来源。</w:t>
      </w:r>
      <w:r>
        <w:rPr>
          <w:rFonts w:hint="eastAsia" w:ascii="宋体" w:hAnsi="宋体" w:eastAsia="Times New Roman" w:cs="Times New Roman"/>
          <w:color w:val="auto"/>
          <w:szCs w:val="21"/>
          <w:highlight w:val="none"/>
          <w:lang w:val="en-US" w:eastAsia="zh-CN"/>
        </w:rPr>
        <w:t xml:space="preserve">澄清发出的时间距本章第 4.2.1 项规定的投标截止时间不足 15 日，且澄清内容可能影响投标文件编制的，将相应延长投标截止时间。 </w:t>
      </w:r>
    </w:p>
    <w:p w14:paraId="55BB9C04">
      <w:pPr>
        <w:pStyle w:val="9"/>
        <w:spacing w:line="400" w:lineRule="exact"/>
        <w:ind w:firstLine="420" w:firstLineChars="200"/>
        <w:rPr>
          <w:rFonts w:hint="eastAsia" w:ascii="宋体" w:hAnsi="宋体" w:eastAsia="Times New Roman" w:cs="Times New Roman"/>
          <w:color w:val="auto"/>
          <w:szCs w:val="21"/>
          <w:highlight w:val="none"/>
        </w:rPr>
      </w:pPr>
      <w:r>
        <w:rPr>
          <w:rFonts w:hint="eastAsia" w:ascii="宋体" w:hAnsi="宋体" w:eastAsia="Times New Roman" w:cs="Times New Roman"/>
          <w:color w:val="auto"/>
          <w:szCs w:val="21"/>
          <w:highlight w:val="none"/>
          <w:lang w:val="en-US" w:eastAsia="zh-CN"/>
        </w:rPr>
        <w:t xml:space="preserve">2.2.3 投标人在收到澄清后无需向招标人确认。投标人应自行关注“电子交易平台”，招标人不再一一通知。因投标人自身原因未及时获知澄清内容而导致的任何后果将由投标人自行承担。 </w:t>
      </w:r>
    </w:p>
    <w:p w14:paraId="1A01ACBF">
      <w:pPr>
        <w:pStyle w:val="9"/>
        <w:spacing w:line="400" w:lineRule="exact"/>
        <w:ind w:firstLine="420" w:firstLineChars="200"/>
        <w:rPr>
          <w:color w:val="auto"/>
          <w:highlight w:val="none"/>
        </w:rPr>
      </w:pPr>
      <w:r>
        <w:rPr>
          <w:rFonts w:hint="eastAsia" w:ascii="宋体" w:hAnsi="宋体" w:eastAsia="Times New Roman" w:cs="Times New Roman"/>
          <w:color w:val="auto"/>
          <w:szCs w:val="21"/>
          <w:highlight w:val="none"/>
          <w:lang w:val="en-US" w:eastAsia="zh-CN"/>
        </w:rPr>
        <w:t xml:space="preserve">2.2.4 除非招标人认为确有必要答复，否则，招标人有权拒绝回复投标人在本章第 2.2.1 项规定的时间后提出的任何澄清要求。 </w:t>
      </w:r>
    </w:p>
    <w:p w14:paraId="231A3EC1">
      <w:pPr>
        <w:pStyle w:val="9"/>
        <w:spacing w:line="400" w:lineRule="exact"/>
        <w:outlineLvl w:val="3"/>
        <w:rPr>
          <w:rFonts w:ascii="宋体" w:hAnsi="宋体"/>
          <w:b/>
          <w:bCs/>
          <w:color w:val="auto"/>
          <w:highlight w:val="none"/>
        </w:rPr>
      </w:pPr>
      <w:r>
        <w:rPr>
          <w:rFonts w:hint="eastAsia" w:ascii="宋体" w:hAnsi="宋体"/>
          <w:b/>
          <w:bCs/>
          <w:color w:val="auto"/>
          <w:highlight w:val="none"/>
        </w:rPr>
        <w:t>2.3 招标文件的修改</w:t>
      </w:r>
    </w:p>
    <w:p w14:paraId="629E5AF0">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2.3.1 招标人可以修改招标文件，以电子文件形式上传“电子交易平台”供投标人自行下载。修改招标文件的时间距本章第 4.2.1 项规定的投标截止时间不足 15 日，且修改内容可能影响投标文件编制的，将相应延长投标截止时间。 </w:t>
      </w:r>
    </w:p>
    <w:p w14:paraId="4805E81F">
      <w:pPr>
        <w:pStyle w:val="9"/>
        <w:spacing w:line="400" w:lineRule="exact"/>
        <w:ind w:firstLine="420" w:firstLineChars="200"/>
        <w:rPr>
          <w:rFonts w:hint="default"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2.3.2 投标人在收到修改内容后无需向招标人确认。投标人应自行关注“电子交易平台”，招标人不再一一通知。因投标人自身原因未及时获知修改内容而导致的任何后果将由投标人自行承担。</w:t>
      </w:r>
    </w:p>
    <w:p w14:paraId="7EA4F501">
      <w:pPr>
        <w:pStyle w:val="9"/>
        <w:spacing w:line="400" w:lineRule="exact"/>
        <w:outlineLvl w:val="3"/>
        <w:rPr>
          <w:rFonts w:hint="eastAsia" w:ascii="宋体" w:hAnsi="宋体"/>
          <w:b/>
          <w:bCs/>
          <w:color w:val="auto"/>
          <w:highlight w:val="none"/>
        </w:rPr>
      </w:pPr>
      <w:r>
        <w:rPr>
          <w:rFonts w:hint="eastAsia" w:ascii="宋体" w:hAnsi="宋体"/>
          <w:b/>
          <w:bCs/>
          <w:color w:val="auto"/>
          <w:highlight w:val="none"/>
        </w:rPr>
        <w:t xml:space="preserve">2.4 对招标文件的异议 </w:t>
      </w:r>
    </w:p>
    <w:p w14:paraId="282BAE54">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投标人或者其他利害关系人对招标文件有异议的，应在投标截止时间 10 日前以书面形式提出。招标人将在收到异议之日起 3 日内作出答复；作出答复前，将暂停招标投标活动。提出异议与作出答复均应通过“电子交易平台”已书面形式完成。 </w:t>
      </w:r>
    </w:p>
    <w:p w14:paraId="2D50DF04">
      <w:pPr>
        <w:pStyle w:val="9"/>
        <w:spacing w:line="400" w:lineRule="exact"/>
        <w:outlineLvl w:val="2"/>
        <w:rPr>
          <w:rFonts w:ascii="宋体" w:hAnsi="宋体"/>
          <w:b/>
          <w:color w:val="auto"/>
          <w:sz w:val="24"/>
          <w:szCs w:val="24"/>
          <w:highlight w:val="none"/>
        </w:rPr>
      </w:pPr>
      <w:bookmarkStart w:id="85" w:name="_Toc26360"/>
      <w:r>
        <w:rPr>
          <w:rFonts w:hint="eastAsia" w:ascii="宋体" w:hAnsi="宋体"/>
          <w:b/>
          <w:color w:val="auto"/>
          <w:sz w:val="24"/>
          <w:szCs w:val="24"/>
          <w:highlight w:val="none"/>
        </w:rPr>
        <w:t>3. 投标文件</w:t>
      </w:r>
      <w:bookmarkEnd w:id="85"/>
    </w:p>
    <w:p w14:paraId="1BB8FAF2">
      <w:pPr>
        <w:pStyle w:val="9"/>
        <w:spacing w:line="400" w:lineRule="exact"/>
        <w:outlineLvl w:val="3"/>
        <w:rPr>
          <w:rFonts w:ascii="宋体" w:hAnsi="宋体"/>
          <w:b/>
          <w:bCs/>
          <w:color w:val="auto"/>
          <w:highlight w:val="none"/>
        </w:rPr>
      </w:pPr>
      <w:r>
        <w:rPr>
          <w:rFonts w:hint="eastAsia" w:ascii="宋体" w:hAnsi="宋体"/>
          <w:b/>
          <w:bCs/>
          <w:color w:val="auto"/>
          <w:highlight w:val="none"/>
        </w:rPr>
        <w:t>3.1 投标文件的组成</w:t>
      </w:r>
    </w:p>
    <w:p w14:paraId="42C3F904">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3.1.1 投标文件密封采用双信封形式。投标文件应包括下列内容： </w:t>
      </w:r>
    </w:p>
    <w:p w14:paraId="7281297D">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第一信封（商务及养护工程作业方案） </w:t>
      </w:r>
    </w:p>
    <w:p w14:paraId="4C9708E8">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（1）投标函及投标函附录； </w:t>
      </w:r>
    </w:p>
    <w:p w14:paraId="47367B06">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（2）法定代表人身份证明或授权委托书； </w:t>
      </w:r>
    </w:p>
    <w:p w14:paraId="0AEAF76C">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（3）联合体协议书； </w:t>
      </w:r>
    </w:p>
    <w:p w14:paraId="44895DF0">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（4）投标保证金； </w:t>
      </w:r>
    </w:p>
    <w:p w14:paraId="0D6D2C5F">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（5）养护工程作业方案； </w:t>
      </w:r>
    </w:p>
    <w:p w14:paraId="6A6292C6">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（6）项目管理机构； </w:t>
      </w:r>
    </w:p>
    <w:p w14:paraId="4D1CCF07">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（7）资格审查资料； </w:t>
      </w:r>
    </w:p>
    <w:p w14:paraId="5EAF4419">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（8）承诺函； </w:t>
      </w:r>
    </w:p>
    <w:p w14:paraId="7495FB91">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（9）项目图纸资料保密承诺书； </w:t>
      </w:r>
    </w:p>
    <w:p w14:paraId="779BECE6">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（10）投标人须知前附表规定的其他材料。 </w:t>
      </w:r>
    </w:p>
    <w:p w14:paraId="08DA9348">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第二信封（报价文件） </w:t>
      </w:r>
    </w:p>
    <w:p w14:paraId="385ED1BA">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（1）报价函； </w:t>
      </w:r>
    </w:p>
    <w:p w14:paraId="43824B6F">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（2）已标价工程量清单； </w:t>
      </w:r>
    </w:p>
    <w:p w14:paraId="6A84D6C0">
      <w:pPr>
        <w:pStyle w:val="9"/>
        <w:spacing w:line="400" w:lineRule="exact"/>
        <w:ind w:firstLine="420" w:firstLineChars="200"/>
        <w:rPr>
          <w:rFonts w:hint="eastAsia" w:ascii="宋体" w:hAnsi="宋体" w:eastAsia="Times New Roman" w:cs="Times New Roman"/>
          <w:strike/>
          <w:dstrike w:val="0"/>
          <w:color w:val="auto"/>
          <w:szCs w:val="21"/>
          <w:highlight w:val="none"/>
          <w:lang w:val="en-US" w:eastAsia="zh-CN"/>
        </w:rPr>
      </w:pPr>
      <w:r>
        <w:rPr>
          <w:rFonts w:hint="eastAsia" w:ascii="宋体" w:hAnsi="宋体" w:eastAsia="Times New Roman" w:cs="Times New Roman"/>
          <w:strike/>
          <w:dstrike w:val="0"/>
          <w:color w:val="auto"/>
          <w:szCs w:val="21"/>
          <w:highlight w:val="none"/>
          <w:lang w:val="en-US" w:eastAsia="zh-CN"/>
        </w:rPr>
        <w:t>（3）合同用款估算表。</w:t>
      </w:r>
    </w:p>
    <w:p w14:paraId="1974E08B">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3.1.2 投标人须知前附表规定不接受联合体投标的，或投标人没有组成联合体的，投标文件不包括本章第 3.1.1（3）目所指的联合体协议书。 </w:t>
      </w:r>
    </w:p>
    <w:p w14:paraId="79B16CDF">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3.1.3 投标人须知前附表未要求提交投标保证金的，投标文件不包括本章第 3.1.1（4）目所指的投标保证金。 </w:t>
      </w:r>
    </w:p>
    <w:p w14:paraId="6394FEF1">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3.1.4 投标文件工程量清单制作见投标人须知前附表。 </w:t>
      </w:r>
    </w:p>
    <w:p w14:paraId="0C29693D">
      <w:pPr>
        <w:pStyle w:val="9"/>
        <w:spacing w:line="400" w:lineRule="exact"/>
        <w:outlineLvl w:val="3"/>
        <w:rPr>
          <w:rFonts w:ascii="宋体" w:hAnsi="宋体"/>
          <w:b/>
          <w:bCs/>
          <w:color w:val="auto"/>
          <w:highlight w:val="none"/>
        </w:rPr>
      </w:pPr>
      <w:r>
        <w:rPr>
          <w:rFonts w:hint="eastAsia" w:ascii="宋体" w:hAnsi="宋体"/>
          <w:b/>
          <w:bCs/>
          <w:color w:val="auto"/>
          <w:highlight w:val="none"/>
        </w:rPr>
        <w:t>3.2 投标报价</w:t>
      </w:r>
    </w:p>
    <w:p w14:paraId="135FD65A">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3.2.1 投标报价应包括国家规定的增值税税金，除投标人须知前附表另有规定外，增值税税金按一般计税方法计算。投标人应按第八章“投标文件格式”的要求在报价函中进行报价并填写工程量清单相应表格。 </w:t>
      </w:r>
    </w:p>
    <w:p w14:paraId="580EE694">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工程量清单的填写分下列两种方式。投标人应按投标人须知前附表规定的方式填写工程量清单。 </w:t>
      </w:r>
    </w:p>
    <w:p w14:paraId="654E4468">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1）本项目招标采用工程量固化清单，招标人向投标人提供工程量固化清单电子文件，投标人填写工程量清单中各子目的单价及总额价，即可完成投标工程量清单的编制，确定投标报价，并打印出投标工程量清单，编入投标文件。投标人未在工程量清单中填入单价或总额价的工程子目，将被认为其已包含在工程量清单其他子目的单价和总额价中，招标人将不予支付。 </w:t>
      </w:r>
    </w:p>
    <w:p w14:paraId="5C178998">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投标人必须严格遵循工程量固化清单电子文件中的数据、格式及运算定义。严禁投标人修改工程量固化清单电子文件中的数据、格式及运算定义。</w:t>
      </w:r>
    </w:p>
    <w:p w14:paraId="446F9107">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投标人根据招标人提供的工程量固化清单电子文件填报完成并打印的投标工程量清单中的投标报价和报价函大写金额报价应一致，如果报价金额出现差异，其投标将被否决。 </w:t>
      </w:r>
    </w:p>
    <w:p w14:paraId="0E7008F6">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2）本项目招标由招标人提供书面工程量清单（电子版），由投标人按照招标人提供的工程量清单填写本合同各工程子目的单价、合价和总额价。评标委员会将按照第三章“评标办法”的规定对投标价进行算术性错误修正及其他错误修正。 </w:t>
      </w:r>
    </w:p>
    <w:p w14:paraId="2061A597">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3.2.2 投标人应充分了解本项目的总体情况以及影响投标报价的其他要素。 </w:t>
      </w:r>
    </w:p>
    <w:p w14:paraId="07DF603B">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3.2.3 本项目的报价方式见投标人须知前附表。投标人在投标截止时间前修改报价函中的投标总报价，应同时修改投标文件“已标价工程量清单”中的相应报价。此修改须符合本章第 4.3 款的有关要求。 </w:t>
      </w:r>
    </w:p>
    <w:p w14:paraId="68626001">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3.2.4 投标人如果发现工程量清单中的数量与图纸数量不一致时，应立即通知招标人核查，除非招标人以书面方式予以更正，否则，应以工程量清单中列出的数量为准。 </w:t>
      </w:r>
    </w:p>
    <w:p w14:paraId="26454001">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3.2.5 投标人应根据《公路水运工程安全生产监督管理办法》，在投标总价中计入安全生产费，安全生产费应符合合同条款第 9.2.5 项的规定。工程量清单 100 章内列有上述安全生产费的支付子目，由投标人按招标文件的规定填写总额价。 </w:t>
      </w:r>
    </w:p>
    <w:p w14:paraId="54766AAB">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3.2.6 招标人不接受调价函。 </w:t>
      </w:r>
    </w:p>
    <w:p w14:paraId="26AFA831">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3.2.7 在合同实施期间，投标人填写的单价、合价和总额价是否由于物价波动进行价格调整按照合同条款第 16.1 款的规定处理。如果按照合同条款第 16.1.1 项的规定采用价格调整公式进行价格调整，由招标人根据项目实际情况测算确定价格调整公式中的变值权重范围，并在投标函附录价格指数和权重表中约定范围；投标人在此范围内填写各可调因子的权重，合同实施期间将按此权重进行调价。 </w:t>
      </w:r>
    </w:p>
    <w:p w14:paraId="7EAE224E">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3.2.8 招标人设有最高投标限价，最高投标限价的计算方法见投标人须知前附表。</w:t>
      </w:r>
    </w:p>
    <w:p w14:paraId="2B138C13">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3.2.9 投标报价的其他要求见投标人须知前附表。 </w:t>
      </w:r>
    </w:p>
    <w:p w14:paraId="2AEA79CB">
      <w:pPr>
        <w:pStyle w:val="9"/>
        <w:spacing w:line="400" w:lineRule="exact"/>
        <w:outlineLvl w:val="3"/>
        <w:rPr>
          <w:rFonts w:ascii="宋体" w:hAnsi="宋体"/>
          <w:b/>
          <w:bCs/>
          <w:color w:val="auto"/>
          <w:highlight w:val="none"/>
        </w:rPr>
      </w:pPr>
      <w:r>
        <w:rPr>
          <w:rFonts w:hint="eastAsia" w:ascii="宋体" w:hAnsi="宋体"/>
          <w:b/>
          <w:bCs/>
          <w:color w:val="auto"/>
          <w:highlight w:val="none"/>
        </w:rPr>
        <w:t>3.3 投标有效期</w:t>
      </w:r>
    </w:p>
    <w:p w14:paraId="1CE25D35">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3.3.1 除投标人须知前附表另有规定外，投标有效期为 90 日。 </w:t>
      </w:r>
    </w:p>
    <w:p w14:paraId="7BCAA5F4">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3.3.2 在投标有效期内，投标人撤销投标文件的，应承担招标文件和法律规定的责任。 </w:t>
      </w:r>
    </w:p>
    <w:p w14:paraId="07C8CA11">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3.3.3 出现特殊情况需要延长投标有效期的，招标人以书面形式通知所有投标人延长投标有效期。投标人应予以书面答复，同意延长的，应相应延长其投标保证金的有效期，但不得要求或被允许修改其投标文件；投标人拒绝延长的，其投标失效，但投标人有权收回其投标保证金及以现金或支票形式递交的投标保证金的银行同期活期存款利息。</w:t>
      </w:r>
    </w:p>
    <w:p w14:paraId="14FB7456">
      <w:pPr>
        <w:pStyle w:val="9"/>
        <w:spacing w:line="400" w:lineRule="exact"/>
        <w:outlineLvl w:val="3"/>
        <w:rPr>
          <w:rFonts w:ascii="宋体" w:hAnsi="宋体"/>
          <w:b/>
          <w:bCs/>
          <w:color w:val="auto"/>
          <w:highlight w:val="none"/>
        </w:rPr>
      </w:pPr>
      <w:r>
        <w:rPr>
          <w:rFonts w:hint="eastAsia" w:ascii="宋体" w:hAnsi="宋体"/>
          <w:b/>
          <w:bCs/>
          <w:color w:val="auto"/>
          <w:highlight w:val="none"/>
        </w:rPr>
        <w:t>3.4 投标保证金</w:t>
      </w:r>
    </w:p>
    <w:p w14:paraId="6EDA03D5">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3.4.1 投标人在递交投标文件的同时，应按投标人须知前附表规定的金额、担保形式和第八章“投标文件格式”规定的投标保证金格式递交投标保证金，并作为其投标文件的组成部分。联合体投标的，其投标保证金由牵头人递交，并应符合投标人须知前附表的规定。 </w:t>
      </w:r>
    </w:p>
    <w:p w14:paraId="17F9D4B3">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3.4.2 投标人不按本章第 3.4.1 项要求提交投标保证金的，评标委员会将否决其投标。 </w:t>
      </w:r>
    </w:p>
    <w:p w14:paraId="0FC80006">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3.4.3 投标保证金的退还见投标人须知前附表。 </w:t>
      </w:r>
    </w:p>
    <w:p w14:paraId="560C673C">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3.4.4 投标保证金不予退还的情形见投标人须知前附表。 </w:t>
      </w:r>
    </w:p>
    <w:p w14:paraId="4B114793">
      <w:pPr>
        <w:pStyle w:val="9"/>
        <w:spacing w:line="400" w:lineRule="exact"/>
        <w:outlineLvl w:val="3"/>
        <w:rPr>
          <w:rFonts w:ascii="宋体" w:hAnsi="宋体"/>
          <w:b/>
          <w:bCs/>
          <w:color w:val="auto"/>
          <w:highlight w:val="none"/>
        </w:rPr>
      </w:pPr>
      <w:r>
        <w:rPr>
          <w:rFonts w:hint="eastAsia" w:ascii="宋体" w:hAnsi="宋体"/>
          <w:b/>
          <w:bCs/>
          <w:color w:val="auto"/>
          <w:highlight w:val="none"/>
        </w:rPr>
        <w:t>3.5 资格审查资料</w:t>
      </w:r>
    </w:p>
    <w:p w14:paraId="519ECB3D">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除投标人须知前附表另有规定外，投标人应按下列规定提供资格审查资料，以证明其满足本章第 1.4 款规定的资质、财务、业绩、信誉等要求。 </w:t>
      </w:r>
    </w:p>
    <w:p w14:paraId="1AE91C24">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3.5.1 “投标人基本情况表”应附资料见投标人须知前附表。 </w:t>
      </w:r>
    </w:p>
    <w:p w14:paraId="3F10BF60">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3.5.2 若投标人须知前附表要求提供“近年财务状况表”，则“近年财务状况表”应附会计师事务所或审计机构审计的财务会计报表，包括资产负债表、现金流量表、利润表和财务情况说明书的扫描件，具体年份要求见投标人须知前附表。投标人的成立时间少于投标人须知前附表规定年份的，应提供成立以来的财务状况表。</w:t>
      </w:r>
    </w:p>
    <w:p w14:paraId="6A2E96F2">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3.5.3 “近年完成的类似项目情况表”具体年份及需附资料及要求见投标人须知前附表。每张表格只填写一个项目，并标明序号。 </w:t>
      </w:r>
    </w:p>
    <w:p w14:paraId="47D31618">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3.5.4 “投标人的信誉情况表”应附投标人在国家企业信用信息公示系统中未被列入严重违法失信企业名单、在“信用中国”网站中未被列入失信被执行人名单的网页截图。 </w:t>
      </w:r>
    </w:p>
    <w:p w14:paraId="7243F9BF">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3.5.5 “拟委任的项目经理、项目技术负责人和安全负责人资历表”应附资料及要求见投标人须知前附表。 </w:t>
      </w:r>
    </w:p>
    <w:p w14:paraId="6F6B1145">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3.5.6 “拟委任的其他主要管理人员和技术人员汇总表”（如有）应填报满足投标人须知前附表附录 6 规定的其他人员的相关信息。“拟委任的其他主要管理人员和技术人员汇总表”（如有）需附资料及要求见投标人须知前附表。 </w:t>
      </w:r>
    </w:p>
    <w:p w14:paraId="24252E54">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3.5.7 “拟投入本标段的主要机械设备和试验检测设备表”（如有）应填报满足投标人须知前附表附录 7 规定的机械设备和试验检测设备。 </w:t>
      </w:r>
    </w:p>
    <w:p w14:paraId="60E22433">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3.5.8 投标人须知前附表规定接受联合体投标的，本章第 3.5.1 项至第 3.5.7 项规定的表格和资料应包括联合体各方相关情况。 </w:t>
      </w:r>
    </w:p>
    <w:p w14:paraId="3C4F7AAE">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3.5.9 除合同条款约定的特殊情形外，投标人在投标文件中填报的项目经理和项目技术负责人不允许更换。 </w:t>
      </w:r>
    </w:p>
    <w:p w14:paraId="26E860D0">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3.5.10 投标人在投标文件中填报的资质、业绩、主要人员资历和目前在岗情况、信用等级等信息，应与其在浙江省交通运输信用综合管理服务系统上填报并发布的相关信息一致。投标人应根据本单位实际情况及时完成相关信息的申报、录入和动态更新，并对相关信息的真实性、完整性和准确性负责。 </w:t>
      </w:r>
    </w:p>
    <w:p w14:paraId="7EC96D4A">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3.5.11 招标人有权核查投标人在投标文件中提供的材料，若在评标期间发现投标人提供了虚假资料，其投标将被否决；若在签订合同前发现作为中标候选人的投标人提供了虚假资料，招标人有权取消其中标资格；若在合同实施期间发现投标人提供了虚假资料，招标人有权从工程支付款或履约保证金中扣除不超过 2％的签约合同价的金额作为违约金。同时招标人将投标人以上弄虚作假行为上报浙江省交通运输厅。 </w:t>
      </w:r>
    </w:p>
    <w:p w14:paraId="5A23BA90">
      <w:pPr>
        <w:pStyle w:val="9"/>
        <w:spacing w:line="400" w:lineRule="exact"/>
        <w:outlineLvl w:val="3"/>
        <w:rPr>
          <w:rFonts w:ascii="宋体" w:hAnsi="宋体"/>
          <w:b/>
          <w:bCs/>
          <w:color w:val="auto"/>
          <w:highlight w:val="none"/>
        </w:rPr>
      </w:pPr>
      <w:r>
        <w:rPr>
          <w:rFonts w:hint="eastAsia" w:ascii="宋体" w:hAnsi="宋体"/>
          <w:b/>
          <w:bCs/>
          <w:color w:val="auto"/>
          <w:highlight w:val="none"/>
        </w:rPr>
        <w:t>3.6 备选投标方案</w:t>
      </w:r>
    </w:p>
    <w:p w14:paraId="1C988FA8">
      <w:pPr>
        <w:pStyle w:val="9"/>
        <w:spacing w:line="400" w:lineRule="exact"/>
        <w:ind w:firstLine="420" w:firstLineChars="200"/>
        <w:rPr>
          <w:rFonts w:hint="eastAsia" w:ascii="宋体" w:hAnsi="宋体"/>
          <w:color w:val="auto"/>
          <w:szCs w:val="21"/>
          <w:highlight w:val="none"/>
        </w:rPr>
      </w:pPr>
      <w:r>
        <w:rPr>
          <w:rFonts w:hint="eastAsia" w:ascii="宋体" w:hAnsi="宋体" w:eastAsia="宋体"/>
          <w:color w:val="auto"/>
          <w:szCs w:val="21"/>
          <w:highlight w:val="none"/>
          <w:lang w:val="en-US" w:eastAsia="zh-CN"/>
        </w:rPr>
        <w:t>3.6.1</w:t>
      </w:r>
      <w:r>
        <w:rPr>
          <w:rFonts w:hint="eastAsia" w:ascii="宋体" w:hAnsi="宋体"/>
          <w:color w:val="auto"/>
          <w:szCs w:val="21"/>
          <w:highlight w:val="none"/>
        </w:rPr>
        <w:t>除投标人须知前附表另有规定外，投标人不得递交备选投标方案</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lang w:val="en-US" w:eastAsia="zh-CN"/>
        </w:rPr>
        <w:t>否则其投标将被否决</w:t>
      </w:r>
      <w:r>
        <w:rPr>
          <w:rFonts w:hint="eastAsia" w:ascii="宋体" w:hAnsi="宋体"/>
          <w:color w:val="auto"/>
          <w:szCs w:val="21"/>
          <w:highlight w:val="none"/>
        </w:rPr>
        <w:t>。</w:t>
      </w:r>
    </w:p>
    <w:p w14:paraId="4FD9FED1">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3.6.2 允许投标人递交备选投标方案的，只有中标人所递交的备选投标方案方可予以考虑。评标委员会认为中标人的备选投标方案优于其按照招标文件要求编制的投标方案的，招标人可以接受该备选投标方案。</w:t>
      </w:r>
    </w:p>
    <w:p w14:paraId="729A690D">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3.6.3 投标人提供两个或两个以上投标报价，或在投标文件中提供一个报价，但同时提供两个或两个以上施工组织设计的，视为提供备选方案。</w:t>
      </w:r>
    </w:p>
    <w:p w14:paraId="61BDC8DA">
      <w:pPr>
        <w:pStyle w:val="9"/>
        <w:spacing w:line="400" w:lineRule="exact"/>
        <w:outlineLvl w:val="3"/>
        <w:rPr>
          <w:rFonts w:ascii="宋体" w:hAnsi="宋体"/>
          <w:b/>
          <w:bCs/>
          <w:color w:val="auto"/>
          <w:highlight w:val="none"/>
        </w:rPr>
      </w:pPr>
      <w:r>
        <w:rPr>
          <w:rFonts w:hint="eastAsia" w:ascii="宋体" w:hAnsi="宋体"/>
          <w:b/>
          <w:bCs/>
          <w:color w:val="auto"/>
          <w:highlight w:val="none"/>
        </w:rPr>
        <w:t>3.7 投标文件的编制</w:t>
      </w:r>
    </w:p>
    <w:p w14:paraId="539F310A">
      <w:pPr>
        <w:pStyle w:val="9"/>
        <w:spacing w:line="400" w:lineRule="exact"/>
        <w:ind w:firstLine="420" w:firstLineChars="200"/>
        <w:rPr>
          <w:rFonts w:hint="eastAsia" w:ascii="宋体" w:hAnsi="宋体" w:eastAsia="Times New Roman" w:cs="Times New Roman"/>
          <w:color w:val="auto"/>
          <w:szCs w:val="21"/>
          <w:highlight w:val="none"/>
          <w:lang w:val="en-US" w:eastAsia="zh-CN"/>
        </w:rPr>
      </w:pPr>
      <w:bookmarkStart w:id="86" w:name="EB8d62a95d34e947bbb80ed207226c3b4e"/>
      <w:r>
        <w:rPr>
          <w:rFonts w:hint="eastAsia" w:ascii="宋体" w:hAnsi="宋体" w:eastAsia="Times New Roman" w:cs="Times New Roman"/>
          <w:color w:val="auto"/>
          <w:szCs w:val="21"/>
          <w:highlight w:val="none"/>
          <w:lang w:val="en-US" w:eastAsia="zh-CN"/>
        </w:rPr>
        <w:t xml:space="preserve">3.7.1 投标文件应按第八章“投标文件格式”进行编写，如有必要，可以增加附页，作为投标文件的组成部分。其中，投标函附录在满足招标文件实质性要求的基础上，可以提出比招标文件要求更有利于招标人的承诺。 </w:t>
      </w:r>
    </w:p>
    <w:p w14:paraId="27F35656">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3.7.2 投标文件应当对招标文件有关工期、投标有效期、质量要求、安全目标、技术标准和要求、招标范围等实质性内容作出响应。 </w:t>
      </w:r>
    </w:p>
    <w:p w14:paraId="0F6B3A06">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3.7.3 投标文件的制作应符合投标人须知前附表的规定。 </w:t>
      </w:r>
    </w:p>
    <w:p w14:paraId="3475D397">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3.7.4 因投标人自身原因而导致投标文件无法导入“电子交易平台”电子开标、评标系统，该投标视为无效投标，投标人自行承担由此导致的全部责任。投标人在投标截止时间上传至“电子交易平台”的电子投标文件为投标文件的正本。 </w:t>
      </w:r>
    </w:p>
    <w:p w14:paraId="0A6EBC2E">
      <w:pPr>
        <w:pStyle w:val="9"/>
        <w:spacing w:line="400" w:lineRule="exact"/>
        <w:ind w:firstLine="420" w:firstLineChars="200"/>
        <w:rPr>
          <w:color w:val="auto"/>
          <w:highlight w:val="none"/>
        </w:rPr>
      </w:pPr>
      <w:r>
        <w:rPr>
          <w:rFonts w:hint="eastAsia" w:ascii="宋体" w:hAnsi="宋体" w:eastAsia="Times New Roman" w:cs="Times New Roman"/>
          <w:color w:val="auto"/>
          <w:szCs w:val="21"/>
          <w:highlight w:val="none"/>
          <w:lang w:val="en-US" w:eastAsia="zh-CN"/>
        </w:rPr>
        <w:t xml:space="preserve">3.7.5 投标时无须提供纸质投标文件，但如招标人要求，中标人应按要求提供纸质投标文件副本，纸质投标文件应为电子投标文件的打印件。 </w:t>
      </w:r>
      <w:r>
        <w:rPr>
          <w:rFonts w:hint="eastAsia"/>
          <w:color w:val="auto"/>
          <w:sz w:val="20"/>
          <w:highlight w:val="none"/>
        </w:rPr>
        <w:t xml:space="preserve"> </w:t>
      </w:r>
      <w:bookmarkEnd w:id="86"/>
      <w:bookmarkStart w:id="87" w:name="EBb151a70b4d9d4a71b0d64ebbe3272a60"/>
      <w:r>
        <w:rPr>
          <w:rFonts w:hint="eastAsia"/>
          <w:color w:val="auto"/>
          <w:sz w:val="20"/>
          <w:highlight w:val="none"/>
        </w:rPr>
        <w:t xml:space="preserve"> </w:t>
      </w:r>
      <w:bookmarkEnd w:id="87"/>
    </w:p>
    <w:p w14:paraId="185F8595">
      <w:pPr>
        <w:pStyle w:val="9"/>
        <w:spacing w:line="400" w:lineRule="exact"/>
        <w:outlineLvl w:val="2"/>
        <w:rPr>
          <w:rFonts w:ascii="宋体" w:hAnsi="宋体"/>
          <w:b/>
          <w:color w:val="auto"/>
          <w:sz w:val="24"/>
          <w:szCs w:val="24"/>
          <w:highlight w:val="none"/>
        </w:rPr>
      </w:pPr>
      <w:bookmarkStart w:id="88" w:name="_Toc27644"/>
      <w:r>
        <w:rPr>
          <w:rFonts w:hint="eastAsia" w:ascii="宋体" w:hAnsi="宋体"/>
          <w:b/>
          <w:color w:val="auto"/>
          <w:sz w:val="24"/>
          <w:szCs w:val="24"/>
          <w:highlight w:val="none"/>
        </w:rPr>
        <w:t>4. 投标</w:t>
      </w:r>
      <w:bookmarkEnd w:id="88"/>
    </w:p>
    <w:p w14:paraId="0C19D099">
      <w:pPr>
        <w:pStyle w:val="9"/>
        <w:spacing w:line="400" w:lineRule="exact"/>
        <w:outlineLvl w:val="3"/>
        <w:rPr>
          <w:rFonts w:ascii="宋体" w:hAnsi="宋体"/>
          <w:b/>
          <w:bCs/>
          <w:color w:val="auto"/>
          <w:highlight w:val="none"/>
        </w:rPr>
      </w:pPr>
      <w:r>
        <w:rPr>
          <w:rFonts w:hint="eastAsia" w:ascii="宋体" w:hAnsi="宋体"/>
          <w:b/>
          <w:bCs/>
          <w:color w:val="auto"/>
          <w:highlight w:val="none"/>
        </w:rPr>
        <w:t>4.1 投标文件的密封和标识</w:t>
      </w:r>
    </w:p>
    <w:p w14:paraId="60CF7726">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投标文件应按照本章第 3.7.3 项要求制作并加密，未按要求加密的投标文件，招标人（“电子交易平台”）将拒绝接收并提示。 </w:t>
      </w:r>
    </w:p>
    <w:p w14:paraId="65E0F0EF">
      <w:pPr>
        <w:pStyle w:val="9"/>
        <w:spacing w:line="400" w:lineRule="exact"/>
        <w:outlineLvl w:val="3"/>
        <w:rPr>
          <w:rFonts w:ascii="宋体" w:hAnsi="宋体"/>
          <w:b/>
          <w:bCs/>
          <w:color w:val="auto"/>
          <w:highlight w:val="none"/>
        </w:rPr>
      </w:pPr>
      <w:r>
        <w:rPr>
          <w:rFonts w:hint="eastAsia" w:ascii="宋体" w:hAnsi="宋体"/>
          <w:b/>
          <w:bCs/>
          <w:color w:val="auto"/>
          <w:highlight w:val="none"/>
        </w:rPr>
        <w:t>4.2 投标文件的递交</w:t>
      </w:r>
    </w:p>
    <w:p w14:paraId="73A94877">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4.2.1 投标人应在第一章“招标公告”规定的投标截止时间前，通过互联网使用 CA 数字证书登录“电子交易平台”，将加密的投标文件上传，并保存上传成功后系统自动生成的电子签收凭证，递交时间即为电子签收凭证时间。投标人应充分考虑上传文件时的不可预见因素，未在投标截止时间前完成上传的，视为逾期送达，招标人（“电子交易平台”）将拒绝接收。 </w:t>
      </w:r>
    </w:p>
    <w:p w14:paraId="3460876A">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4.2.2 递交投标文件方式和地点：见投标人须知前附表。 </w:t>
      </w:r>
    </w:p>
    <w:p w14:paraId="58AD0E89">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4.2.3 是否退还投标文件：见投标人须知前附表。 </w:t>
      </w:r>
    </w:p>
    <w:p w14:paraId="5BAA1CA6">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4.2.4 投标文件不予受理的情形：见投标人须知前附表。</w:t>
      </w:r>
    </w:p>
    <w:p w14:paraId="193813AF">
      <w:pPr>
        <w:pStyle w:val="9"/>
        <w:spacing w:line="400" w:lineRule="exact"/>
        <w:outlineLvl w:val="3"/>
        <w:rPr>
          <w:rFonts w:ascii="宋体" w:hAnsi="宋体"/>
          <w:b/>
          <w:bCs/>
          <w:color w:val="auto"/>
          <w:highlight w:val="none"/>
        </w:rPr>
      </w:pPr>
      <w:r>
        <w:rPr>
          <w:rFonts w:hint="eastAsia" w:ascii="宋体" w:hAnsi="宋体"/>
          <w:b/>
          <w:bCs/>
          <w:color w:val="auto"/>
          <w:highlight w:val="none"/>
        </w:rPr>
        <w:t>4.3 投标文件的修改与撤回</w:t>
      </w:r>
    </w:p>
    <w:p w14:paraId="72FE1997">
      <w:pPr>
        <w:pStyle w:val="9"/>
        <w:spacing w:line="400" w:lineRule="exact"/>
        <w:ind w:firstLine="420" w:firstLineChars="200"/>
        <w:rPr>
          <w:rFonts w:hint="eastAsia" w:ascii="宋体" w:hAnsi="宋体" w:eastAsia="Times New Roman" w:cs="Times New Roman"/>
          <w:color w:val="auto"/>
          <w:szCs w:val="21"/>
          <w:highlight w:val="none"/>
          <w:lang w:val="en-US" w:eastAsia="zh-CN"/>
        </w:rPr>
      </w:pPr>
      <w:bookmarkStart w:id="89" w:name="EB46e8bd2c32b34847af27cdd993381f6e"/>
      <w:r>
        <w:rPr>
          <w:rFonts w:hint="eastAsia" w:ascii="宋体" w:hAnsi="宋体" w:eastAsia="Times New Roman" w:cs="Times New Roman"/>
          <w:color w:val="auto"/>
          <w:szCs w:val="21"/>
          <w:highlight w:val="none"/>
          <w:lang w:val="en-US" w:eastAsia="zh-CN"/>
        </w:rPr>
        <w:t xml:space="preserve">4.3.1 在本章第 4.2.1 项规定的投标截止时间前，投标人可以修改或撤回已递交的投标文件。投标人对加密的投标文件进行撤回的，应在“电子交易平台”直接进行撤回操作；投标人对加密的投标文件进行修改的，应在投标截止时间前完成上传。 </w:t>
      </w:r>
    </w:p>
    <w:p w14:paraId="5BC719AA">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4.3.2 投标人修改投标文件的，应使用“投标文件制作工具”制作成完整的投标文件，并按照本章第 3 条、第 4 条规定进行编制、加密和递交。对采用网上递交的加密的投标文件，以投标截止时间前最后完成上传的文件为准。 </w:t>
      </w:r>
    </w:p>
    <w:p w14:paraId="2056AE3D">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4.3.3 投标人撤回投标文件的，招标人自收到投标人书面撤回通知之日起 5 日内退还已收取的投标保证金。  </w:t>
      </w:r>
      <w:bookmarkEnd w:id="89"/>
      <w:bookmarkStart w:id="90" w:name="EBb39061a6f6644371bc8856436616350a"/>
      <w:r>
        <w:rPr>
          <w:rFonts w:hint="eastAsia" w:ascii="宋体" w:hAnsi="宋体" w:eastAsia="Times New Roman" w:cs="Times New Roman"/>
          <w:color w:val="auto"/>
          <w:szCs w:val="21"/>
          <w:highlight w:val="none"/>
          <w:lang w:val="en-US" w:eastAsia="zh-CN"/>
        </w:rPr>
        <w:t xml:space="preserve"> </w:t>
      </w:r>
      <w:bookmarkEnd w:id="90"/>
    </w:p>
    <w:p w14:paraId="395D8BE2">
      <w:pPr>
        <w:pStyle w:val="9"/>
        <w:spacing w:line="400" w:lineRule="exact"/>
        <w:outlineLvl w:val="2"/>
        <w:rPr>
          <w:rFonts w:ascii="宋体" w:hAnsi="宋体"/>
          <w:b/>
          <w:color w:val="auto"/>
          <w:sz w:val="24"/>
          <w:szCs w:val="24"/>
          <w:highlight w:val="none"/>
        </w:rPr>
      </w:pPr>
      <w:bookmarkStart w:id="91" w:name="_Toc27479"/>
      <w:r>
        <w:rPr>
          <w:rFonts w:hint="eastAsia" w:ascii="宋体" w:hAnsi="宋体"/>
          <w:b/>
          <w:color w:val="auto"/>
          <w:sz w:val="24"/>
          <w:szCs w:val="24"/>
          <w:highlight w:val="none"/>
        </w:rPr>
        <w:t>5. 开标</w:t>
      </w:r>
      <w:bookmarkEnd w:id="91"/>
    </w:p>
    <w:p w14:paraId="38F0DC18">
      <w:pPr>
        <w:pStyle w:val="9"/>
        <w:spacing w:line="400" w:lineRule="exact"/>
        <w:outlineLvl w:val="3"/>
        <w:rPr>
          <w:rFonts w:hint="default" w:ascii="宋体" w:hAnsi="宋体" w:eastAsia="宋体"/>
          <w:b/>
          <w:bCs/>
          <w:color w:val="auto"/>
          <w:highlight w:val="none"/>
          <w:lang w:val="en-US" w:eastAsia="zh-CN"/>
        </w:rPr>
      </w:pPr>
      <w:r>
        <w:rPr>
          <w:rFonts w:hint="eastAsia" w:ascii="宋体" w:hAnsi="宋体"/>
          <w:b/>
          <w:bCs/>
          <w:color w:val="auto"/>
          <w:highlight w:val="none"/>
        </w:rPr>
        <w:t>5.1 开标时间</w:t>
      </w:r>
      <w:r>
        <w:rPr>
          <w:rFonts w:hint="eastAsia" w:ascii="宋体" w:hAnsi="宋体" w:eastAsia="宋体"/>
          <w:b/>
          <w:bCs/>
          <w:color w:val="auto"/>
          <w:highlight w:val="none"/>
          <w:lang w:eastAsia="zh-CN"/>
        </w:rPr>
        <w:t>、</w:t>
      </w:r>
      <w:r>
        <w:rPr>
          <w:rFonts w:hint="eastAsia" w:ascii="宋体" w:hAnsi="宋体"/>
          <w:b/>
          <w:bCs/>
          <w:color w:val="auto"/>
          <w:highlight w:val="none"/>
        </w:rPr>
        <w:t>地点</w:t>
      </w:r>
      <w:r>
        <w:rPr>
          <w:rFonts w:hint="eastAsia" w:ascii="宋体" w:hAnsi="宋体" w:eastAsia="宋体"/>
          <w:b/>
          <w:bCs/>
          <w:color w:val="auto"/>
          <w:highlight w:val="none"/>
          <w:lang w:val="en-US" w:eastAsia="zh-CN"/>
        </w:rPr>
        <w:t>及要求</w:t>
      </w:r>
    </w:p>
    <w:p w14:paraId="6577143F">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招标人在本章第 4.2.1 项规定的投标截止时间（开标时间）和投标人须知前附表规定的地点对收到的投标文件第一信封（商务及养护工程作业方案）公开开标，并邀请所有投标人的法定代表人或其委托代理人准时参加。 </w:t>
      </w:r>
    </w:p>
    <w:p w14:paraId="15996E5E">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招标人在投标人须知前附表规定的时间和地点对投标文件第二信封（报价文件）进行开标，并邀请所有投标人的法定代表人或其委托代理人准时参加。 </w:t>
      </w:r>
    </w:p>
    <w:p w14:paraId="5B364489">
      <w:pPr>
        <w:pStyle w:val="9"/>
        <w:spacing w:line="400" w:lineRule="exact"/>
        <w:ind w:firstLine="420" w:firstLineChars="200"/>
        <w:rPr>
          <w:rFonts w:ascii="宋体" w:hAnsi="宋体"/>
          <w:color w:val="auto"/>
          <w:szCs w:val="21"/>
          <w:highlight w:val="none"/>
        </w:rPr>
      </w:pPr>
      <w:r>
        <w:rPr>
          <w:rFonts w:hint="eastAsia" w:ascii="宋体" w:hAnsi="宋体" w:eastAsia="Times New Roman" w:cs="Times New Roman"/>
          <w:color w:val="auto"/>
          <w:szCs w:val="21"/>
          <w:highlight w:val="none"/>
          <w:lang w:val="en-US" w:eastAsia="zh-CN"/>
        </w:rPr>
        <w:t>投标人若未派法定代表人或委托代理人出席开标活动，视为该投标人默认开标结果。</w:t>
      </w:r>
    </w:p>
    <w:p w14:paraId="4634AEF8">
      <w:pPr>
        <w:pStyle w:val="9"/>
        <w:spacing w:line="400" w:lineRule="exact"/>
        <w:outlineLvl w:val="3"/>
        <w:rPr>
          <w:rFonts w:hint="eastAsia" w:ascii="宋体" w:hAnsi="宋体"/>
          <w:b/>
          <w:bCs/>
          <w:color w:val="auto"/>
          <w:highlight w:val="none"/>
        </w:rPr>
      </w:pPr>
      <w:r>
        <w:rPr>
          <w:rFonts w:hint="eastAsia" w:ascii="宋体" w:hAnsi="宋体"/>
          <w:b/>
          <w:bCs/>
          <w:color w:val="auto"/>
          <w:highlight w:val="none"/>
        </w:rPr>
        <w:t xml:space="preserve">5.2 开标程序 </w:t>
      </w:r>
    </w:p>
    <w:p w14:paraId="52F2BDEE">
      <w:pPr>
        <w:pStyle w:val="9"/>
        <w:spacing w:line="400" w:lineRule="exact"/>
        <w:ind w:firstLine="420" w:firstLineChars="200"/>
        <w:rPr>
          <w:color w:val="auto"/>
          <w:highlight w:val="none"/>
        </w:rPr>
      </w:pPr>
      <w:r>
        <w:rPr>
          <w:rFonts w:hint="eastAsia" w:ascii="宋体" w:hAnsi="宋体"/>
          <w:color w:val="auto"/>
          <w:szCs w:val="21"/>
          <w:highlight w:val="none"/>
        </w:rPr>
        <w:t>开标程序见投标人须知前附表。</w:t>
      </w:r>
      <w:r>
        <w:rPr>
          <w:color w:val="auto"/>
          <w:szCs w:val="24"/>
          <w:highlight w:val="none"/>
        </w:rPr>
        <w:t xml:space="preserve">   </w:t>
      </w:r>
    </w:p>
    <w:p w14:paraId="6E304DC8">
      <w:pPr>
        <w:pStyle w:val="9"/>
        <w:spacing w:line="400" w:lineRule="exact"/>
        <w:outlineLvl w:val="2"/>
        <w:rPr>
          <w:rFonts w:ascii="宋体" w:hAnsi="宋体"/>
          <w:b/>
          <w:color w:val="auto"/>
          <w:sz w:val="24"/>
          <w:szCs w:val="24"/>
          <w:highlight w:val="none"/>
        </w:rPr>
      </w:pPr>
      <w:bookmarkStart w:id="92" w:name="_Toc8327"/>
      <w:r>
        <w:rPr>
          <w:rFonts w:hint="eastAsia" w:ascii="宋体" w:hAnsi="宋体"/>
          <w:b/>
          <w:color w:val="auto"/>
          <w:sz w:val="24"/>
          <w:szCs w:val="24"/>
          <w:highlight w:val="none"/>
        </w:rPr>
        <w:t>6. 评标</w:t>
      </w:r>
      <w:bookmarkEnd w:id="92"/>
    </w:p>
    <w:p w14:paraId="57764545">
      <w:pPr>
        <w:pStyle w:val="9"/>
        <w:spacing w:line="400" w:lineRule="exact"/>
        <w:outlineLvl w:val="3"/>
        <w:rPr>
          <w:rFonts w:ascii="宋体" w:hAnsi="宋体"/>
          <w:b/>
          <w:bCs/>
          <w:color w:val="auto"/>
          <w:highlight w:val="none"/>
        </w:rPr>
      </w:pPr>
      <w:r>
        <w:rPr>
          <w:rFonts w:hint="eastAsia" w:ascii="宋体" w:hAnsi="宋体"/>
          <w:b/>
          <w:bCs/>
          <w:color w:val="auto"/>
          <w:highlight w:val="none"/>
        </w:rPr>
        <w:t>6.1 评标委员会</w:t>
      </w:r>
    </w:p>
    <w:p w14:paraId="2EE9128F">
      <w:pPr>
        <w:pStyle w:val="9"/>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6.1.1 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7A09E58C">
      <w:pPr>
        <w:pStyle w:val="9"/>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6.1.2 评标委员会成员有下列情形之一的，应当</w:t>
      </w:r>
      <w:r>
        <w:rPr>
          <w:rFonts w:hint="eastAsia" w:ascii="宋体" w:hAnsi="宋体" w:eastAsia="宋体"/>
          <w:color w:val="auto"/>
          <w:szCs w:val="21"/>
          <w:highlight w:val="none"/>
          <w:lang w:val="en-US" w:eastAsia="zh-CN"/>
        </w:rPr>
        <w:t>主动提出</w:t>
      </w:r>
      <w:r>
        <w:rPr>
          <w:rFonts w:hint="eastAsia" w:ascii="宋体" w:hAnsi="宋体"/>
          <w:color w:val="auto"/>
          <w:szCs w:val="21"/>
          <w:highlight w:val="none"/>
        </w:rPr>
        <w:t>回避：</w:t>
      </w:r>
    </w:p>
    <w:p w14:paraId="10348905">
      <w:pPr>
        <w:pStyle w:val="9"/>
        <w:spacing w:line="400" w:lineRule="exact"/>
        <w:ind w:firstLine="420" w:firstLineChars="200"/>
        <w:rPr>
          <w:rFonts w:hint="default" w:ascii="宋体" w:hAnsi="宋体" w:eastAsia="宋体"/>
          <w:color w:val="auto"/>
          <w:szCs w:val="21"/>
          <w:highlight w:val="none"/>
          <w:lang w:val="en-US" w:eastAsia="zh-CN"/>
        </w:rPr>
      </w:pPr>
      <w:r>
        <w:rPr>
          <w:rFonts w:hint="eastAsia" w:ascii="宋体" w:hAnsi="宋体"/>
          <w:color w:val="auto"/>
          <w:szCs w:val="21"/>
          <w:highlight w:val="none"/>
        </w:rPr>
        <w:t>(1)</w:t>
      </w:r>
      <w:r>
        <w:rPr>
          <w:rFonts w:hint="eastAsia" w:ascii="宋体" w:hAnsi="宋体" w:eastAsia="宋体"/>
          <w:color w:val="auto"/>
          <w:szCs w:val="21"/>
          <w:highlight w:val="none"/>
          <w:lang w:val="en-US" w:eastAsia="zh-CN"/>
        </w:rPr>
        <w:t>为负责招标项目监督管理的交通运输主管部门的工作人员；</w:t>
      </w:r>
    </w:p>
    <w:p w14:paraId="562CA77A">
      <w:pPr>
        <w:pStyle w:val="9"/>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w:t>
      </w:r>
      <w:r>
        <w:rPr>
          <w:rFonts w:hint="eastAsia" w:ascii="宋体" w:hAnsi="宋体" w:eastAsia="宋体"/>
          <w:color w:val="auto"/>
          <w:szCs w:val="21"/>
          <w:highlight w:val="none"/>
          <w:lang w:val="en-US" w:eastAsia="zh-CN"/>
        </w:rPr>
        <w:t>2</w:t>
      </w:r>
      <w:r>
        <w:rPr>
          <w:rFonts w:hint="eastAsia" w:ascii="宋体" w:hAnsi="宋体"/>
          <w:color w:val="auto"/>
          <w:szCs w:val="21"/>
          <w:highlight w:val="none"/>
        </w:rPr>
        <w:t>)</w:t>
      </w:r>
      <w:r>
        <w:rPr>
          <w:rFonts w:hint="eastAsia" w:ascii="宋体" w:hAnsi="宋体" w:eastAsia="宋体"/>
          <w:color w:val="auto"/>
          <w:szCs w:val="21"/>
          <w:highlight w:val="none"/>
          <w:lang w:val="en-US" w:eastAsia="zh-CN"/>
        </w:rPr>
        <w:t>与</w:t>
      </w:r>
      <w:r>
        <w:rPr>
          <w:rFonts w:hint="eastAsia" w:ascii="宋体" w:hAnsi="宋体"/>
          <w:color w:val="auto"/>
          <w:szCs w:val="21"/>
          <w:highlight w:val="none"/>
        </w:rPr>
        <w:t>投标人</w:t>
      </w:r>
      <w:r>
        <w:rPr>
          <w:rFonts w:hint="eastAsia" w:ascii="宋体" w:hAnsi="宋体" w:eastAsia="宋体"/>
          <w:color w:val="auto"/>
          <w:szCs w:val="21"/>
          <w:highlight w:val="none"/>
          <w:lang w:val="en-US" w:eastAsia="zh-CN"/>
        </w:rPr>
        <w:t>法定代表人或其委托代理人有</w:t>
      </w:r>
      <w:r>
        <w:rPr>
          <w:rFonts w:hint="eastAsia" w:ascii="宋体" w:hAnsi="宋体"/>
          <w:color w:val="auto"/>
          <w:szCs w:val="21"/>
          <w:highlight w:val="none"/>
        </w:rPr>
        <w:t>近亲属</w:t>
      </w:r>
      <w:r>
        <w:rPr>
          <w:rFonts w:hint="eastAsia" w:ascii="宋体" w:hAnsi="宋体" w:eastAsia="宋体"/>
          <w:color w:val="auto"/>
          <w:szCs w:val="21"/>
          <w:highlight w:val="none"/>
          <w:lang w:val="en-US" w:eastAsia="zh-CN"/>
        </w:rPr>
        <w:t>关系</w:t>
      </w:r>
      <w:r>
        <w:rPr>
          <w:rFonts w:hint="eastAsia" w:ascii="宋体" w:hAnsi="宋体"/>
          <w:color w:val="auto"/>
          <w:szCs w:val="21"/>
          <w:highlight w:val="none"/>
        </w:rPr>
        <w:t>；</w:t>
      </w:r>
    </w:p>
    <w:p w14:paraId="5313A695">
      <w:pPr>
        <w:pStyle w:val="9"/>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w:t>
      </w:r>
      <w:r>
        <w:rPr>
          <w:rFonts w:hint="eastAsia" w:ascii="宋体" w:hAnsi="宋体" w:eastAsia="宋体"/>
          <w:color w:val="auto"/>
          <w:szCs w:val="21"/>
          <w:highlight w:val="none"/>
          <w:lang w:val="en-US" w:eastAsia="zh-CN"/>
        </w:rPr>
        <w:t>3</w:t>
      </w:r>
      <w:r>
        <w:rPr>
          <w:rFonts w:hint="eastAsia" w:ascii="宋体" w:hAnsi="宋体"/>
          <w:color w:val="auto"/>
          <w:szCs w:val="21"/>
          <w:highlight w:val="none"/>
        </w:rPr>
        <w:t>)</w:t>
      </w:r>
      <w:r>
        <w:rPr>
          <w:rFonts w:hint="eastAsia" w:ascii="宋体" w:hAnsi="宋体" w:eastAsia="宋体"/>
          <w:color w:val="auto"/>
          <w:szCs w:val="21"/>
          <w:highlight w:val="none"/>
          <w:lang w:val="en-US" w:eastAsia="zh-CN"/>
        </w:rPr>
        <w:t>为投标人的工作人员或退休人员</w:t>
      </w:r>
      <w:r>
        <w:rPr>
          <w:rFonts w:hint="eastAsia" w:ascii="宋体" w:hAnsi="宋体"/>
          <w:color w:val="auto"/>
          <w:szCs w:val="21"/>
          <w:highlight w:val="none"/>
        </w:rPr>
        <w:t>；</w:t>
      </w:r>
    </w:p>
    <w:p w14:paraId="42EFBB28">
      <w:pPr>
        <w:pStyle w:val="9"/>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w:t>
      </w:r>
      <w:r>
        <w:rPr>
          <w:rFonts w:hint="eastAsia" w:ascii="宋体" w:hAnsi="宋体" w:eastAsia="宋体"/>
          <w:color w:val="auto"/>
          <w:szCs w:val="21"/>
          <w:highlight w:val="none"/>
          <w:lang w:val="en-US" w:eastAsia="zh-CN"/>
        </w:rPr>
        <w:t>4</w:t>
      </w:r>
      <w:r>
        <w:rPr>
          <w:rFonts w:hint="eastAsia" w:ascii="宋体" w:hAnsi="宋体"/>
          <w:color w:val="auto"/>
          <w:szCs w:val="21"/>
          <w:highlight w:val="none"/>
        </w:rPr>
        <w:t>)与投标人有</w:t>
      </w:r>
      <w:r>
        <w:rPr>
          <w:rFonts w:hint="eastAsia" w:ascii="宋体" w:hAnsi="宋体" w:eastAsia="宋体"/>
          <w:color w:val="auto"/>
          <w:szCs w:val="21"/>
          <w:highlight w:val="none"/>
          <w:lang w:val="en-US" w:eastAsia="zh-CN"/>
        </w:rPr>
        <w:t>其他利害</w:t>
      </w:r>
      <w:r>
        <w:rPr>
          <w:rFonts w:hint="eastAsia" w:ascii="宋体" w:hAnsi="宋体"/>
          <w:color w:val="auto"/>
          <w:szCs w:val="21"/>
          <w:highlight w:val="none"/>
        </w:rPr>
        <w:t>关系，可能影响</w:t>
      </w:r>
      <w:r>
        <w:rPr>
          <w:rFonts w:hint="eastAsia" w:ascii="宋体" w:hAnsi="宋体" w:eastAsia="宋体"/>
          <w:color w:val="auto"/>
          <w:szCs w:val="21"/>
          <w:highlight w:val="none"/>
          <w:lang w:val="en-US" w:eastAsia="zh-CN"/>
        </w:rPr>
        <w:t>评标活动</w:t>
      </w:r>
      <w:r>
        <w:rPr>
          <w:rFonts w:hint="eastAsia" w:ascii="宋体" w:hAnsi="宋体"/>
          <w:color w:val="auto"/>
          <w:szCs w:val="21"/>
          <w:highlight w:val="none"/>
        </w:rPr>
        <w:t>公正</w:t>
      </w:r>
      <w:r>
        <w:rPr>
          <w:rFonts w:hint="eastAsia" w:ascii="宋体" w:hAnsi="宋体" w:eastAsia="宋体"/>
          <w:color w:val="auto"/>
          <w:szCs w:val="21"/>
          <w:highlight w:val="none"/>
          <w:lang w:val="en-US" w:eastAsia="zh-CN"/>
        </w:rPr>
        <w:t>性</w:t>
      </w:r>
      <w:r>
        <w:rPr>
          <w:rFonts w:hint="eastAsia" w:ascii="宋体" w:hAnsi="宋体"/>
          <w:color w:val="auto"/>
          <w:szCs w:val="21"/>
          <w:highlight w:val="none"/>
        </w:rPr>
        <w:t>的；</w:t>
      </w:r>
    </w:p>
    <w:p w14:paraId="333E95D4">
      <w:pPr>
        <w:pStyle w:val="9"/>
        <w:spacing w:line="400" w:lineRule="exact"/>
        <w:ind w:firstLine="420" w:firstLineChars="200"/>
        <w:rPr>
          <w:rFonts w:hint="eastAsia" w:ascii="宋体" w:hAnsi="宋体" w:eastAsia="Times New Roman" w:cs="Times New Roman"/>
          <w:color w:val="auto"/>
          <w:szCs w:val="21"/>
          <w:highlight w:val="none"/>
        </w:rPr>
      </w:pPr>
      <w:r>
        <w:rPr>
          <w:rFonts w:hint="eastAsia" w:ascii="宋体" w:hAnsi="宋体" w:eastAsia="Times New Roman" w:cs="Times New Roman"/>
          <w:color w:val="auto"/>
          <w:szCs w:val="21"/>
          <w:highlight w:val="none"/>
        </w:rPr>
        <w:t>(</w:t>
      </w:r>
      <w:r>
        <w:rPr>
          <w:rFonts w:hint="eastAsia" w:ascii="宋体" w:hAnsi="宋体" w:eastAsia="Times New Roman" w:cs="Times New Roman"/>
          <w:color w:val="auto"/>
          <w:szCs w:val="21"/>
          <w:highlight w:val="none"/>
          <w:lang w:val="en-US" w:eastAsia="zh-CN"/>
        </w:rPr>
        <w:t>5</w:t>
      </w:r>
      <w:r>
        <w:rPr>
          <w:rFonts w:hint="eastAsia" w:ascii="宋体" w:hAnsi="宋体" w:eastAsia="Times New Roman" w:cs="Times New Roman"/>
          <w:color w:val="auto"/>
          <w:szCs w:val="21"/>
          <w:highlight w:val="none"/>
        </w:rPr>
        <w:t>)在</w:t>
      </w:r>
      <w:r>
        <w:rPr>
          <w:rFonts w:hint="eastAsia" w:ascii="宋体" w:hAnsi="宋体" w:eastAsia="Times New Roman" w:cs="Times New Roman"/>
          <w:color w:val="auto"/>
          <w:szCs w:val="21"/>
          <w:highlight w:val="none"/>
          <w:lang w:val="en-US" w:eastAsia="zh-CN"/>
        </w:rPr>
        <w:t>与</w:t>
      </w:r>
      <w:r>
        <w:rPr>
          <w:rFonts w:hint="eastAsia" w:ascii="宋体" w:hAnsi="宋体" w:eastAsia="Times New Roman" w:cs="Times New Roman"/>
          <w:color w:val="auto"/>
          <w:szCs w:val="21"/>
          <w:highlight w:val="none"/>
        </w:rPr>
        <w:t>招标</w:t>
      </w:r>
      <w:r>
        <w:rPr>
          <w:rFonts w:hint="eastAsia" w:ascii="宋体" w:hAnsi="宋体" w:eastAsia="Times New Roman" w:cs="Times New Roman"/>
          <w:color w:val="auto"/>
          <w:szCs w:val="21"/>
          <w:highlight w:val="none"/>
          <w:lang w:val="en-US" w:eastAsia="zh-CN"/>
        </w:rPr>
        <w:t>投标</w:t>
      </w:r>
      <w:r>
        <w:rPr>
          <w:rFonts w:hint="eastAsia" w:ascii="宋体" w:hAnsi="宋体" w:eastAsia="Times New Roman" w:cs="Times New Roman"/>
          <w:color w:val="auto"/>
          <w:szCs w:val="21"/>
          <w:highlight w:val="none"/>
        </w:rPr>
        <w:t>有关</w:t>
      </w:r>
      <w:r>
        <w:rPr>
          <w:rFonts w:hint="eastAsia" w:ascii="宋体" w:hAnsi="宋体" w:eastAsia="Times New Roman" w:cs="Times New Roman"/>
          <w:color w:val="auto"/>
          <w:szCs w:val="21"/>
          <w:highlight w:val="none"/>
          <w:lang w:val="en-US" w:eastAsia="zh-CN"/>
        </w:rPr>
        <w:t>的</w:t>
      </w:r>
      <w:r>
        <w:rPr>
          <w:rFonts w:hint="eastAsia" w:ascii="宋体" w:hAnsi="宋体" w:eastAsia="Times New Roman" w:cs="Times New Roman"/>
          <w:color w:val="auto"/>
          <w:szCs w:val="21"/>
          <w:highlight w:val="none"/>
        </w:rPr>
        <w:t>活动中</w:t>
      </w:r>
      <w:r>
        <w:rPr>
          <w:rFonts w:hint="eastAsia" w:ascii="宋体" w:hAnsi="宋体" w:eastAsia="Times New Roman" w:cs="Times New Roman"/>
          <w:color w:val="auto"/>
          <w:szCs w:val="21"/>
          <w:highlight w:val="none"/>
          <w:lang w:val="en-US" w:eastAsia="zh-CN"/>
        </w:rPr>
        <w:t>有过</w:t>
      </w:r>
      <w:r>
        <w:rPr>
          <w:rFonts w:hint="eastAsia" w:ascii="宋体" w:hAnsi="宋体" w:eastAsia="Times New Roman" w:cs="Times New Roman"/>
          <w:color w:val="auto"/>
          <w:szCs w:val="21"/>
          <w:highlight w:val="none"/>
        </w:rPr>
        <w:t>违法行为</w:t>
      </w:r>
      <w:r>
        <w:rPr>
          <w:rFonts w:hint="eastAsia" w:ascii="宋体" w:hAnsi="宋体" w:eastAsia="Times New Roman" w:cs="Times New Roman"/>
          <w:color w:val="auto"/>
          <w:szCs w:val="21"/>
          <w:highlight w:val="none"/>
          <w:lang w:eastAsia="zh-CN"/>
        </w:rPr>
        <w:t>、</w:t>
      </w:r>
      <w:r>
        <w:rPr>
          <w:rFonts w:hint="eastAsia" w:ascii="宋体" w:hAnsi="宋体" w:eastAsia="Times New Roman" w:cs="Times New Roman"/>
          <w:color w:val="auto"/>
          <w:szCs w:val="21"/>
          <w:highlight w:val="none"/>
          <w:lang w:val="en-US" w:eastAsia="zh-CN"/>
        </w:rPr>
        <w:t>曾</w:t>
      </w:r>
      <w:r>
        <w:rPr>
          <w:rFonts w:hint="eastAsia" w:ascii="宋体" w:hAnsi="宋体" w:eastAsia="Times New Roman" w:cs="Times New Roman"/>
          <w:color w:val="auto"/>
          <w:szCs w:val="21"/>
          <w:highlight w:val="none"/>
        </w:rPr>
        <w:t>受过行政处罚或刑事处罚。</w:t>
      </w:r>
    </w:p>
    <w:p w14:paraId="6807C61D">
      <w:pPr>
        <w:pStyle w:val="9"/>
        <w:spacing w:line="400" w:lineRule="exact"/>
        <w:ind w:firstLine="420" w:firstLineChars="200"/>
        <w:rPr>
          <w:rFonts w:hint="eastAsia" w:ascii="宋体" w:hAnsi="宋体" w:eastAsia="Times New Roman" w:cs="Times New Roman"/>
          <w:color w:val="auto"/>
          <w:szCs w:val="21"/>
          <w:highlight w:val="none"/>
        </w:rPr>
      </w:pPr>
      <w:r>
        <w:rPr>
          <w:rFonts w:hint="eastAsia" w:ascii="宋体" w:hAnsi="宋体" w:eastAsia="Times New Roman" w:cs="Times New Roman"/>
          <w:color w:val="auto"/>
          <w:szCs w:val="21"/>
          <w:highlight w:val="none"/>
          <w:lang w:val="en-US" w:eastAsia="zh-CN"/>
        </w:rPr>
        <w:t>6.1.3 评标过程中，评标委员会成员有回避事由、擅离职守或因健康等原因不能继续评标的，招标人有权更换。被更换的评标委员会成员作出的评审结论无效，由更换后的评标委员会成员重新进行评审。</w:t>
      </w:r>
    </w:p>
    <w:p w14:paraId="470ED8D4">
      <w:pPr>
        <w:pStyle w:val="9"/>
        <w:spacing w:line="400" w:lineRule="exact"/>
        <w:outlineLvl w:val="3"/>
        <w:rPr>
          <w:rFonts w:ascii="宋体" w:hAnsi="宋体"/>
          <w:b/>
          <w:bCs/>
          <w:color w:val="auto"/>
          <w:highlight w:val="none"/>
        </w:rPr>
      </w:pPr>
      <w:r>
        <w:rPr>
          <w:rFonts w:hint="eastAsia" w:ascii="宋体" w:hAnsi="宋体"/>
          <w:b/>
          <w:bCs/>
          <w:color w:val="auto"/>
          <w:highlight w:val="none"/>
        </w:rPr>
        <w:t>6.2 评标原则</w:t>
      </w:r>
    </w:p>
    <w:p w14:paraId="627B68B6">
      <w:pPr>
        <w:pStyle w:val="9"/>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评标活动遵循公平、公正、科学和择优的原则。</w:t>
      </w:r>
    </w:p>
    <w:p w14:paraId="7C2185F7">
      <w:pPr>
        <w:pStyle w:val="9"/>
        <w:spacing w:line="400" w:lineRule="exact"/>
        <w:outlineLvl w:val="3"/>
        <w:rPr>
          <w:rFonts w:hint="eastAsia" w:ascii="宋体" w:hAnsi="宋体"/>
          <w:b/>
          <w:bCs/>
          <w:color w:val="auto"/>
          <w:highlight w:val="none"/>
        </w:rPr>
      </w:pPr>
      <w:r>
        <w:rPr>
          <w:rFonts w:hint="eastAsia" w:ascii="宋体" w:hAnsi="宋体"/>
          <w:b/>
          <w:bCs/>
          <w:color w:val="auto"/>
          <w:highlight w:val="none"/>
        </w:rPr>
        <w:t xml:space="preserve">6.3 评标 </w:t>
      </w:r>
    </w:p>
    <w:p w14:paraId="24A6C349">
      <w:pPr>
        <w:pStyle w:val="9"/>
        <w:spacing w:line="400" w:lineRule="exact"/>
        <w:ind w:firstLine="420" w:firstLineChars="200"/>
        <w:rPr>
          <w:rFonts w:hint="eastAsia" w:ascii="宋体" w:hAnsi="宋体"/>
          <w:color w:val="auto"/>
          <w:szCs w:val="21"/>
          <w:highlight w:val="none"/>
        </w:rPr>
      </w:pPr>
      <w:r>
        <w:rPr>
          <w:rFonts w:hint="eastAsia" w:ascii="宋体" w:hAnsi="宋体" w:eastAsia="宋体"/>
          <w:color w:val="auto"/>
          <w:szCs w:val="21"/>
          <w:highlight w:val="none"/>
          <w:lang w:val="en-US" w:eastAsia="zh-CN"/>
        </w:rPr>
        <w:t>6.3.1</w:t>
      </w:r>
      <w:r>
        <w:rPr>
          <w:rFonts w:hint="eastAsia" w:ascii="宋体" w:hAnsi="宋体"/>
          <w:color w:val="auto"/>
          <w:szCs w:val="21"/>
          <w:highlight w:val="none"/>
        </w:rPr>
        <w:t>评标委员会按照第三章“评标办法”规定的方法、评审因素、标准和程序对投标文件进行评审。第三章“评标办法”没有规定的方法、评审因素和标准，不作为评标依据。</w:t>
      </w:r>
    </w:p>
    <w:p w14:paraId="3B1A4EAC">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 6.3.2 评标完成后，评标委员会应向招标人提交书面评标报告和中标候选人名单。评标委员会推荐中标候选人的人数见投标人须知前附表。 </w:t>
      </w:r>
    </w:p>
    <w:p w14:paraId="78128E41">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6.3.3 评标及补救措施 </w:t>
      </w:r>
    </w:p>
    <w:p w14:paraId="74F12A38">
      <w:pPr>
        <w:pStyle w:val="9"/>
        <w:spacing w:line="400" w:lineRule="exact"/>
        <w:ind w:firstLine="420" w:firstLineChars="200"/>
        <w:rPr>
          <w:color w:val="auto"/>
          <w:highlight w:val="none"/>
        </w:rPr>
      </w:pPr>
      <w:r>
        <w:rPr>
          <w:rFonts w:hint="eastAsia" w:ascii="宋体" w:hAnsi="宋体" w:eastAsia="Times New Roman" w:cs="Times New Roman"/>
          <w:color w:val="auto"/>
          <w:szCs w:val="21"/>
          <w:highlight w:val="none"/>
          <w:lang w:val="en-US" w:eastAsia="zh-CN"/>
        </w:rPr>
        <w:t>评标委员会按照本章第 6.3.1 项的规定在电子评标系统上开展评审工作。如果评标过程中出现异常情况，导致无法继续评审工作的，可暂停评标，对原有资料及信息作出妥善保密处理，待电子评标系统恢复正常之后，应重新组织评审。</w:t>
      </w:r>
      <w:bookmarkStart w:id="93" w:name="EB8674c9d816a3480b99c9fc8a9a591485"/>
      <w:r>
        <w:rPr>
          <w:rFonts w:hint="eastAsia"/>
          <w:color w:val="auto"/>
          <w:sz w:val="20"/>
          <w:highlight w:val="none"/>
        </w:rPr>
        <w:t xml:space="preserve"> </w:t>
      </w:r>
      <w:bookmarkEnd w:id="93"/>
      <w:bookmarkStart w:id="94" w:name="EBd0ea3e2df3ee4deca444e4d9be62cfc1"/>
      <w:r>
        <w:rPr>
          <w:rFonts w:hint="eastAsia"/>
          <w:color w:val="auto"/>
          <w:sz w:val="20"/>
          <w:highlight w:val="none"/>
        </w:rPr>
        <w:t xml:space="preserve"> </w:t>
      </w:r>
      <w:bookmarkEnd w:id="94"/>
    </w:p>
    <w:p w14:paraId="5C312B73">
      <w:pPr>
        <w:pStyle w:val="9"/>
        <w:spacing w:line="400" w:lineRule="exact"/>
        <w:outlineLvl w:val="2"/>
        <w:rPr>
          <w:rFonts w:ascii="宋体" w:hAnsi="宋体"/>
          <w:b/>
          <w:color w:val="auto"/>
          <w:sz w:val="24"/>
          <w:szCs w:val="24"/>
          <w:highlight w:val="none"/>
        </w:rPr>
      </w:pPr>
      <w:bookmarkStart w:id="95" w:name="_Toc31484"/>
      <w:r>
        <w:rPr>
          <w:rFonts w:hint="eastAsia" w:ascii="宋体" w:hAnsi="宋体"/>
          <w:b/>
          <w:color w:val="auto"/>
          <w:sz w:val="24"/>
          <w:szCs w:val="24"/>
          <w:highlight w:val="none"/>
        </w:rPr>
        <w:t>7. 合同授予</w:t>
      </w:r>
      <w:bookmarkEnd w:id="95"/>
    </w:p>
    <w:p w14:paraId="4FCFC0D6">
      <w:pPr>
        <w:pStyle w:val="9"/>
        <w:spacing w:line="400" w:lineRule="exact"/>
        <w:outlineLvl w:val="3"/>
        <w:rPr>
          <w:rFonts w:hint="default" w:ascii="宋体" w:hAnsi="宋体" w:eastAsia="宋体"/>
          <w:b/>
          <w:bCs/>
          <w:color w:val="auto"/>
          <w:highlight w:val="none"/>
          <w:lang w:val="en-US" w:eastAsia="zh-CN"/>
        </w:rPr>
      </w:pPr>
      <w:bookmarkStart w:id="96" w:name="EB8656d5be54b64815b1790afbcb240fa6"/>
      <w:r>
        <w:rPr>
          <w:rFonts w:hint="eastAsia" w:ascii="宋体" w:hAnsi="宋体"/>
          <w:b/>
          <w:bCs/>
          <w:color w:val="auto"/>
          <w:highlight w:val="none"/>
        </w:rPr>
        <w:t xml:space="preserve">7.1 </w:t>
      </w:r>
      <w:r>
        <w:rPr>
          <w:rFonts w:hint="eastAsia" w:ascii="宋体" w:hAnsi="宋体" w:eastAsia="宋体"/>
          <w:b/>
          <w:bCs/>
          <w:color w:val="auto"/>
          <w:highlight w:val="none"/>
          <w:lang w:val="en-US" w:eastAsia="zh-CN"/>
        </w:rPr>
        <w:t>中标候选人的公示</w:t>
      </w:r>
    </w:p>
    <w:p w14:paraId="30FFE5BF">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招标人在收到评标报告之日起 3 日内，按照投标人须知前附表规定的公示媒体和期限公示中标候选人，公示期不得少于 3 日，公示内容见投标人须知前附表。</w:t>
      </w:r>
    </w:p>
    <w:p w14:paraId="016C3081">
      <w:pPr>
        <w:pStyle w:val="9"/>
        <w:spacing w:line="400" w:lineRule="exact"/>
        <w:outlineLvl w:val="3"/>
        <w:rPr>
          <w:rFonts w:hint="default" w:ascii="宋体" w:hAnsi="宋体" w:eastAsia="宋体"/>
          <w:b/>
          <w:bCs/>
          <w:color w:val="auto"/>
          <w:highlight w:val="none"/>
          <w:lang w:val="en-US" w:eastAsia="zh-CN"/>
        </w:rPr>
      </w:pPr>
      <w:r>
        <w:rPr>
          <w:rFonts w:hint="eastAsia" w:ascii="宋体" w:hAnsi="宋体"/>
          <w:b/>
          <w:bCs/>
          <w:color w:val="auto"/>
          <w:highlight w:val="none"/>
        </w:rPr>
        <w:t>7.</w:t>
      </w:r>
      <w:r>
        <w:rPr>
          <w:rFonts w:hint="eastAsia" w:ascii="宋体" w:hAnsi="宋体" w:eastAsia="宋体"/>
          <w:b/>
          <w:bCs/>
          <w:color w:val="auto"/>
          <w:highlight w:val="none"/>
          <w:lang w:val="en-US" w:eastAsia="zh-CN"/>
        </w:rPr>
        <w:t>2</w:t>
      </w:r>
      <w:r>
        <w:rPr>
          <w:rFonts w:hint="eastAsia" w:ascii="宋体" w:hAnsi="宋体"/>
          <w:b/>
          <w:bCs/>
          <w:color w:val="auto"/>
          <w:highlight w:val="none"/>
        </w:rPr>
        <w:t xml:space="preserve"> </w:t>
      </w:r>
      <w:r>
        <w:rPr>
          <w:rFonts w:hint="eastAsia" w:ascii="宋体" w:hAnsi="宋体" w:eastAsia="宋体"/>
          <w:b/>
          <w:bCs/>
          <w:color w:val="auto"/>
          <w:highlight w:val="none"/>
          <w:lang w:val="en-US" w:eastAsia="zh-CN"/>
        </w:rPr>
        <w:t>评标结果异议</w:t>
      </w:r>
    </w:p>
    <w:p w14:paraId="366399A9">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投标人或者其他利害关系人对依法必须进行招标的项目的评标结果有异议的，应在中标候选人公示期间提出。招标人将在收到异议之日起 3 日内作出答复；作出答复前，将暂停招标投标活动。提出异议与作出答复均应通过“电子交易平台”以书面形式进行。</w:t>
      </w:r>
    </w:p>
    <w:p w14:paraId="39DEF0E6">
      <w:pPr>
        <w:pStyle w:val="9"/>
        <w:spacing w:line="400" w:lineRule="exact"/>
        <w:outlineLvl w:val="3"/>
        <w:rPr>
          <w:rFonts w:hint="default" w:ascii="宋体" w:hAnsi="宋体" w:eastAsia="宋体"/>
          <w:b/>
          <w:bCs/>
          <w:color w:val="auto"/>
          <w:highlight w:val="none"/>
          <w:lang w:val="en-US" w:eastAsia="zh-CN"/>
        </w:rPr>
      </w:pPr>
      <w:r>
        <w:rPr>
          <w:rFonts w:hint="eastAsia" w:ascii="宋体" w:hAnsi="宋体"/>
          <w:b/>
          <w:bCs/>
          <w:color w:val="auto"/>
          <w:highlight w:val="none"/>
        </w:rPr>
        <w:t>7.</w:t>
      </w:r>
      <w:r>
        <w:rPr>
          <w:rFonts w:hint="eastAsia" w:ascii="宋体" w:hAnsi="宋体" w:eastAsia="宋体"/>
          <w:b/>
          <w:bCs/>
          <w:color w:val="auto"/>
          <w:highlight w:val="none"/>
          <w:lang w:val="en-US" w:eastAsia="zh-CN"/>
        </w:rPr>
        <w:t>3</w:t>
      </w:r>
      <w:r>
        <w:rPr>
          <w:rFonts w:hint="eastAsia" w:ascii="宋体" w:hAnsi="宋体"/>
          <w:b/>
          <w:bCs/>
          <w:color w:val="auto"/>
          <w:highlight w:val="none"/>
        </w:rPr>
        <w:t xml:space="preserve"> </w:t>
      </w:r>
      <w:r>
        <w:rPr>
          <w:rFonts w:hint="eastAsia" w:ascii="宋体" w:hAnsi="宋体" w:eastAsia="宋体"/>
          <w:b/>
          <w:bCs/>
          <w:color w:val="auto"/>
          <w:highlight w:val="none"/>
          <w:lang w:val="en-US" w:eastAsia="zh-CN"/>
        </w:rPr>
        <w:t>中标候选人履约能力审查</w:t>
      </w:r>
    </w:p>
    <w:p w14:paraId="086D916F">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中标候选人的经营、财务状况发生较大变化或者存在违法行为，招标人认为可能影响其履约能力的，将在发出中标通知书前报请行政监督部门，由招标人召集原评标委员会按照招标文件规定的标准和方法审查确认。</w:t>
      </w:r>
    </w:p>
    <w:p w14:paraId="4101D5F0">
      <w:pPr>
        <w:pStyle w:val="9"/>
        <w:spacing w:line="400" w:lineRule="exact"/>
        <w:outlineLvl w:val="3"/>
        <w:rPr>
          <w:rFonts w:hint="default" w:ascii="宋体" w:hAnsi="宋体" w:eastAsia="宋体"/>
          <w:b/>
          <w:bCs/>
          <w:color w:val="auto"/>
          <w:highlight w:val="none"/>
          <w:lang w:val="en-US" w:eastAsia="zh-CN"/>
        </w:rPr>
      </w:pPr>
      <w:r>
        <w:rPr>
          <w:rFonts w:hint="eastAsia" w:ascii="宋体" w:hAnsi="宋体"/>
          <w:b/>
          <w:bCs/>
          <w:color w:val="auto"/>
          <w:highlight w:val="none"/>
        </w:rPr>
        <w:t>7.</w:t>
      </w:r>
      <w:r>
        <w:rPr>
          <w:rFonts w:hint="eastAsia" w:ascii="宋体" w:hAnsi="宋体" w:eastAsia="宋体"/>
          <w:b/>
          <w:bCs/>
          <w:color w:val="auto"/>
          <w:highlight w:val="none"/>
          <w:lang w:val="en-US" w:eastAsia="zh-CN"/>
        </w:rPr>
        <w:t>4</w:t>
      </w:r>
      <w:r>
        <w:rPr>
          <w:rFonts w:hint="eastAsia" w:ascii="宋体" w:hAnsi="宋体"/>
          <w:b/>
          <w:bCs/>
          <w:color w:val="auto"/>
          <w:highlight w:val="none"/>
        </w:rPr>
        <w:t xml:space="preserve"> </w:t>
      </w:r>
      <w:r>
        <w:rPr>
          <w:rFonts w:hint="eastAsia" w:ascii="宋体" w:hAnsi="宋体" w:eastAsia="宋体"/>
          <w:b/>
          <w:bCs/>
          <w:color w:val="auto"/>
          <w:highlight w:val="none"/>
          <w:lang w:val="en-US" w:eastAsia="zh-CN"/>
        </w:rPr>
        <w:t>定标</w:t>
      </w:r>
    </w:p>
    <w:p w14:paraId="5D50867F">
      <w:pPr>
        <w:pStyle w:val="9"/>
        <w:spacing w:line="400" w:lineRule="exact"/>
        <w:ind w:firstLine="420" w:firstLineChars="200"/>
        <w:rPr>
          <w:rFonts w:hint="eastAsia" w:ascii="宋体" w:hAnsi="宋体"/>
          <w:color w:val="auto"/>
          <w:highlight w:val="none"/>
        </w:rPr>
      </w:pPr>
      <w:r>
        <w:rPr>
          <w:rFonts w:hint="eastAsia" w:ascii="宋体" w:hAnsi="宋体" w:eastAsia="Times New Roman" w:cs="Times New Roman"/>
          <w:color w:val="auto"/>
          <w:szCs w:val="21"/>
          <w:highlight w:val="none"/>
          <w:lang w:val="en-US" w:eastAsia="zh-CN"/>
        </w:rPr>
        <w:t>按照投标人须知前附表的规定，招标人或招标人授权的评标委员会依法确定中标人。</w:t>
      </w:r>
    </w:p>
    <w:p w14:paraId="264FAF59">
      <w:pPr>
        <w:pStyle w:val="9"/>
        <w:spacing w:line="400" w:lineRule="exact"/>
        <w:outlineLvl w:val="3"/>
        <w:rPr>
          <w:rFonts w:ascii="宋体" w:hAnsi="宋体"/>
          <w:b/>
          <w:bCs/>
          <w:color w:val="auto"/>
          <w:highlight w:val="none"/>
        </w:rPr>
      </w:pPr>
      <w:r>
        <w:rPr>
          <w:rFonts w:hint="eastAsia" w:ascii="宋体" w:hAnsi="宋体"/>
          <w:b/>
          <w:bCs/>
          <w:color w:val="auto"/>
          <w:highlight w:val="none"/>
        </w:rPr>
        <w:t>7.</w:t>
      </w:r>
      <w:r>
        <w:rPr>
          <w:rFonts w:hint="eastAsia" w:ascii="宋体" w:hAnsi="宋体" w:eastAsia="宋体"/>
          <w:b/>
          <w:bCs/>
          <w:color w:val="auto"/>
          <w:highlight w:val="none"/>
          <w:lang w:val="en-US" w:eastAsia="zh-CN"/>
        </w:rPr>
        <w:t>5</w:t>
      </w:r>
      <w:r>
        <w:rPr>
          <w:rFonts w:hint="eastAsia" w:ascii="宋体" w:hAnsi="宋体"/>
          <w:b/>
          <w:bCs/>
          <w:color w:val="auto"/>
          <w:highlight w:val="none"/>
        </w:rPr>
        <w:t xml:space="preserve"> 中标通知</w:t>
      </w:r>
    </w:p>
    <w:p w14:paraId="4594B25C">
      <w:pPr>
        <w:pStyle w:val="9"/>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在本章第3.3款规定的投标有效期内，招标人</w:t>
      </w:r>
      <w:r>
        <w:rPr>
          <w:rFonts w:hint="eastAsia" w:ascii="宋体" w:hAnsi="宋体" w:eastAsia="宋体"/>
          <w:color w:val="auto"/>
          <w:szCs w:val="21"/>
          <w:highlight w:val="none"/>
          <w:lang w:val="en-US" w:eastAsia="zh-CN"/>
        </w:rPr>
        <w:t>应通过“电子交易平台”</w:t>
      </w:r>
      <w:r>
        <w:rPr>
          <w:rFonts w:hint="eastAsia" w:ascii="宋体" w:hAnsi="宋体"/>
          <w:color w:val="auto"/>
          <w:szCs w:val="21"/>
          <w:highlight w:val="none"/>
        </w:rPr>
        <w:t>向中标人发出中标通知书，同时将中标结果通知未中标的投标人。</w:t>
      </w:r>
    </w:p>
    <w:p w14:paraId="47CAF3C2">
      <w:pPr>
        <w:pStyle w:val="9"/>
        <w:spacing w:line="400" w:lineRule="exact"/>
        <w:outlineLvl w:val="3"/>
        <w:rPr>
          <w:rFonts w:hint="default" w:ascii="宋体" w:hAnsi="宋体" w:eastAsia="宋体"/>
          <w:b/>
          <w:bCs/>
          <w:color w:val="auto"/>
          <w:highlight w:val="none"/>
          <w:lang w:val="en-US" w:eastAsia="zh-CN"/>
        </w:rPr>
      </w:pPr>
      <w:r>
        <w:rPr>
          <w:rFonts w:hint="eastAsia" w:ascii="宋体" w:hAnsi="宋体"/>
          <w:b/>
          <w:bCs/>
          <w:color w:val="auto"/>
          <w:highlight w:val="none"/>
        </w:rPr>
        <w:t>7.</w:t>
      </w:r>
      <w:r>
        <w:rPr>
          <w:rFonts w:hint="eastAsia" w:ascii="宋体" w:hAnsi="宋体" w:eastAsia="宋体"/>
          <w:b/>
          <w:bCs/>
          <w:color w:val="auto"/>
          <w:highlight w:val="none"/>
          <w:lang w:val="en-US" w:eastAsia="zh-CN"/>
        </w:rPr>
        <w:t>6</w:t>
      </w:r>
      <w:r>
        <w:rPr>
          <w:rFonts w:hint="eastAsia" w:ascii="宋体" w:hAnsi="宋体"/>
          <w:b/>
          <w:bCs/>
          <w:color w:val="auto"/>
          <w:highlight w:val="none"/>
        </w:rPr>
        <w:t xml:space="preserve"> </w:t>
      </w:r>
      <w:r>
        <w:rPr>
          <w:rFonts w:hint="eastAsia" w:ascii="宋体" w:hAnsi="宋体" w:eastAsia="宋体"/>
          <w:b/>
          <w:bCs/>
          <w:color w:val="auto"/>
          <w:highlight w:val="none"/>
          <w:lang w:val="en-US" w:eastAsia="zh-CN"/>
        </w:rPr>
        <w:t>中标结果公告</w:t>
      </w:r>
    </w:p>
    <w:p w14:paraId="67DEB011">
      <w:pPr>
        <w:pStyle w:val="9"/>
        <w:spacing w:line="400" w:lineRule="exact"/>
        <w:ind w:firstLine="420" w:firstLineChars="200"/>
        <w:rPr>
          <w:color w:val="auto"/>
          <w:highlight w:val="none"/>
        </w:rPr>
      </w:pPr>
      <w:r>
        <w:rPr>
          <w:rFonts w:hint="eastAsia" w:ascii="宋体" w:hAnsi="宋体" w:eastAsia="Times New Roman" w:cs="Times New Roman"/>
          <w:color w:val="auto"/>
          <w:szCs w:val="21"/>
          <w:highlight w:val="none"/>
          <w:lang w:val="en-US" w:eastAsia="zh-CN"/>
        </w:rPr>
        <w:t>招标人在确定中标人之日起 3 日内，按照投标人须知前附表规定的公告媒介和期限公告中标结果，公告期不得少于 3 日。公告内容包括中标人名称、中标价。</w:t>
      </w:r>
    </w:p>
    <w:p w14:paraId="54B0EBA5">
      <w:pPr>
        <w:pStyle w:val="9"/>
        <w:spacing w:line="400" w:lineRule="exact"/>
        <w:outlineLvl w:val="3"/>
        <w:rPr>
          <w:rFonts w:hint="eastAsia" w:ascii="宋体" w:hAnsi="宋体" w:eastAsia="宋体"/>
          <w:b/>
          <w:bCs/>
          <w:color w:val="auto"/>
          <w:highlight w:val="none"/>
          <w:lang w:eastAsia="zh-CN"/>
        </w:rPr>
      </w:pPr>
      <w:r>
        <w:rPr>
          <w:rFonts w:hint="eastAsia" w:ascii="宋体" w:hAnsi="宋体"/>
          <w:b/>
          <w:bCs/>
          <w:color w:val="auto"/>
          <w:highlight w:val="none"/>
        </w:rPr>
        <w:t>7.</w:t>
      </w:r>
      <w:r>
        <w:rPr>
          <w:rFonts w:hint="eastAsia" w:ascii="宋体" w:hAnsi="宋体" w:eastAsia="宋体"/>
          <w:b/>
          <w:bCs/>
          <w:color w:val="auto"/>
          <w:highlight w:val="none"/>
          <w:lang w:val="en-US" w:eastAsia="zh-CN"/>
        </w:rPr>
        <w:t>7</w:t>
      </w:r>
      <w:r>
        <w:rPr>
          <w:rFonts w:hint="eastAsia" w:ascii="宋体" w:hAnsi="宋体"/>
          <w:b/>
          <w:bCs/>
          <w:color w:val="auto"/>
          <w:highlight w:val="none"/>
        </w:rPr>
        <w:t xml:space="preserve"> 履约</w:t>
      </w:r>
      <w:r>
        <w:rPr>
          <w:rFonts w:hint="eastAsia" w:ascii="宋体" w:hAnsi="宋体" w:eastAsia="宋体"/>
          <w:b/>
          <w:bCs/>
          <w:color w:val="auto"/>
          <w:highlight w:val="none"/>
          <w:lang w:val="en-US" w:eastAsia="zh-CN"/>
        </w:rPr>
        <w:t>保证金</w:t>
      </w:r>
    </w:p>
    <w:p w14:paraId="29BF801B">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7.7.1在签订合同前，中标人应按投标人须知前附表规定的形式、金额和招标文件第四章“合同条款及格式”规定的或事先经过招标人书面认可的履约保证金格式向招标人提交履约保证金。联合体中标的，其履约保证金以联合体各方或联合体牵头人的名义提交。 </w:t>
      </w:r>
    </w:p>
    <w:p w14:paraId="0F0BCF60">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采用银行保函时，应由符合投标人须知前附表规定级别的银行开具，所需的费用由中标人承担，中标人应保证银行保函有效。 </w:t>
      </w:r>
    </w:p>
    <w:p w14:paraId="7F52A12E">
      <w:pPr>
        <w:pStyle w:val="9"/>
        <w:spacing w:line="400" w:lineRule="exact"/>
        <w:ind w:firstLine="420" w:firstLineChars="200"/>
        <w:rPr>
          <w:rFonts w:ascii="宋体" w:hAnsi="宋体"/>
          <w:color w:val="auto"/>
          <w:szCs w:val="21"/>
          <w:highlight w:val="none"/>
        </w:rPr>
      </w:pPr>
      <w:r>
        <w:rPr>
          <w:rFonts w:hint="eastAsia" w:ascii="宋体" w:hAnsi="宋体" w:eastAsia="Times New Roman" w:cs="Times New Roman"/>
          <w:color w:val="auto"/>
          <w:szCs w:val="21"/>
          <w:highlight w:val="none"/>
          <w:lang w:val="en-US" w:eastAsia="zh-CN"/>
        </w:rPr>
        <w:t>7.7.2 中标人不能按本章第 7.7.1 项要求提交履约保证金的，视为放弃中标，其投标保证金及银行同期活期存款利息不予退还，给招标人造成的损失超过投标保证金数额及银行同期活期存款利息的，中标人还应当对超过部分予以赔偿。</w:t>
      </w:r>
    </w:p>
    <w:p w14:paraId="32797F3B">
      <w:pPr>
        <w:pStyle w:val="9"/>
        <w:spacing w:line="400" w:lineRule="exact"/>
        <w:outlineLvl w:val="3"/>
        <w:rPr>
          <w:rFonts w:ascii="宋体" w:hAnsi="宋体"/>
          <w:b/>
          <w:bCs/>
          <w:color w:val="auto"/>
          <w:highlight w:val="none"/>
        </w:rPr>
      </w:pPr>
      <w:r>
        <w:rPr>
          <w:rFonts w:hint="eastAsia" w:ascii="宋体" w:hAnsi="宋体"/>
          <w:b/>
          <w:bCs/>
          <w:color w:val="auto"/>
          <w:highlight w:val="none"/>
        </w:rPr>
        <w:t>7.</w:t>
      </w:r>
      <w:r>
        <w:rPr>
          <w:rFonts w:hint="eastAsia" w:ascii="宋体" w:hAnsi="宋体" w:eastAsia="宋体"/>
          <w:b/>
          <w:bCs/>
          <w:color w:val="auto"/>
          <w:highlight w:val="none"/>
          <w:lang w:val="en-US" w:eastAsia="zh-CN"/>
        </w:rPr>
        <w:t>8</w:t>
      </w:r>
      <w:r>
        <w:rPr>
          <w:rFonts w:hint="eastAsia" w:ascii="宋体" w:hAnsi="宋体"/>
          <w:b/>
          <w:bCs/>
          <w:color w:val="auto"/>
          <w:highlight w:val="none"/>
        </w:rPr>
        <w:t xml:space="preserve"> 签订合同</w:t>
      </w:r>
    </w:p>
    <w:p w14:paraId="14B99D55">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7.8.1 招标人和中标人应当自中标通知书发出之日起 30 日内，根据招标文件和中标人的投标文件订立书面合同。中标人无正当理由拒签合同的，在签订合同时向招标人提出附加条件，或不能按照招标文件要求提交履约保证金的，招标人取消其中标资格，其投标保证金及银行同期活期存款利息不予退还；给招标人造成的损失超过投标保证金及银行同期活期存款利息数额的，中标人还应当对超过部分予以赔偿。</w:t>
      </w:r>
    </w:p>
    <w:p w14:paraId="5F35ADE3">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7.8.2 发出中标通知书后，招标人无正当理由拒签合同，或在签订合同时向中标人提出附加条件的，招标人向中标人退还投标保证金及同期银行存款利息；给中标人造成损失的，还应当赔偿损失。 </w:t>
      </w:r>
    </w:p>
    <w:p w14:paraId="2C07B75E">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7.8.3 签约合同价的确定原则如下： </w:t>
      </w:r>
    </w:p>
    <w:p w14:paraId="579B1C83">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（1）按照评标办法规定对投标报价进行修正后，若修正后的最终投标报价小于开标时的报价函大写金额报价，则签订合同时以修正后的最终投标报价为准； </w:t>
      </w:r>
    </w:p>
    <w:p w14:paraId="09B141DB">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（2）按照评标办法规定对投标报价进行修正后，若修正后的最终投标报价大于开标时的报价函大写金额报价，则签订合同时以开标时的报价函大写金额报价为准，同时按比例修正相应子目的单价或合价。 </w:t>
      </w:r>
    </w:p>
    <w:p w14:paraId="2B2E061A">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7.8.4 联合体中标的，联合体各方应共同与招标人签订合同，就中标项目向招标人承担连带责任。 </w:t>
      </w:r>
    </w:p>
    <w:p w14:paraId="5C14A5FF">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7.8.5 招标人和中标人在签订合同协议书的同时，须按照本招标文件规定的格式和要求签订廉政合同、安全生产合同和工程质量责任合同，明确双方在廉政建设、安全生产、工程质量和工程资金监管方面的权利和义务以及应承担的违约责任。 </w:t>
      </w:r>
    </w:p>
    <w:p w14:paraId="23E579E0">
      <w:pPr>
        <w:pStyle w:val="9"/>
        <w:spacing w:line="400" w:lineRule="exact"/>
        <w:ind w:firstLine="420" w:firstLineChars="200"/>
        <w:rPr>
          <w:rFonts w:hint="eastAsia"/>
          <w:color w:val="auto"/>
          <w:highlight w:val="none"/>
        </w:rPr>
      </w:pPr>
      <w:r>
        <w:rPr>
          <w:rFonts w:hint="eastAsia" w:ascii="宋体" w:hAnsi="宋体" w:eastAsia="Times New Roman" w:cs="Times New Roman"/>
          <w:color w:val="auto"/>
          <w:szCs w:val="21"/>
          <w:highlight w:val="none"/>
          <w:lang w:val="en-US" w:eastAsia="zh-CN"/>
        </w:rPr>
        <w:t>7.8.6 排名第一的中标候选人放弃中标、因不可抗力提出不能履行合同、不按照招标文件的要求提交履约保证金，或者被查实存在影响中标结果的违法行为等情形，不符合中标条件的，招标人可以按照评标委员会提出的中标候选人名单排序依次确定其他中标候选人为中标人。依次确定其他中标候选人与招标人预期差距较大，或者对招标人明显不利的，招标人可以重新招标。</w:t>
      </w:r>
      <w:r>
        <w:rPr>
          <w:rFonts w:hint="eastAsia"/>
          <w:color w:val="auto"/>
          <w:sz w:val="20"/>
          <w:highlight w:val="none"/>
        </w:rPr>
        <w:t xml:space="preserve"> </w:t>
      </w:r>
      <w:bookmarkEnd w:id="96"/>
      <w:bookmarkStart w:id="97" w:name="EB5490f1f2f3114715a358059518329d4c"/>
      <w:r>
        <w:rPr>
          <w:rFonts w:hint="eastAsia"/>
          <w:color w:val="auto"/>
          <w:sz w:val="20"/>
          <w:highlight w:val="none"/>
        </w:rPr>
        <w:t xml:space="preserve"> </w:t>
      </w:r>
      <w:bookmarkEnd w:id="97"/>
    </w:p>
    <w:p w14:paraId="3E9DD324">
      <w:pPr>
        <w:pStyle w:val="9"/>
        <w:spacing w:line="400" w:lineRule="exact"/>
        <w:outlineLvl w:val="2"/>
        <w:rPr>
          <w:rFonts w:hint="default" w:ascii="宋体" w:hAnsi="宋体" w:eastAsia="宋体"/>
          <w:b/>
          <w:color w:val="auto"/>
          <w:sz w:val="24"/>
          <w:szCs w:val="24"/>
          <w:highlight w:val="none"/>
          <w:lang w:val="en-US" w:eastAsia="zh-CN"/>
        </w:rPr>
      </w:pPr>
      <w:bookmarkStart w:id="98" w:name="_Toc25690"/>
      <w:r>
        <w:rPr>
          <w:rFonts w:hint="eastAsia" w:ascii="宋体" w:hAnsi="宋体"/>
          <w:b/>
          <w:color w:val="auto"/>
          <w:sz w:val="24"/>
          <w:szCs w:val="24"/>
          <w:highlight w:val="none"/>
        </w:rPr>
        <w:t xml:space="preserve">8. </w:t>
      </w:r>
      <w:r>
        <w:rPr>
          <w:rFonts w:hint="eastAsia" w:ascii="宋体" w:hAnsi="宋体" w:eastAsia="宋体"/>
          <w:b/>
          <w:color w:val="auto"/>
          <w:sz w:val="24"/>
          <w:szCs w:val="24"/>
          <w:highlight w:val="none"/>
          <w:lang w:val="en-US" w:eastAsia="zh-CN"/>
        </w:rPr>
        <w:t>纪律和监督</w:t>
      </w:r>
      <w:bookmarkEnd w:id="98"/>
    </w:p>
    <w:p w14:paraId="469EB38A">
      <w:pPr>
        <w:pStyle w:val="9"/>
        <w:spacing w:line="400" w:lineRule="exact"/>
        <w:outlineLvl w:val="3"/>
        <w:rPr>
          <w:rFonts w:hint="default" w:ascii="宋体" w:hAnsi="宋体" w:eastAsia="宋体"/>
          <w:b/>
          <w:bCs/>
          <w:color w:val="auto"/>
          <w:highlight w:val="none"/>
          <w:lang w:val="en-US" w:eastAsia="zh-CN"/>
        </w:rPr>
      </w:pPr>
      <w:r>
        <w:rPr>
          <w:rFonts w:hint="eastAsia" w:ascii="宋体" w:hAnsi="宋体"/>
          <w:b/>
          <w:bCs/>
          <w:color w:val="auto"/>
          <w:highlight w:val="none"/>
        </w:rPr>
        <w:t xml:space="preserve">8.1 </w:t>
      </w:r>
      <w:r>
        <w:rPr>
          <w:rFonts w:hint="eastAsia" w:ascii="宋体" w:hAnsi="宋体" w:eastAsia="宋体"/>
          <w:b/>
          <w:bCs/>
          <w:color w:val="auto"/>
          <w:highlight w:val="none"/>
          <w:lang w:val="en-US" w:eastAsia="zh-CN"/>
        </w:rPr>
        <w:t>对招标人的纪律要求</w:t>
      </w:r>
    </w:p>
    <w:p w14:paraId="0300D309">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招标人不得泄漏招标投标活动中应当保密的情况和资料，不得与投标人串通损害国家利益、社会公共利益或他人合法权益。</w:t>
      </w:r>
    </w:p>
    <w:p w14:paraId="7D5D3CE5">
      <w:pPr>
        <w:pStyle w:val="9"/>
        <w:spacing w:line="400" w:lineRule="exact"/>
        <w:outlineLvl w:val="3"/>
        <w:rPr>
          <w:rFonts w:hint="default" w:ascii="宋体" w:hAnsi="宋体" w:eastAsia="宋体"/>
          <w:b/>
          <w:bCs/>
          <w:color w:val="auto"/>
          <w:highlight w:val="none"/>
          <w:lang w:val="en-US" w:eastAsia="zh-CN"/>
        </w:rPr>
      </w:pPr>
      <w:r>
        <w:rPr>
          <w:rFonts w:hint="eastAsia" w:ascii="宋体" w:hAnsi="宋体"/>
          <w:b/>
          <w:bCs/>
          <w:color w:val="auto"/>
          <w:highlight w:val="none"/>
        </w:rPr>
        <w:t>8.</w:t>
      </w:r>
      <w:r>
        <w:rPr>
          <w:rFonts w:hint="eastAsia" w:ascii="宋体" w:hAnsi="宋体" w:eastAsia="宋体"/>
          <w:b/>
          <w:bCs/>
          <w:color w:val="auto"/>
          <w:highlight w:val="none"/>
          <w:lang w:val="en-US" w:eastAsia="zh-CN"/>
        </w:rPr>
        <w:t>2</w:t>
      </w:r>
      <w:r>
        <w:rPr>
          <w:rFonts w:hint="eastAsia" w:ascii="宋体" w:hAnsi="宋体"/>
          <w:b/>
          <w:bCs/>
          <w:color w:val="auto"/>
          <w:highlight w:val="none"/>
        </w:rPr>
        <w:t xml:space="preserve"> </w:t>
      </w:r>
      <w:r>
        <w:rPr>
          <w:rFonts w:hint="eastAsia" w:ascii="宋体" w:hAnsi="宋体" w:eastAsia="宋体"/>
          <w:b/>
          <w:bCs/>
          <w:color w:val="auto"/>
          <w:highlight w:val="none"/>
          <w:lang w:val="en-US" w:eastAsia="zh-CN"/>
        </w:rPr>
        <w:t>对投标人的纪律要求</w:t>
      </w:r>
    </w:p>
    <w:p w14:paraId="719053D3">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投标人不得相互串通投标或者与招标人串通投标，不得向招标人或者评标委员会成员行贿谋取中标，不得以他人名义投标或者以其他方式弄虚作假骗取中标；投标人不得以任何方式干扰、影响评标工作。 </w:t>
      </w:r>
    </w:p>
    <w:p w14:paraId="26D96169">
      <w:pPr>
        <w:pStyle w:val="9"/>
        <w:spacing w:line="400" w:lineRule="exact"/>
        <w:outlineLvl w:val="3"/>
        <w:rPr>
          <w:rFonts w:hint="eastAsia" w:ascii="宋体" w:hAnsi="宋体" w:eastAsia="Times New Roman" w:cs="Times New Roman"/>
          <w:b/>
          <w:bCs/>
          <w:color w:val="auto"/>
          <w:highlight w:val="none"/>
          <w:lang w:val="en-US" w:eastAsia="zh-CN"/>
        </w:rPr>
      </w:pPr>
      <w:r>
        <w:rPr>
          <w:rFonts w:hint="eastAsia" w:ascii="宋体" w:hAnsi="宋体" w:eastAsia="Times New Roman" w:cs="Times New Roman"/>
          <w:b/>
          <w:bCs/>
          <w:color w:val="auto"/>
          <w:highlight w:val="none"/>
          <w:lang w:val="en-US" w:eastAsia="zh-CN"/>
        </w:rPr>
        <w:t xml:space="preserve">8.3 对评标委员会成员的纪律要求 </w:t>
      </w:r>
    </w:p>
    <w:p w14:paraId="536F2F67">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评标委员会成员不得收受他人的财物或者其他好处，不得向他人透漏对投标文件的评审和比较、中标候选人的推荐情况以及评标有关的其他情况。在评标活动中，评标委员会成员应客观、公正地履行职责，遵守职业道德，不得擅离职守，影响评标程序正常进行，不得使用第三章“评标办法”没有规定的评审因素和标准进行评标。 </w:t>
      </w:r>
    </w:p>
    <w:p w14:paraId="73E91ED5">
      <w:pPr>
        <w:pStyle w:val="9"/>
        <w:spacing w:line="400" w:lineRule="exact"/>
        <w:outlineLvl w:val="3"/>
        <w:rPr>
          <w:rFonts w:hint="eastAsia" w:ascii="宋体" w:hAnsi="宋体" w:eastAsia="Times New Roman" w:cs="Times New Roman"/>
          <w:b/>
          <w:bCs/>
          <w:color w:val="auto"/>
          <w:highlight w:val="none"/>
          <w:lang w:val="en-US" w:eastAsia="zh-CN"/>
        </w:rPr>
      </w:pPr>
      <w:r>
        <w:rPr>
          <w:rFonts w:hint="eastAsia" w:ascii="宋体" w:hAnsi="宋体" w:eastAsia="Times New Roman" w:cs="Times New Roman"/>
          <w:b/>
          <w:bCs/>
          <w:color w:val="auto"/>
          <w:highlight w:val="none"/>
          <w:lang w:val="en-US" w:eastAsia="zh-CN"/>
        </w:rPr>
        <w:t xml:space="preserve">8.4 对与评标活动有关的工作人员的纪律要求 </w:t>
      </w:r>
    </w:p>
    <w:p w14:paraId="1B2FA624">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 </w:t>
      </w:r>
    </w:p>
    <w:p w14:paraId="5CE90787">
      <w:pPr>
        <w:pStyle w:val="9"/>
        <w:spacing w:line="400" w:lineRule="exact"/>
        <w:outlineLvl w:val="3"/>
        <w:rPr>
          <w:rFonts w:hint="eastAsia" w:ascii="宋体" w:hAnsi="宋体" w:eastAsia="Times New Roman" w:cs="Times New Roman"/>
          <w:b/>
          <w:bCs/>
          <w:color w:val="auto"/>
          <w:highlight w:val="none"/>
          <w:lang w:val="en-US" w:eastAsia="zh-CN"/>
        </w:rPr>
      </w:pPr>
      <w:r>
        <w:rPr>
          <w:rFonts w:hint="eastAsia" w:ascii="宋体" w:hAnsi="宋体" w:eastAsia="Times New Roman" w:cs="Times New Roman"/>
          <w:b/>
          <w:bCs/>
          <w:color w:val="auto"/>
          <w:highlight w:val="none"/>
          <w:lang w:val="en-US" w:eastAsia="zh-CN"/>
        </w:rPr>
        <w:t xml:space="preserve">8.5 投诉 </w:t>
      </w:r>
    </w:p>
    <w:p w14:paraId="54095B75">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8.5.1 招标人逾期未答复异议事项，或者潜在投标人或其他利害关系人对招标人的答复不满意，或者潜在投标人或其他利害关系人认为本次招标活动违反法律、法规和规章规定的，投标人或其他利害关系人可以自知道或应当知道之日起 10 日内向有关行政监督部门投诉。投诉应按《中华人民共和国招标投标法实施条例》及《关于废止和修改部分招标投标规章和规范性文件的决定》（国家发改委等九部委令 2013 年第 23号）办理。 </w:t>
      </w:r>
    </w:p>
    <w:p w14:paraId="247AB291">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上述时限最后一日如遇国家法定休假日的，顺延至法定休假日后的第一个工作日。 </w:t>
      </w:r>
    </w:p>
    <w:p w14:paraId="7E83048F">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监督部门的联系方式见投标人须知前附表。 </w:t>
      </w:r>
    </w:p>
    <w:p w14:paraId="2C7072ED">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8.5.2 投标人或其他利害关系人对招标文件、开标和评标结果提出投诉的，应按照本章第 2.4 款、第 5.3 款和第 7.2 款的规定先向招标人提出异议。异议答复期间不计算在第 8.5.1 项规定的期限内。 </w:t>
      </w:r>
    </w:p>
    <w:p w14:paraId="5399279C">
      <w:pPr>
        <w:pStyle w:val="9"/>
        <w:spacing w:line="400" w:lineRule="exact"/>
        <w:outlineLvl w:val="2"/>
        <w:rPr>
          <w:rFonts w:hint="default" w:ascii="宋体" w:hAnsi="宋体" w:eastAsia="宋体"/>
          <w:b/>
          <w:color w:val="auto"/>
          <w:sz w:val="24"/>
          <w:szCs w:val="24"/>
          <w:highlight w:val="none"/>
          <w:lang w:val="en-US" w:eastAsia="zh-CN"/>
        </w:rPr>
      </w:pPr>
      <w:bookmarkStart w:id="99" w:name="_Toc26034"/>
      <w:r>
        <w:rPr>
          <w:rFonts w:hint="eastAsia" w:ascii="宋体" w:hAnsi="宋体" w:eastAsia="宋体"/>
          <w:b/>
          <w:color w:val="auto"/>
          <w:sz w:val="24"/>
          <w:szCs w:val="24"/>
          <w:highlight w:val="none"/>
          <w:lang w:val="en-US" w:eastAsia="zh-CN"/>
        </w:rPr>
        <w:t>9</w:t>
      </w:r>
      <w:r>
        <w:rPr>
          <w:rFonts w:hint="eastAsia" w:ascii="宋体" w:hAnsi="宋体"/>
          <w:b/>
          <w:color w:val="auto"/>
          <w:sz w:val="24"/>
          <w:szCs w:val="24"/>
          <w:highlight w:val="none"/>
        </w:rPr>
        <w:t xml:space="preserve">. </w:t>
      </w:r>
      <w:r>
        <w:rPr>
          <w:rFonts w:hint="eastAsia" w:ascii="宋体" w:hAnsi="宋体" w:eastAsia="宋体"/>
          <w:b/>
          <w:color w:val="auto"/>
          <w:sz w:val="24"/>
          <w:szCs w:val="24"/>
          <w:highlight w:val="none"/>
          <w:lang w:val="en-US" w:eastAsia="zh-CN"/>
        </w:rPr>
        <w:t>需要补充的其他内容</w:t>
      </w:r>
      <w:bookmarkEnd w:id="99"/>
    </w:p>
    <w:p w14:paraId="2B0D4F99">
      <w:pPr>
        <w:pStyle w:val="9"/>
        <w:spacing w:line="400" w:lineRule="exact"/>
        <w:outlineLvl w:val="3"/>
        <w:rPr>
          <w:rFonts w:hint="default" w:ascii="宋体" w:hAnsi="宋体" w:eastAsia="宋体"/>
          <w:b/>
          <w:bCs/>
          <w:color w:val="auto"/>
          <w:highlight w:val="none"/>
          <w:lang w:val="en-US" w:eastAsia="zh-CN"/>
        </w:rPr>
      </w:pPr>
      <w:r>
        <w:rPr>
          <w:rFonts w:hint="eastAsia" w:ascii="宋体" w:hAnsi="宋体" w:eastAsia="宋体"/>
          <w:b/>
          <w:bCs/>
          <w:color w:val="auto"/>
          <w:highlight w:val="none"/>
          <w:lang w:val="en-US" w:eastAsia="zh-CN"/>
        </w:rPr>
        <w:t>9</w:t>
      </w:r>
      <w:r>
        <w:rPr>
          <w:rFonts w:hint="eastAsia" w:ascii="宋体" w:hAnsi="宋体"/>
          <w:b/>
          <w:bCs/>
          <w:color w:val="auto"/>
          <w:highlight w:val="none"/>
        </w:rPr>
        <w:t xml:space="preserve">.1 </w:t>
      </w:r>
      <w:r>
        <w:rPr>
          <w:rFonts w:hint="eastAsia" w:ascii="宋体" w:hAnsi="宋体" w:eastAsia="宋体"/>
          <w:b/>
          <w:bCs/>
          <w:color w:val="auto"/>
          <w:highlight w:val="none"/>
          <w:lang w:val="en-US" w:eastAsia="zh-CN"/>
        </w:rPr>
        <w:t>其他注意事项</w:t>
      </w:r>
    </w:p>
    <w:p w14:paraId="7A265484">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自获取招标文件之日起，投标人应自行关注“电子交易平台”，以便及时收到招标人发出的函件（招标文件的澄清、修改等），投标文件递交后应保证其提供的联系方式（电话、传真、电子邮件）一直有效并应及时向招标人反馈信息，否则招标人不承担由此引起的一切后果。 </w:t>
      </w:r>
    </w:p>
    <w:p w14:paraId="626CC634">
      <w:pPr>
        <w:pStyle w:val="9"/>
        <w:spacing w:line="400" w:lineRule="exact"/>
        <w:outlineLvl w:val="3"/>
        <w:rPr>
          <w:rFonts w:hint="default" w:ascii="宋体" w:hAnsi="宋体" w:eastAsia="宋体"/>
          <w:b/>
          <w:bCs/>
          <w:color w:val="auto"/>
          <w:highlight w:val="none"/>
          <w:lang w:val="en-US" w:eastAsia="zh-CN"/>
        </w:rPr>
      </w:pPr>
      <w:bookmarkStart w:id="100" w:name="EBb4d7d7c16da74c18ba0b06e5afcb6d67"/>
      <w:r>
        <w:rPr>
          <w:rFonts w:hint="eastAsia" w:ascii="宋体" w:hAnsi="宋体"/>
          <w:b/>
          <w:bCs/>
          <w:color w:val="auto"/>
          <w:highlight w:val="none"/>
        </w:rPr>
        <w:t>9.</w:t>
      </w:r>
      <w:r>
        <w:rPr>
          <w:rFonts w:hint="eastAsia" w:ascii="宋体" w:hAnsi="宋体" w:eastAsia="宋体"/>
          <w:b/>
          <w:bCs/>
          <w:color w:val="auto"/>
          <w:highlight w:val="none"/>
          <w:lang w:val="en-US" w:eastAsia="zh-CN"/>
        </w:rPr>
        <w:t>2</w:t>
      </w:r>
      <w:r>
        <w:rPr>
          <w:rFonts w:hint="eastAsia" w:ascii="宋体" w:hAnsi="宋体"/>
          <w:b/>
          <w:bCs/>
          <w:color w:val="auto"/>
          <w:highlight w:val="none"/>
        </w:rPr>
        <w:t xml:space="preserve"> </w:t>
      </w:r>
      <w:r>
        <w:rPr>
          <w:rFonts w:hint="eastAsia" w:ascii="宋体" w:hAnsi="宋体" w:eastAsia="宋体"/>
          <w:b/>
          <w:bCs/>
          <w:color w:val="auto"/>
          <w:highlight w:val="none"/>
          <w:lang w:val="en-US" w:eastAsia="zh-CN"/>
        </w:rPr>
        <w:t>其他约定</w:t>
      </w:r>
    </w:p>
    <w:bookmarkEnd w:id="100"/>
    <w:p w14:paraId="3E4936F1">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需要补充的其他内容：见投标人须知前附表。</w:t>
      </w:r>
    </w:p>
    <w:p w14:paraId="5715D8D9">
      <w:pPr>
        <w:pStyle w:val="9"/>
        <w:spacing w:line="400" w:lineRule="exact"/>
        <w:ind w:firstLine="420"/>
        <w:rPr>
          <w:rFonts w:hint="eastAsia" w:ascii="宋体" w:hAnsi="宋体"/>
          <w:color w:val="auto"/>
          <w:szCs w:val="21"/>
          <w:highlight w:val="none"/>
        </w:rPr>
      </w:pPr>
    </w:p>
    <w:p w14:paraId="3D32DBB3">
      <w:pPr>
        <w:pStyle w:val="9"/>
        <w:rPr>
          <w:color w:val="auto"/>
          <w:highlight w:val="none"/>
        </w:rPr>
      </w:pPr>
      <w:bookmarkStart w:id="101" w:name="EB32a49eed5e014a3aa21e33ddd9f37c73"/>
      <w:r>
        <w:rPr>
          <w:rFonts w:hint="eastAsia"/>
          <w:color w:val="auto"/>
          <w:sz w:val="20"/>
          <w:highlight w:val="none"/>
        </w:rPr>
        <w:t xml:space="preserve"> </w:t>
      </w:r>
      <w:bookmarkEnd w:id="101"/>
    </w:p>
    <w:p w14:paraId="6505CF1E">
      <w:pPr>
        <w:pStyle w:val="9"/>
        <w:rPr>
          <w:color w:val="auto"/>
          <w:highlight w:val="none"/>
        </w:rPr>
      </w:pPr>
      <w:bookmarkStart w:id="102" w:name="EB5f2f9c2557c44c2cb9331cc3f79951db"/>
      <w:r>
        <w:rPr>
          <w:rFonts w:hint="eastAsia"/>
          <w:color w:val="auto"/>
          <w:sz w:val="20"/>
          <w:highlight w:val="none"/>
        </w:rPr>
        <w:t xml:space="preserve"> </w:t>
      </w:r>
      <w:bookmarkEnd w:id="102"/>
      <w:bookmarkStart w:id="103" w:name="EBf79d25d2d0944346aaf4151a94a03dfd"/>
      <w:r>
        <w:rPr>
          <w:rFonts w:hint="eastAsia"/>
          <w:color w:val="auto"/>
          <w:sz w:val="20"/>
          <w:highlight w:val="none"/>
        </w:rPr>
        <w:t xml:space="preserve"> </w:t>
      </w:r>
      <w:bookmarkEnd w:id="103"/>
    </w:p>
    <w:p w14:paraId="6C4FBA1B">
      <w:pPr>
        <w:pStyle w:val="9"/>
        <w:keepNext/>
        <w:keepLines/>
        <w:pageBreakBefore/>
        <w:widowControl w:val="0"/>
        <w:kinsoku/>
        <w:wordWrap/>
        <w:overflowPunct/>
        <w:topLinePunct w:val="0"/>
        <w:autoSpaceDE/>
        <w:autoSpaceDN/>
        <w:bidi w:val="0"/>
        <w:adjustRightInd/>
        <w:snapToGrid/>
        <w:textAlignment w:val="auto"/>
        <w:outlineLvl w:val="2"/>
        <w:rPr>
          <w:rFonts w:ascii="黑体" w:hAnsi="黑体"/>
          <w:color w:val="auto"/>
          <w:highlight w:val="none"/>
        </w:rPr>
      </w:pPr>
      <w:bookmarkStart w:id="104" w:name="_Toc17666"/>
      <w:r>
        <w:rPr>
          <w:rFonts w:hint="eastAsia" w:ascii="黑体" w:hAnsi="黑体" w:eastAsia="黑体"/>
          <w:color w:val="auto"/>
          <w:sz w:val="24"/>
          <w:highlight w:val="none"/>
        </w:rPr>
        <w:t>附表一：开标记录表</w:t>
      </w:r>
      <w:bookmarkEnd w:id="104"/>
    </w:p>
    <w:p w14:paraId="313EE966">
      <w:pPr>
        <w:pStyle w:val="9"/>
        <w:rPr>
          <w:color w:val="auto"/>
          <w:highlight w:val="none"/>
        </w:rPr>
      </w:pPr>
    </w:p>
    <w:p w14:paraId="1186A802">
      <w:pPr>
        <w:pStyle w:val="9"/>
        <w:spacing w:line="400" w:lineRule="exact"/>
        <w:jc w:val="center"/>
        <w:rPr>
          <w:rFonts w:ascii="黑体" w:eastAsia="黑体"/>
          <w:color w:val="auto"/>
          <w:sz w:val="28"/>
          <w:szCs w:val="28"/>
          <w:highlight w:val="none"/>
        </w:rPr>
      </w:pPr>
      <w:r>
        <w:rPr>
          <w:rFonts w:hint="eastAsia" w:ascii="黑体" w:eastAsia="黑体"/>
          <w:color w:val="auto"/>
          <w:sz w:val="28"/>
          <w:szCs w:val="28"/>
          <w:highlight w:val="none"/>
          <w:u w:val="single"/>
        </w:rPr>
        <w:t>（项目名称）</w:t>
      </w:r>
      <w:r>
        <w:rPr>
          <w:rFonts w:hint="eastAsia" w:ascii="黑体" w:eastAsia="黑体"/>
          <w:color w:val="auto"/>
          <w:sz w:val="28"/>
          <w:szCs w:val="28"/>
          <w:highlight w:val="none"/>
        </w:rPr>
        <w:t xml:space="preserve"> </w:t>
      </w:r>
      <w:r>
        <w:rPr>
          <w:rFonts w:hint="eastAsia" w:ascii="黑体" w:eastAsia="黑体"/>
          <w:color w:val="auto"/>
          <w:sz w:val="28"/>
          <w:szCs w:val="28"/>
          <w:highlight w:val="none"/>
          <w:lang w:val="en-US" w:eastAsia="zh-CN"/>
        </w:rPr>
        <w:t>标段</w:t>
      </w:r>
      <w:r>
        <w:rPr>
          <w:rFonts w:hint="eastAsia" w:ascii="黑体" w:eastAsia="黑体"/>
          <w:color w:val="auto"/>
          <w:sz w:val="28"/>
          <w:szCs w:val="28"/>
          <w:highlight w:val="none"/>
        </w:rPr>
        <w:t>施工</w:t>
      </w:r>
      <w:r>
        <w:rPr>
          <w:rFonts w:hint="eastAsia" w:ascii="黑体" w:eastAsia="黑体"/>
          <w:color w:val="auto"/>
          <w:sz w:val="28"/>
          <w:szCs w:val="28"/>
          <w:highlight w:val="none"/>
          <w:lang w:val="en-US" w:eastAsia="zh-CN"/>
        </w:rPr>
        <w:t>招标第一信封（商务及养护工程作业方案）</w:t>
      </w:r>
      <w:r>
        <w:rPr>
          <w:rFonts w:hint="eastAsia" w:ascii="黑体" w:eastAsia="黑体"/>
          <w:color w:val="auto"/>
          <w:sz w:val="28"/>
          <w:szCs w:val="28"/>
          <w:highlight w:val="none"/>
        </w:rPr>
        <w:t>开标记录表</w:t>
      </w:r>
    </w:p>
    <w:p w14:paraId="5DC9056F">
      <w:pPr>
        <w:pStyle w:val="9"/>
        <w:rPr>
          <w:color w:val="auto"/>
          <w:highlight w:val="none"/>
        </w:rPr>
      </w:pPr>
    </w:p>
    <w:p w14:paraId="1CE92400">
      <w:pPr>
        <w:pStyle w:val="9"/>
        <w:spacing w:line="400" w:lineRule="exact"/>
        <w:jc w:val="right"/>
        <w:rPr>
          <w:color w:val="auto"/>
          <w:highlight w:val="none"/>
        </w:rPr>
      </w:pPr>
      <w:r>
        <w:rPr>
          <w:rFonts w:hint="eastAsia"/>
          <w:color w:val="auto"/>
          <w:highlight w:val="none"/>
        </w:rPr>
        <w:t>开标时间：年月日时分</w:t>
      </w:r>
    </w:p>
    <w:tbl>
      <w:tblPr>
        <w:tblStyle w:val="23"/>
        <w:tblW w:w="8905" w:type="dxa"/>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893"/>
        <w:gridCol w:w="2034"/>
        <w:gridCol w:w="1425"/>
        <w:gridCol w:w="1328"/>
        <w:gridCol w:w="1108"/>
        <w:gridCol w:w="1057"/>
        <w:gridCol w:w="1060"/>
      </w:tblGrid>
      <w:tr w14:paraId="01E03D2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500" w:hRule="atLeast"/>
        </w:trPr>
        <w:tc>
          <w:tcPr>
            <w:tcW w:w="893" w:type="dxa"/>
            <w:noWrap w:val="0"/>
            <w:vAlign w:val="center"/>
          </w:tcPr>
          <w:p w14:paraId="00CFCC93">
            <w:pPr>
              <w:pStyle w:val="9"/>
              <w:spacing w:line="320" w:lineRule="exact"/>
              <w:jc w:val="center"/>
              <w:rPr>
                <w:color w:val="auto"/>
                <w:szCs w:val="21"/>
                <w:highlight w:val="none"/>
              </w:rPr>
            </w:pPr>
            <w:r>
              <w:rPr>
                <w:color w:val="auto"/>
                <w:szCs w:val="21"/>
                <w:highlight w:val="none"/>
              </w:rPr>
              <w:t>序号</w:t>
            </w:r>
          </w:p>
        </w:tc>
        <w:tc>
          <w:tcPr>
            <w:tcW w:w="2034" w:type="dxa"/>
            <w:noWrap w:val="0"/>
            <w:vAlign w:val="center"/>
          </w:tcPr>
          <w:p w14:paraId="6E4AAD72">
            <w:pPr>
              <w:pStyle w:val="9"/>
              <w:spacing w:line="320" w:lineRule="exact"/>
              <w:jc w:val="center"/>
              <w:rPr>
                <w:color w:val="auto"/>
                <w:szCs w:val="21"/>
                <w:highlight w:val="none"/>
              </w:rPr>
            </w:pPr>
            <w:r>
              <w:rPr>
                <w:color w:val="auto"/>
                <w:szCs w:val="21"/>
                <w:highlight w:val="none"/>
              </w:rPr>
              <w:t>投标人</w:t>
            </w:r>
          </w:p>
        </w:tc>
        <w:tc>
          <w:tcPr>
            <w:tcW w:w="1425" w:type="dxa"/>
            <w:noWrap w:val="0"/>
            <w:vAlign w:val="center"/>
          </w:tcPr>
          <w:p w14:paraId="79C5CABB">
            <w:pPr>
              <w:pStyle w:val="9"/>
              <w:spacing w:line="320" w:lineRule="exact"/>
              <w:jc w:val="center"/>
              <w:rPr>
                <w:rFonts w:hint="default" w:eastAsia="宋体"/>
                <w:color w:val="auto"/>
                <w:szCs w:val="21"/>
                <w:highlight w:val="none"/>
                <w:lang w:val="en-US" w:eastAsia="zh-CN"/>
              </w:rPr>
            </w:pPr>
            <w:r>
              <w:rPr>
                <w:rFonts w:hint="eastAsia" w:eastAsia="宋体"/>
                <w:color w:val="auto"/>
                <w:szCs w:val="21"/>
                <w:highlight w:val="none"/>
                <w:lang w:val="en-US" w:eastAsia="zh-CN"/>
              </w:rPr>
              <w:t>质量目标</w:t>
            </w:r>
          </w:p>
        </w:tc>
        <w:tc>
          <w:tcPr>
            <w:tcW w:w="1328" w:type="dxa"/>
            <w:noWrap w:val="0"/>
            <w:vAlign w:val="center"/>
          </w:tcPr>
          <w:p w14:paraId="1B9BE719">
            <w:pPr>
              <w:pStyle w:val="9"/>
              <w:spacing w:line="320" w:lineRule="exact"/>
              <w:jc w:val="center"/>
              <w:rPr>
                <w:color w:val="auto"/>
                <w:szCs w:val="21"/>
                <w:highlight w:val="none"/>
              </w:rPr>
            </w:pPr>
            <w:r>
              <w:rPr>
                <w:rFonts w:hint="eastAsia" w:eastAsia="宋体"/>
                <w:color w:val="auto"/>
                <w:szCs w:val="21"/>
                <w:highlight w:val="none"/>
                <w:lang w:val="en-US" w:eastAsia="zh-CN"/>
              </w:rPr>
              <w:t>安全</w:t>
            </w:r>
            <w:r>
              <w:rPr>
                <w:color w:val="auto"/>
                <w:szCs w:val="21"/>
                <w:highlight w:val="none"/>
              </w:rPr>
              <w:t>目标</w:t>
            </w:r>
          </w:p>
        </w:tc>
        <w:tc>
          <w:tcPr>
            <w:tcW w:w="1108" w:type="dxa"/>
            <w:tcBorders>
              <w:right w:val="single" w:color="auto" w:sz="4" w:space="0"/>
            </w:tcBorders>
            <w:noWrap w:val="0"/>
            <w:vAlign w:val="center"/>
          </w:tcPr>
          <w:p w14:paraId="7A5BBA81">
            <w:pPr>
              <w:pStyle w:val="9"/>
              <w:spacing w:line="320" w:lineRule="exact"/>
              <w:jc w:val="center"/>
              <w:rPr>
                <w:color w:val="auto"/>
                <w:szCs w:val="21"/>
                <w:highlight w:val="none"/>
              </w:rPr>
            </w:pPr>
            <w:r>
              <w:rPr>
                <w:color w:val="auto"/>
                <w:szCs w:val="21"/>
                <w:highlight w:val="none"/>
              </w:rPr>
              <w:t>工期</w:t>
            </w:r>
          </w:p>
        </w:tc>
        <w:tc>
          <w:tcPr>
            <w:tcW w:w="1057" w:type="dxa"/>
            <w:tcBorders>
              <w:left w:val="single" w:color="auto" w:sz="4" w:space="0"/>
            </w:tcBorders>
            <w:noWrap w:val="0"/>
            <w:vAlign w:val="center"/>
          </w:tcPr>
          <w:p w14:paraId="533ACEAB">
            <w:pPr>
              <w:pStyle w:val="9"/>
              <w:spacing w:line="320" w:lineRule="exact"/>
              <w:jc w:val="center"/>
              <w:rPr>
                <w:color w:val="auto"/>
                <w:szCs w:val="21"/>
                <w:highlight w:val="none"/>
              </w:rPr>
            </w:pPr>
            <w:r>
              <w:rPr>
                <w:color w:val="auto"/>
                <w:szCs w:val="21"/>
                <w:highlight w:val="none"/>
              </w:rPr>
              <w:t>备注</w:t>
            </w:r>
          </w:p>
        </w:tc>
        <w:tc>
          <w:tcPr>
            <w:tcW w:w="1060" w:type="dxa"/>
            <w:noWrap w:val="0"/>
            <w:vAlign w:val="center"/>
          </w:tcPr>
          <w:p w14:paraId="3BA439A0">
            <w:pPr>
              <w:pStyle w:val="9"/>
              <w:spacing w:line="320" w:lineRule="exact"/>
              <w:jc w:val="center"/>
              <w:rPr>
                <w:rFonts w:hint="eastAsia" w:eastAsia="宋体"/>
                <w:color w:val="auto"/>
                <w:szCs w:val="21"/>
                <w:highlight w:val="none"/>
                <w:lang w:val="en-US" w:eastAsia="zh-CN"/>
              </w:rPr>
            </w:pPr>
            <w:r>
              <w:rPr>
                <w:rFonts w:hint="eastAsia" w:eastAsia="宋体"/>
                <w:color w:val="auto"/>
                <w:szCs w:val="21"/>
                <w:highlight w:val="none"/>
                <w:lang w:val="en-US" w:eastAsia="zh-CN"/>
              </w:rPr>
              <w:t>签名</w:t>
            </w:r>
          </w:p>
        </w:tc>
      </w:tr>
      <w:tr w14:paraId="337D4ED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00" w:hRule="atLeast"/>
        </w:trPr>
        <w:tc>
          <w:tcPr>
            <w:tcW w:w="893" w:type="dxa"/>
            <w:noWrap w:val="0"/>
            <w:vAlign w:val="center"/>
          </w:tcPr>
          <w:p w14:paraId="76C61F6D">
            <w:pPr>
              <w:pStyle w:val="9"/>
              <w:spacing w:line="500" w:lineRule="exact"/>
              <w:jc w:val="center"/>
              <w:rPr>
                <w:color w:val="auto"/>
                <w:szCs w:val="21"/>
                <w:highlight w:val="none"/>
              </w:rPr>
            </w:pPr>
          </w:p>
        </w:tc>
        <w:tc>
          <w:tcPr>
            <w:tcW w:w="2034" w:type="dxa"/>
            <w:noWrap w:val="0"/>
            <w:vAlign w:val="center"/>
          </w:tcPr>
          <w:p w14:paraId="2504CC20">
            <w:pPr>
              <w:pStyle w:val="9"/>
              <w:spacing w:line="500" w:lineRule="exact"/>
              <w:jc w:val="center"/>
              <w:rPr>
                <w:color w:val="auto"/>
                <w:szCs w:val="21"/>
                <w:highlight w:val="none"/>
              </w:rPr>
            </w:pPr>
          </w:p>
        </w:tc>
        <w:tc>
          <w:tcPr>
            <w:tcW w:w="1425" w:type="dxa"/>
            <w:noWrap w:val="0"/>
            <w:vAlign w:val="center"/>
          </w:tcPr>
          <w:p w14:paraId="0ACF18B3">
            <w:pPr>
              <w:pStyle w:val="9"/>
              <w:spacing w:line="500" w:lineRule="exact"/>
              <w:jc w:val="center"/>
              <w:rPr>
                <w:color w:val="auto"/>
                <w:szCs w:val="21"/>
                <w:highlight w:val="none"/>
              </w:rPr>
            </w:pPr>
          </w:p>
        </w:tc>
        <w:tc>
          <w:tcPr>
            <w:tcW w:w="1328" w:type="dxa"/>
            <w:noWrap w:val="0"/>
            <w:vAlign w:val="center"/>
          </w:tcPr>
          <w:p w14:paraId="63F2DF0E">
            <w:pPr>
              <w:pStyle w:val="9"/>
              <w:spacing w:line="500" w:lineRule="exact"/>
              <w:jc w:val="center"/>
              <w:rPr>
                <w:color w:val="auto"/>
                <w:szCs w:val="21"/>
                <w:highlight w:val="none"/>
              </w:rPr>
            </w:pPr>
          </w:p>
        </w:tc>
        <w:tc>
          <w:tcPr>
            <w:tcW w:w="1108" w:type="dxa"/>
            <w:tcBorders>
              <w:right w:val="single" w:color="auto" w:sz="4" w:space="0"/>
            </w:tcBorders>
            <w:noWrap w:val="0"/>
            <w:vAlign w:val="center"/>
          </w:tcPr>
          <w:p w14:paraId="3811BDB3">
            <w:pPr>
              <w:pStyle w:val="9"/>
              <w:spacing w:line="500" w:lineRule="exact"/>
              <w:jc w:val="center"/>
              <w:rPr>
                <w:color w:val="auto"/>
                <w:szCs w:val="21"/>
                <w:highlight w:val="none"/>
              </w:rPr>
            </w:pPr>
          </w:p>
        </w:tc>
        <w:tc>
          <w:tcPr>
            <w:tcW w:w="1057" w:type="dxa"/>
            <w:tcBorders>
              <w:left w:val="single" w:color="auto" w:sz="4" w:space="0"/>
            </w:tcBorders>
            <w:noWrap w:val="0"/>
            <w:vAlign w:val="center"/>
          </w:tcPr>
          <w:p w14:paraId="5B8CD1C9">
            <w:pPr>
              <w:pStyle w:val="9"/>
              <w:spacing w:line="500" w:lineRule="exact"/>
              <w:jc w:val="center"/>
              <w:rPr>
                <w:color w:val="auto"/>
                <w:szCs w:val="21"/>
                <w:highlight w:val="none"/>
              </w:rPr>
            </w:pPr>
          </w:p>
        </w:tc>
        <w:tc>
          <w:tcPr>
            <w:tcW w:w="1060" w:type="dxa"/>
            <w:noWrap w:val="0"/>
            <w:vAlign w:val="center"/>
          </w:tcPr>
          <w:p w14:paraId="5EF9B859">
            <w:pPr>
              <w:pStyle w:val="9"/>
              <w:spacing w:line="500" w:lineRule="exact"/>
              <w:jc w:val="center"/>
              <w:rPr>
                <w:color w:val="auto"/>
                <w:szCs w:val="21"/>
                <w:highlight w:val="none"/>
              </w:rPr>
            </w:pPr>
          </w:p>
        </w:tc>
      </w:tr>
      <w:tr w14:paraId="337CD3D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00" w:hRule="atLeast"/>
        </w:trPr>
        <w:tc>
          <w:tcPr>
            <w:tcW w:w="893" w:type="dxa"/>
            <w:noWrap w:val="0"/>
            <w:vAlign w:val="center"/>
          </w:tcPr>
          <w:p w14:paraId="3C20C9A0">
            <w:pPr>
              <w:pStyle w:val="9"/>
              <w:spacing w:line="500" w:lineRule="exact"/>
              <w:jc w:val="center"/>
              <w:rPr>
                <w:color w:val="auto"/>
                <w:szCs w:val="21"/>
                <w:highlight w:val="none"/>
              </w:rPr>
            </w:pPr>
          </w:p>
        </w:tc>
        <w:tc>
          <w:tcPr>
            <w:tcW w:w="2034" w:type="dxa"/>
            <w:noWrap w:val="0"/>
            <w:vAlign w:val="center"/>
          </w:tcPr>
          <w:p w14:paraId="721FC1F0">
            <w:pPr>
              <w:pStyle w:val="9"/>
              <w:spacing w:line="500" w:lineRule="exact"/>
              <w:jc w:val="center"/>
              <w:rPr>
                <w:color w:val="auto"/>
                <w:szCs w:val="21"/>
                <w:highlight w:val="none"/>
              </w:rPr>
            </w:pPr>
          </w:p>
        </w:tc>
        <w:tc>
          <w:tcPr>
            <w:tcW w:w="1425" w:type="dxa"/>
            <w:noWrap w:val="0"/>
            <w:vAlign w:val="center"/>
          </w:tcPr>
          <w:p w14:paraId="5318DD62">
            <w:pPr>
              <w:pStyle w:val="9"/>
              <w:spacing w:line="500" w:lineRule="exact"/>
              <w:jc w:val="center"/>
              <w:rPr>
                <w:color w:val="auto"/>
                <w:szCs w:val="21"/>
                <w:highlight w:val="none"/>
              </w:rPr>
            </w:pPr>
          </w:p>
        </w:tc>
        <w:tc>
          <w:tcPr>
            <w:tcW w:w="1328" w:type="dxa"/>
            <w:noWrap w:val="0"/>
            <w:vAlign w:val="center"/>
          </w:tcPr>
          <w:p w14:paraId="080CA639">
            <w:pPr>
              <w:pStyle w:val="9"/>
              <w:spacing w:line="500" w:lineRule="exact"/>
              <w:jc w:val="center"/>
              <w:rPr>
                <w:color w:val="auto"/>
                <w:szCs w:val="21"/>
                <w:highlight w:val="none"/>
              </w:rPr>
            </w:pPr>
          </w:p>
        </w:tc>
        <w:tc>
          <w:tcPr>
            <w:tcW w:w="1108" w:type="dxa"/>
            <w:tcBorders>
              <w:right w:val="single" w:color="auto" w:sz="4" w:space="0"/>
            </w:tcBorders>
            <w:noWrap w:val="0"/>
            <w:vAlign w:val="center"/>
          </w:tcPr>
          <w:p w14:paraId="3C5A0750">
            <w:pPr>
              <w:pStyle w:val="9"/>
              <w:spacing w:line="500" w:lineRule="exact"/>
              <w:jc w:val="center"/>
              <w:rPr>
                <w:color w:val="auto"/>
                <w:szCs w:val="21"/>
                <w:highlight w:val="none"/>
              </w:rPr>
            </w:pPr>
          </w:p>
        </w:tc>
        <w:tc>
          <w:tcPr>
            <w:tcW w:w="1057" w:type="dxa"/>
            <w:tcBorders>
              <w:left w:val="single" w:color="auto" w:sz="4" w:space="0"/>
            </w:tcBorders>
            <w:noWrap w:val="0"/>
            <w:vAlign w:val="center"/>
          </w:tcPr>
          <w:p w14:paraId="2000D476">
            <w:pPr>
              <w:pStyle w:val="9"/>
              <w:spacing w:line="500" w:lineRule="exact"/>
              <w:jc w:val="center"/>
              <w:rPr>
                <w:color w:val="auto"/>
                <w:szCs w:val="21"/>
                <w:highlight w:val="none"/>
              </w:rPr>
            </w:pPr>
          </w:p>
        </w:tc>
        <w:tc>
          <w:tcPr>
            <w:tcW w:w="1060" w:type="dxa"/>
            <w:noWrap w:val="0"/>
            <w:vAlign w:val="center"/>
          </w:tcPr>
          <w:p w14:paraId="4273CF2B">
            <w:pPr>
              <w:pStyle w:val="9"/>
              <w:spacing w:line="500" w:lineRule="exact"/>
              <w:jc w:val="center"/>
              <w:rPr>
                <w:color w:val="auto"/>
                <w:szCs w:val="21"/>
                <w:highlight w:val="none"/>
              </w:rPr>
            </w:pPr>
          </w:p>
        </w:tc>
      </w:tr>
      <w:tr w14:paraId="77DE4B5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00" w:hRule="atLeast"/>
        </w:trPr>
        <w:tc>
          <w:tcPr>
            <w:tcW w:w="893" w:type="dxa"/>
            <w:noWrap w:val="0"/>
            <w:vAlign w:val="center"/>
          </w:tcPr>
          <w:p w14:paraId="4307F386">
            <w:pPr>
              <w:pStyle w:val="9"/>
              <w:spacing w:line="500" w:lineRule="exact"/>
              <w:jc w:val="center"/>
              <w:rPr>
                <w:color w:val="auto"/>
                <w:szCs w:val="21"/>
                <w:highlight w:val="none"/>
              </w:rPr>
            </w:pPr>
          </w:p>
        </w:tc>
        <w:tc>
          <w:tcPr>
            <w:tcW w:w="2034" w:type="dxa"/>
            <w:noWrap w:val="0"/>
            <w:vAlign w:val="center"/>
          </w:tcPr>
          <w:p w14:paraId="6C42D5BE">
            <w:pPr>
              <w:pStyle w:val="9"/>
              <w:spacing w:line="500" w:lineRule="exact"/>
              <w:jc w:val="center"/>
              <w:rPr>
                <w:color w:val="auto"/>
                <w:szCs w:val="21"/>
                <w:highlight w:val="none"/>
              </w:rPr>
            </w:pPr>
          </w:p>
        </w:tc>
        <w:tc>
          <w:tcPr>
            <w:tcW w:w="1425" w:type="dxa"/>
            <w:noWrap w:val="0"/>
            <w:vAlign w:val="center"/>
          </w:tcPr>
          <w:p w14:paraId="505ECEE9">
            <w:pPr>
              <w:pStyle w:val="9"/>
              <w:spacing w:line="500" w:lineRule="exact"/>
              <w:jc w:val="center"/>
              <w:rPr>
                <w:color w:val="auto"/>
                <w:szCs w:val="21"/>
                <w:highlight w:val="none"/>
              </w:rPr>
            </w:pPr>
          </w:p>
        </w:tc>
        <w:tc>
          <w:tcPr>
            <w:tcW w:w="1328" w:type="dxa"/>
            <w:noWrap w:val="0"/>
            <w:vAlign w:val="center"/>
          </w:tcPr>
          <w:p w14:paraId="650FA5E8">
            <w:pPr>
              <w:pStyle w:val="9"/>
              <w:spacing w:line="500" w:lineRule="exact"/>
              <w:jc w:val="center"/>
              <w:rPr>
                <w:color w:val="auto"/>
                <w:szCs w:val="21"/>
                <w:highlight w:val="none"/>
              </w:rPr>
            </w:pPr>
          </w:p>
        </w:tc>
        <w:tc>
          <w:tcPr>
            <w:tcW w:w="1108" w:type="dxa"/>
            <w:tcBorders>
              <w:right w:val="single" w:color="auto" w:sz="4" w:space="0"/>
            </w:tcBorders>
            <w:noWrap w:val="0"/>
            <w:vAlign w:val="center"/>
          </w:tcPr>
          <w:p w14:paraId="54F595F6">
            <w:pPr>
              <w:pStyle w:val="9"/>
              <w:spacing w:line="500" w:lineRule="exact"/>
              <w:jc w:val="center"/>
              <w:rPr>
                <w:color w:val="auto"/>
                <w:szCs w:val="21"/>
                <w:highlight w:val="none"/>
              </w:rPr>
            </w:pPr>
          </w:p>
        </w:tc>
        <w:tc>
          <w:tcPr>
            <w:tcW w:w="1057" w:type="dxa"/>
            <w:tcBorders>
              <w:left w:val="single" w:color="auto" w:sz="4" w:space="0"/>
            </w:tcBorders>
            <w:noWrap w:val="0"/>
            <w:vAlign w:val="center"/>
          </w:tcPr>
          <w:p w14:paraId="24505475">
            <w:pPr>
              <w:pStyle w:val="9"/>
              <w:spacing w:line="500" w:lineRule="exact"/>
              <w:jc w:val="center"/>
              <w:rPr>
                <w:color w:val="auto"/>
                <w:szCs w:val="21"/>
                <w:highlight w:val="none"/>
              </w:rPr>
            </w:pPr>
          </w:p>
        </w:tc>
        <w:tc>
          <w:tcPr>
            <w:tcW w:w="1060" w:type="dxa"/>
            <w:noWrap w:val="0"/>
            <w:vAlign w:val="center"/>
          </w:tcPr>
          <w:p w14:paraId="6B753BDC">
            <w:pPr>
              <w:pStyle w:val="9"/>
              <w:spacing w:line="500" w:lineRule="exact"/>
              <w:jc w:val="center"/>
              <w:rPr>
                <w:color w:val="auto"/>
                <w:szCs w:val="21"/>
                <w:highlight w:val="none"/>
              </w:rPr>
            </w:pPr>
          </w:p>
        </w:tc>
      </w:tr>
      <w:tr w14:paraId="65B179D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500" w:hRule="atLeast"/>
        </w:trPr>
        <w:tc>
          <w:tcPr>
            <w:tcW w:w="893" w:type="dxa"/>
            <w:noWrap w:val="0"/>
            <w:vAlign w:val="center"/>
          </w:tcPr>
          <w:p w14:paraId="1AF72A3C">
            <w:pPr>
              <w:pStyle w:val="9"/>
              <w:spacing w:line="500" w:lineRule="exact"/>
              <w:jc w:val="center"/>
              <w:rPr>
                <w:color w:val="auto"/>
                <w:szCs w:val="21"/>
                <w:highlight w:val="none"/>
              </w:rPr>
            </w:pPr>
          </w:p>
        </w:tc>
        <w:tc>
          <w:tcPr>
            <w:tcW w:w="2034" w:type="dxa"/>
            <w:noWrap w:val="0"/>
            <w:vAlign w:val="center"/>
          </w:tcPr>
          <w:p w14:paraId="5CBD735C">
            <w:pPr>
              <w:pStyle w:val="9"/>
              <w:spacing w:line="500" w:lineRule="exact"/>
              <w:jc w:val="center"/>
              <w:rPr>
                <w:color w:val="auto"/>
                <w:szCs w:val="21"/>
                <w:highlight w:val="none"/>
              </w:rPr>
            </w:pPr>
          </w:p>
        </w:tc>
        <w:tc>
          <w:tcPr>
            <w:tcW w:w="1425" w:type="dxa"/>
            <w:noWrap w:val="0"/>
            <w:vAlign w:val="center"/>
          </w:tcPr>
          <w:p w14:paraId="45011AD6">
            <w:pPr>
              <w:pStyle w:val="9"/>
              <w:spacing w:line="500" w:lineRule="exact"/>
              <w:jc w:val="center"/>
              <w:rPr>
                <w:color w:val="auto"/>
                <w:szCs w:val="21"/>
                <w:highlight w:val="none"/>
              </w:rPr>
            </w:pPr>
          </w:p>
        </w:tc>
        <w:tc>
          <w:tcPr>
            <w:tcW w:w="1328" w:type="dxa"/>
            <w:noWrap w:val="0"/>
            <w:vAlign w:val="center"/>
          </w:tcPr>
          <w:p w14:paraId="011DFC54">
            <w:pPr>
              <w:pStyle w:val="9"/>
              <w:spacing w:line="500" w:lineRule="exact"/>
              <w:jc w:val="center"/>
              <w:rPr>
                <w:color w:val="auto"/>
                <w:szCs w:val="21"/>
                <w:highlight w:val="none"/>
              </w:rPr>
            </w:pPr>
          </w:p>
        </w:tc>
        <w:tc>
          <w:tcPr>
            <w:tcW w:w="1108" w:type="dxa"/>
            <w:tcBorders>
              <w:right w:val="single" w:color="auto" w:sz="4" w:space="0"/>
            </w:tcBorders>
            <w:noWrap w:val="0"/>
            <w:vAlign w:val="center"/>
          </w:tcPr>
          <w:p w14:paraId="49D97476">
            <w:pPr>
              <w:pStyle w:val="9"/>
              <w:spacing w:line="500" w:lineRule="exact"/>
              <w:jc w:val="center"/>
              <w:rPr>
                <w:color w:val="auto"/>
                <w:szCs w:val="21"/>
                <w:highlight w:val="none"/>
              </w:rPr>
            </w:pPr>
          </w:p>
        </w:tc>
        <w:tc>
          <w:tcPr>
            <w:tcW w:w="1057" w:type="dxa"/>
            <w:tcBorders>
              <w:left w:val="single" w:color="auto" w:sz="4" w:space="0"/>
            </w:tcBorders>
            <w:noWrap w:val="0"/>
            <w:vAlign w:val="center"/>
          </w:tcPr>
          <w:p w14:paraId="0B5A125A">
            <w:pPr>
              <w:pStyle w:val="9"/>
              <w:spacing w:line="500" w:lineRule="exact"/>
              <w:jc w:val="center"/>
              <w:rPr>
                <w:color w:val="auto"/>
                <w:szCs w:val="21"/>
                <w:highlight w:val="none"/>
              </w:rPr>
            </w:pPr>
          </w:p>
        </w:tc>
        <w:tc>
          <w:tcPr>
            <w:tcW w:w="1060" w:type="dxa"/>
            <w:noWrap w:val="0"/>
            <w:vAlign w:val="center"/>
          </w:tcPr>
          <w:p w14:paraId="27EEA7FB">
            <w:pPr>
              <w:pStyle w:val="9"/>
              <w:spacing w:line="500" w:lineRule="exact"/>
              <w:jc w:val="center"/>
              <w:rPr>
                <w:color w:val="auto"/>
                <w:szCs w:val="21"/>
                <w:highlight w:val="none"/>
              </w:rPr>
            </w:pPr>
          </w:p>
        </w:tc>
      </w:tr>
      <w:tr w14:paraId="6AC3FA6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500" w:hRule="atLeast"/>
        </w:trPr>
        <w:tc>
          <w:tcPr>
            <w:tcW w:w="893" w:type="dxa"/>
            <w:noWrap w:val="0"/>
            <w:vAlign w:val="center"/>
          </w:tcPr>
          <w:p w14:paraId="203C9EBD">
            <w:pPr>
              <w:pStyle w:val="9"/>
              <w:spacing w:line="500" w:lineRule="exact"/>
              <w:jc w:val="center"/>
              <w:rPr>
                <w:color w:val="auto"/>
                <w:szCs w:val="21"/>
                <w:highlight w:val="none"/>
              </w:rPr>
            </w:pPr>
          </w:p>
        </w:tc>
        <w:tc>
          <w:tcPr>
            <w:tcW w:w="2034" w:type="dxa"/>
            <w:noWrap w:val="0"/>
            <w:vAlign w:val="center"/>
          </w:tcPr>
          <w:p w14:paraId="0A317058">
            <w:pPr>
              <w:pStyle w:val="9"/>
              <w:spacing w:line="500" w:lineRule="exact"/>
              <w:jc w:val="center"/>
              <w:rPr>
                <w:color w:val="auto"/>
                <w:szCs w:val="21"/>
                <w:highlight w:val="none"/>
              </w:rPr>
            </w:pPr>
          </w:p>
        </w:tc>
        <w:tc>
          <w:tcPr>
            <w:tcW w:w="1425" w:type="dxa"/>
            <w:noWrap w:val="0"/>
            <w:vAlign w:val="center"/>
          </w:tcPr>
          <w:p w14:paraId="763BE7A0">
            <w:pPr>
              <w:pStyle w:val="9"/>
              <w:spacing w:line="500" w:lineRule="exact"/>
              <w:jc w:val="center"/>
              <w:rPr>
                <w:color w:val="auto"/>
                <w:szCs w:val="21"/>
                <w:highlight w:val="none"/>
              </w:rPr>
            </w:pPr>
          </w:p>
        </w:tc>
        <w:tc>
          <w:tcPr>
            <w:tcW w:w="1328" w:type="dxa"/>
            <w:noWrap w:val="0"/>
            <w:vAlign w:val="center"/>
          </w:tcPr>
          <w:p w14:paraId="577710B1">
            <w:pPr>
              <w:pStyle w:val="9"/>
              <w:spacing w:line="500" w:lineRule="exact"/>
              <w:jc w:val="center"/>
              <w:rPr>
                <w:color w:val="auto"/>
                <w:szCs w:val="21"/>
                <w:highlight w:val="none"/>
              </w:rPr>
            </w:pPr>
          </w:p>
        </w:tc>
        <w:tc>
          <w:tcPr>
            <w:tcW w:w="1108" w:type="dxa"/>
            <w:tcBorders>
              <w:right w:val="single" w:color="auto" w:sz="4" w:space="0"/>
            </w:tcBorders>
            <w:noWrap w:val="0"/>
            <w:vAlign w:val="center"/>
          </w:tcPr>
          <w:p w14:paraId="5E1F72A5">
            <w:pPr>
              <w:pStyle w:val="9"/>
              <w:spacing w:line="500" w:lineRule="exact"/>
              <w:jc w:val="center"/>
              <w:rPr>
                <w:color w:val="auto"/>
                <w:szCs w:val="21"/>
                <w:highlight w:val="none"/>
              </w:rPr>
            </w:pPr>
          </w:p>
        </w:tc>
        <w:tc>
          <w:tcPr>
            <w:tcW w:w="1057" w:type="dxa"/>
            <w:tcBorders>
              <w:left w:val="single" w:color="auto" w:sz="4" w:space="0"/>
            </w:tcBorders>
            <w:noWrap w:val="0"/>
            <w:vAlign w:val="center"/>
          </w:tcPr>
          <w:p w14:paraId="4741F347">
            <w:pPr>
              <w:pStyle w:val="9"/>
              <w:spacing w:line="500" w:lineRule="exact"/>
              <w:jc w:val="center"/>
              <w:rPr>
                <w:color w:val="auto"/>
                <w:szCs w:val="21"/>
                <w:highlight w:val="none"/>
              </w:rPr>
            </w:pPr>
          </w:p>
        </w:tc>
        <w:tc>
          <w:tcPr>
            <w:tcW w:w="1060" w:type="dxa"/>
            <w:noWrap w:val="0"/>
            <w:vAlign w:val="center"/>
          </w:tcPr>
          <w:p w14:paraId="23C57EFA">
            <w:pPr>
              <w:pStyle w:val="9"/>
              <w:spacing w:line="500" w:lineRule="exact"/>
              <w:jc w:val="center"/>
              <w:rPr>
                <w:color w:val="auto"/>
                <w:szCs w:val="21"/>
                <w:highlight w:val="none"/>
              </w:rPr>
            </w:pPr>
          </w:p>
        </w:tc>
      </w:tr>
      <w:tr w14:paraId="2E2C11F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00" w:hRule="atLeast"/>
        </w:trPr>
        <w:tc>
          <w:tcPr>
            <w:tcW w:w="893" w:type="dxa"/>
            <w:noWrap w:val="0"/>
            <w:vAlign w:val="center"/>
          </w:tcPr>
          <w:p w14:paraId="1553EA5D">
            <w:pPr>
              <w:pStyle w:val="9"/>
              <w:spacing w:line="500" w:lineRule="exact"/>
              <w:jc w:val="center"/>
              <w:rPr>
                <w:color w:val="auto"/>
                <w:szCs w:val="21"/>
                <w:highlight w:val="none"/>
              </w:rPr>
            </w:pPr>
          </w:p>
        </w:tc>
        <w:tc>
          <w:tcPr>
            <w:tcW w:w="2034" w:type="dxa"/>
            <w:noWrap w:val="0"/>
            <w:vAlign w:val="center"/>
          </w:tcPr>
          <w:p w14:paraId="58D272E4">
            <w:pPr>
              <w:pStyle w:val="9"/>
              <w:spacing w:line="500" w:lineRule="exact"/>
              <w:jc w:val="center"/>
              <w:rPr>
                <w:color w:val="auto"/>
                <w:szCs w:val="21"/>
                <w:highlight w:val="none"/>
              </w:rPr>
            </w:pPr>
          </w:p>
        </w:tc>
        <w:tc>
          <w:tcPr>
            <w:tcW w:w="1425" w:type="dxa"/>
            <w:noWrap w:val="0"/>
            <w:vAlign w:val="center"/>
          </w:tcPr>
          <w:p w14:paraId="2764D0FE">
            <w:pPr>
              <w:pStyle w:val="9"/>
              <w:spacing w:line="500" w:lineRule="exact"/>
              <w:jc w:val="center"/>
              <w:rPr>
                <w:color w:val="auto"/>
                <w:szCs w:val="21"/>
                <w:highlight w:val="none"/>
              </w:rPr>
            </w:pPr>
          </w:p>
        </w:tc>
        <w:tc>
          <w:tcPr>
            <w:tcW w:w="1328" w:type="dxa"/>
            <w:noWrap w:val="0"/>
            <w:vAlign w:val="center"/>
          </w:tcPr>
          <w:p w14:paraId="0F4961D4">
            <w:pPr>
              <w:pStyle w:val="9"/>
              <w:spacing w:line="500" w:lineRule="exact"/>
              <w:jc w:val="center"/>
              <w:rPr>
                <w:color w:val="auto"/>
                <w:szCs w:val="21"/>
                <w:highlight w:val="none"/>
              </w:rPr>
            </w:pPr>
          </w:p>
        </w:tc>
        <w:tc>
          <w:tcPr>
            <w:tcW w:w="1108" w:type="dxa"/>
            <w:tcBorders>
              <w:right w:val="single" w:color="auto" w:sz="4" w:space="0"/>
            </w:tcBorders>
            <w:noWrap w:val="0"/>
            <w:vAlign w:val="center"/>
          </w:tcPr>
          <w:p w14:paraId="485FF097">
            <w:pPr>
              <w:pStyle w:val="9"/>
              <w:spacing w:line="500" w:lineRule="exact"/>
              <w:jc w:val="center"/>
              <w:rPr>
                <w:color w:val="auto"/>
                <w:szCs w:val="21"/>
                <w:highlight w:val="none"/>
              </w:rPr>
            </w:pPr>
          </w:p>
        </w:tc>
        <w:tc>
          <w:tcPr>
            <w:tcW w:w="1057" w:type="dxa"/>
            <w:tcBorders>
              <w:left w:val="single" w:color="auto" w:sz="4" w:space="0"/>
            </w:tcBorders>
            <w:noWrap w:val="0"/>
            <w:vAlign w:val="center"/>
          </w:tcPr>
          <w:p w14:paraId="6A4B78D0">
            <w:pPr>
              <w:pStyle w:val="9"/>
              <w:spacing w:line="500" w:lineRule="exact"/>
              <w:jc w:val="center"/>
              <w:rPr>
                <w:color w:val="auto"/>
                <w:szCs w:val="21"/>
                <w:highlight w:val="none"/>
              </w:rPr>
            </w:pPr>
          </w:p>
        </w:tc>
        <w:tc>
          <w:tcPr>
            <w:tcW w:w="1060" w:type="dxa"/>
            <w:noWrap w:val="0"/>
            <w:vAlign w:val="center"/>
          </w:tcPr>
          <w:p w14:paraId="5FD46FA2">
            <w:pPr>
              <w:pStyle w:val="9"/>
              <w:spacing w:line="500" w:lineRule="exact"/>
              <w:jc w:val="center"/>
              <w:rPr>
                <w:color w:val="auto"/>
                <w:szCs w:val="21"/>
                <w:highlight w:val="none"/>
              </w:rPr>
            </w:pPr>
          </w:p>
        </w:tc>
      </w:tr>
      <w:tr w14:paraId="2FD9004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00" w:hRule="atLeast"/>
        </w:trPr>
        <w:tc>
          <w:tcPr>
            <w:tcW w:w="893" w:type="dxa"/>
            <w:noWrap w:val="0"/>
            <w:vAlign w:val="center"/>
          </w:tcPr>
          <w:p w14:paraId="767CEC12">
            <w:pPr>
              <w:pStyle w:val="9"/>
              <w:spacing w:line="500" w:lineRule="exact"/>
              <w:jc w:val="center"/>
              <w:rPr>
                <w:color w:val="auto"/>
                <w:szCs w:val="21"/>
                <w:highlight w:val="none"/>
              </w:rPr>
            </w:pPr>
          </w:p>
        </w:tc>
        <w:tc>
          <w:tcPr>
            <w:tcW w:w="2034" w:type="dxa"/>
            <w:noWrap w:val="0"/>
            <w:vAlign w:val="center"/>
          </w:tcPr>
          <w:p w14:paraId="75A466F2">
            <w:pPr>
              <w:pStyle w:val="9"/>
              <w:spacing w:line="500" w:lineRule="exact"/>
              <w:jc w:val="center"/>
              <w:rPr>
                <w:color w:val="auto"/>
                <w:szCs w:val="21"/>
                <w:highlight w:val="none"/>
              </w:rPr>
            </w:pPr>
          </w:p>
        </w:tc>
        <w:tc>
          <w:tcPr>
            <w:tcW w:w="1425" w:type="dxa"/>
            <w:noWrap w:val="0"/>
            <w:vAlign w:val="center"/>
          </w:tcPr>
          <w:p w14:paraId="78E526DF">
            <w:pPr>
              <w:pStyle w:val="9"/>
              <w:spacing w:line="500" w:lineRule="exact"/>
              <w:jc w:val="center"/>
              <w:rPr>
                <w:color w:val="auto"/>
                <w:szCs w:val="21"/>
                <w:highlight w:val="none"/>
              </w:rPr>
            </w:pPr>
          </w:p>
        </w:tc>
        <w:tc>
          <w:tcPr>
            <w:tcW w:w="1328" w:type="dxa"/>
            <w:noWrap w:val="0"/>
            <w:vAlign w:val="center"/>
          </w:tcPr>
          <w:p w14:paraId="73AAAC87">
            <w:pPr>
              <w:pStyle w:val="9"/>
              <w:spacing w:line="500" w:lineRule="exact"/>
              <w:jc w:val="center"/>
              <w:rPr>
                <w:color w:val="auto"/>
                <w:szCs w:val="21"/>
                <w:highlight w:val="none"/>
              </w:rPr>
            </w:pPr>
          </w:p>
        </w:tc>
        <w:tc>
          <w:tcPr>
            <w:tcW w:w="1108" w:type="dxa"/>
            <w:tcBorders>
              <w:right w:val="single" w:color="auto" w:sz="4" w:space="0"/>
            </w:tcBorders>
            <w:noWrap w:val="0"/>
            <w:vAlign w:val="center"/>
          </w:tcPr>
          <w:p w14:paraId="25BDB0A6">
            <w:pPr>
              <w:pStyle w:val="9"/>
              <w:spacing w:line="500" w:lineRule="exact"/>
              <w:jc w:val="center"/>
              <w:rPr>
                <w:color w:val="auto"/>
                <w:szCs w:val="21"/>
                <w:highlight w:val="none"/>
              </w:rPr>
            </w:pPr>
          </w:p>
        </w:tc>
        <w:tc>
          <w:tcPr>
            <w:tcW w:w="1057" w:type="dxa"/>
            <w:tcBorders>
              <w:left w:val="single" w:color="auto" w:sz="4" w:space="0"/>
            </w:tcBorders>
            <w:noWrap w:val="0"/>
            <w:vAlign w:val="center"/>
          </w:tcPr>
          <w:p w14:paraId="39D439D9">
            <w:pPr>
              <w:pStyle w:val="9"/>
              <w:spacing w:line="500" w:lineRule="exact"/>
              <w:jc w:val="center"/>
              <w:rPr>
                <w:color w:val="auto"/>
                <w:szCs w:val="21"/>
                <w:highlight w:val="none"/>
              </w:rPr>
            </w:pPr>
          </w:p>
        </w:tc>
        <w:tc>
          <w:tcPr>
            <w:tcW w:w="1060" w:type="dxa"/>
            <w:noWrap w:val="0"/>
            <w:vAlign w:val="center"/>
          </w:tcPr>
          <w:p w14:paraId="417D33DC">
            <w:pPr>
              <w:pStyle w:val="9"/>
              <w:spacing w:line="500" w:lineRule="exact"/>
              <w:jc w:val="center"/>
              <w:rPr>
                <w:color w:val="auto"/>
                <w:szCs w:val="21"/>
                <w:highlight w:val="none"/>
              </w:rPr>
            </w:pPr>
          </w:p>
        </w:tc>
      </w:tr>
      <w:tr w14:paraId="7C7DD1A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500" w:hRule="atLeast"/>
        </w:trPr>
        <w:tc>
          <w:tcPr>
            <w:tcW w:w="893" w:type="dxa"/>
            <w:noWrap w:val="0"/>
            <w:vAlign w:val="center"/>
          </w:tcPr>
          <w:p w14:paraId="6A912853">
            <w:pPr>
              <w:pStyle w:val="9"/>
              <w:spacing w:line="500" w:lineRule="exact"/>
              <w:jc w:val="center"/>
              <w:rPr>
                <w:color w:val="auto"/>
                <w:szCs w:val="21"/>
                <w:highlight w:val="none"/>
              </w:rPr>
            </w:pPr>
          </w:p>
        </w:tc>
        <w:tc>
          <w:tcPr>
            <w:tcW w:w="2034" w:type="dxa"/>
            <w:noWrap w:val="0"/>
            <w:vAlign w:val="center"/>
          </w:tcPr>
          <w:p w14:paraId="3B78F484">
            <w:pPr>
              <w:pStyle w:val="9"/>
              <w:spacing w:line="500" w:lineRule="exact"/>
              <w:jc w:val="center"/>
              <w:rPr>
                <w:color w:val="auto"/>
                <w:szCs w:val="21"/>
                <w:highlight w:val="none"/>
              </w:rPr>
            </w:pPr>
          </w:p>
        </w:tc>
        <w:tc>
          <w:tcPr>
            <w:tcW w:w="1425" w:type="dxa"/>
            <w:noWrap w:val="0"/>
            <w:vAlign w:val="center"/>
          </w:tcPr>
          <w:p w14:paraId="144B074E">
            <w:pPr>
              <w:pStyle w:val="9"/>
              <w:spacing w:line="500" w:lineRule="exact"/>
              <w:jc w:val="center"/>
              <w:rPr>
                <w:color w:val="auto"/>
                <w:szCs w:val="21"/>
                <w:highlight w:val="none"/>
              </w:rPr>
            </w:pPr>
          </w:p>
        </w:tc>
        <w:tc>
          <w:tcPr>
            <w:tcW w:w="1328" w:type="dxa"/>
            <w:noWrap w:val="0"/>
            <w:vAlign w:val="center"/>
          </w:tcPr>
          <w:p w14:paraId="47DC7943">
            <w:pPr>
              <w:pStyle w:val="9"/>
              <w:spacing w:line="500" w:lineRule="exact"/>
              <w:jc w:val="center"/>
              <w:rPr>
                <w:color w:val="auto"/>
                <w:szCs w:val="21"/>
                <w:highlight w:val="none"/>
              </w:rPr>
            </w:pPr>
          </w:p>
        </w:tc>
        <w:tc>
          <w:tcPr>
            <w:tcW w:w="1108" w:type="dxa"/>
            <w:tcBorders>
              <w:right w:val="single" w:color="auto" w:sz="4" w:space="0"/>
            </w:tcBorders>
            <w:noWrap w:val="0"/>
            <w:vAlign w:val="center"/>
          </w:tcPr>
          <w:p w14:paraId="5283C858">
            <w:pPr>
              <w:pStyle w:val="9"/>
              <w:spacing w:line="500" w:lineRule="exact"/>
              <w:jc w:val="center"/>
              <w:rPr>
                <w:color w:val="auto"/>
                <w:szCs w:val="21"/>
                <w:highlight w:val="none"/>
              </w:rPr>
            </w:pPr>
          </w:p>
        </w:tc>
        <w:tc>
          <w:tcPr>
            <w:tcW w:w="1057" w:type="dxa"/>
            <w:tcBorders>
              <w:left w:val="single" w:color="auto" w:sz="4" w:space="0"/>
            </w:tcBorders>
            <w:noWrap w:val="0"/>
            <w:vAlign w:val="center"/>
          </w:tcPr>
          <w:p w14:paraId="68C8C123">
            <w:pPr>
              <w:pStyle w:val="9"/>
              <w:spacing w:line="500" w:lineRule="exact"/>
              <w:jc w:val="center"/>
              <w:rPr>
                <w:color w:val="auto"/>
                <w:szCs w:val="21"/>
                <w:highlight w:val="none"/>
              </w:rPr>
            </w:pPr>
          </w:p>
        </w:tc>
        <w:tc>
          <w:tcPr>
            <w:tcW w:w="1060" w:type="dxa"/>
            <w:noWrap w:val="0"/>
            <w:vAlign w:val="center"/>
          </w:tcPr>
          <w:p w14:paraId="5B0A772D">
            <w:pPr>
              <w:pStyle w:val="9"/>
              <w:spacing w:line="500" w:lineRule="exact"/>
              <w:jc w:val="center"/>
              <w:rPr>
                <w:color w:val="auto"/>
                <w:szCs w:val="21"/>
                <w:highlight w:val="none"/>
              </w:rPr>
            </w:pPr>
          </w:p>
        </w:tc>
      </w:tr>
      <w:tr w14:paraId="7649C79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500" w:hRule="atLeast"/>
        </w:trPr>
        <w:tc>
          <w:tcPr>
            <w:tcW w:w="893" w:type="dxa"/>
            <w:noWrap w:val="0"/>
            <w:vAlign w:val="center"/>
          </w:tcPr>
          <w:p w14:paraId="7EE09218">
            <w:pPr>
              <w:pStyle w:val="9"/>
              <w:spacing w:line="500" w:lineRule="exact"/>
              <w:jc w:val="center"/>
              <w:rPr>
                <w:color w:val="auto"/>
                <w:szCs w:val="21"/>
                <w:highlight w:val="none"/>
              </w:rPr>
            </w:pPr>
          </w:p>
        </w:tc>
        <w:tc>
          <w:tcPr>
            <w:tcW w:w="2034" w:type="dxa"/>
            <w:noWrap w:val="0"/>
            <w:vAlign w:val="center"/>
          </w:tcPr>
          <w:p w14:paraId="36A7DC4D">
            <w:pPr>
              <w:pStyle w:val="9"/>
              <w:spacing w:line="500" w:lineRule="exact"/>
              <w:jc w:val="center"/>
              <w:rPr>
                <w:color w:val="auto"/>
                <w:szCs w:val="21"/>
                <w:highlight w:val="none"/>
              </w:rPr>
            </w:pPr>
          </w:p>
        </w:tc>
        <w:tc>
          <w:tcPr>
            <w:tcW w:w="1425" w:type="dxa"/>
            <w:noWrap w:val="0"/>
            <w:vAlign w:val="center"/>
          </w:tcPr>
          <w:p w14:paraId="1F65E062">
            <w:pPr>
              <w:pStyle w:val="9"/>
              <w:spacing w:line="500" w:lineRule="exact"/>
              <w:jc w:val="center"/>
              <w:rPr>
                <w:color w:val="auto"/>
                <w:szCs w:val="21"/>
                <w:highlight w:val="none"/>
              </w:rPr>
            </w:pPr>
          </w:p>
        </w:tc>
        <w:tc>
          <w:tcPr>
            <w:tcW w:w="1328" w:type="dxa"/>
            <w:noWrap w:val="0"/>
            <w:vAlign w:val="center"/>
          </w:tcPr>
          <w:p w14:paraId="7E17C894">
            <w:pPr>
              <w:pStyle w:val="9"/>
              <w:spacing w:line="500" w:lineRule="exact"/>
              <w:jc w:val="center"/>
              <w:rPr>
                <w:color w:val="auto"/>
                <w:szCs w:val="21"/>
                <w:highlight w:val="none"/>
              </w:rPr>
            </w:pPr>
          </w:p>
        </w:tc>
        <w:tc>
          <w:tcPr>
            <w:tcW w:w="1108" w:type="dxa"/>
            <w:tcBorders>
              <w:right w:val="single" w:color="auto" w:sz="4" w:space="0"/>
            </w:tcBorders>
            <w:noWrap w:val="0"/>
            <w:vAlign w:val="center"/>
          </w:tcPr>
          <w:p w14:paraId="765A232D">
            <w:pPr>
              <w:pStyle w:val="9"/>
              <w:spacing w:line="500" w:lineRule="exact"/>
              <w:jc w:val="center"/>
              <w:rPr>
                <w:color w:val="auto"/>
                <w:szCs w:val="21"/>
                <w:highlight w:val="none"/>
              </w:rPr>
            </w:pPr>
          </w:p>
        </w:tc>
        <w:tc>
          <w:tcPr>
            <w:tcW w:w="1057" w:type="dxa"/>
            <w:tcBorders>
              <w:left w:val="single" w:color="auto" w:sz="4" w:space="0"/>
            </w:tcBorders>
            <w:noWrap w:val="0"/>
            <w:vAlign w:val="center"/>
          </w:tcPr>
          <w:p w14:paraId="35835307">
            <w:pPr>
              <w:pStyle w:val="9"/>
              <w:spacing w:line="500" w:lineRule="exact"/>
              <w:jc w:val="center"/>
              <w:rPr>
                <w:color w:val="auto"/>
                <w:szCs w:val="21"/>
                <w:highlight w:val="none"/>
              </w:rPr>
            </w:pPr>
          </w:p>
        </w:tc>
        <w:tc>
          <w:tcPr>
            <w:tcW w:w="1060" w:type="dxa"/>
            <w:noWrap w:val="0"/>
            <w:vAlign w:val="center"/>
          </w:tcPr>
          <w:p w14:paraId="38879C47">
            <w:pPr>
              <w:pStyle w:val="9"/>
              <w:spacing w:line="500" w:lineRule="exact"/>
              <w:jc w:val="center"/>
              <w:rPr>
                <w:color w:val="auto"/>
                <w:szCs w:val="21"/>
                <w:highlight w:val="none"/>
              </w:rPr>
            </w:pPr>
          </w:p>
        </w:tc>
      </w:tr>
      <w:tr w14:paraId="684089C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00" w:hRule="atLeast"/>
        </w:trPr>
        <w:tc>
          <w:tcPr>
            <w:tcW w:w="893" w:type="dxa"/>
            <w:noWrap w:val="0"/>
            <w:vAlign w:val="center"/>
          </w:tcPr>
          <w:p w14:paraId="44CCB092">
            <w:pPr>
              <w:pStyle w:val="9"/>
              <w:spacing w:line="500" w:lineRule="exact"/>
              <w:jc w:val="center"/>
              <w:rPr>
                <w:color w:val="auto"/>
                <w:szCs w:val="21"/>
                <w:highlight w:val="none"/>
              </w:rPr>
            </w:pPr>
          </w:p>
        </w:tc>
        <w:tc>
          <w:tcPr>
            <w:tcW w:w="2034" w:type="dxa"/>
            <w:noWrap w:val="0"/>
            <w:vAlign w:val="center"/>
          </w:tcPr>
          <w:p w14:paraId="1D942DBC">
            <w:pPr>
              <w:pStyle w:val="9"/>
              <w:spacing w:line="500" w:lineRule="exact"/>
              <w:jc w:val="center"/>
              <w:rPr>
                <w:color w:val="auto"/>
                <w:szCs w:val="21"/>
                <w:highlight w:val="none"/>
              </w:rPr>
            </w:pPr>
          </w:p>
        </w:tc>
        <w:tc>
          <w:tcPr>
            <w:tcW w:w="1425" w:type="dxa"/>
            <w:noWrap w:val="0"/>
            <w:vAlign w:val="center"/>
          </w:tcPr>
          <w:p w14:paraId="5E308DA7">
            <w:pPr>
              <w:pStyle w:val="9"/>
              <w:spacing w:line="500" w:lineRule="exact"/>
              <w:jc w:val="center"/>
              <w:rPr>
                <w:color w:val="auto"/>
                <w:szCs w:val="21"/>
                <w:highlight w:val="none"/>
              </w:rPr>
            </w:pPr>
          </w:p>
        </w:tc>
        <w:tc>
          <w:tcPr>
            <w:tcW w:w="1328" w:type="dxa"/>
            <w:noWrap w:val="0"/>
            <w:vAlign w:val="center"/>
          </w:tcPr>
          <w:p w14:paraId="058B07EA">
            <w:pPr>
              <w:pStyle w:val="9"/>
              <w:spacing w:line="500" w:lineRule="exact"/>
              <w:jc w:val="center"/>
              <w:rPr>
                <w:color w:val="auto"/>
                <w:szCs w:val="21"/>
                <w:highlight w:val="none"/>
              </w:rPr>
            </w:pPr>
          </w:p>
        </w:tc>
        <w:tc>
          <w:tcPr>
            <w:tcW w:w="1108" w:type="dxa"/>
            <w:tcBorders>
              <w:right w:val="single" w:color="auto" w:sz="4" w:space="0"/>
            </w:tcBorders>
            <w:noWrap w:val="0"/>
            <w:vAlign w:val="center"/>
          </w:tcPr>
          <w:p w14:paraId="054429AB">
            <w:pPr>
              <w:pStyle w:val="9"/>
              <w:spacing w:line="500" w:lineRule="exact"/>
              <w:jc w:val="center"/>
              <w:rPr>
                <w:color w:val="auto"/>
                <w:szCs w:val="21"/>
                <w:highlight w:val="none"/>
              </w:rPr>
            </w:pPr>
          </w:p>
        </w:tc>
        <w:tc>
          <w:tcPr>
            <w:tcW w:w="1057" w:type="dxa"/>
            <w:tcBorders>
              <w:left w:val="single" w:color="auto" w:sz="4" w:space="0"/>
            </w:tcBorders>
            <w:noWrap w:val="0"/>
            <w:vAlign w:val="center"/>
          </w:tcPr>
          <w:p w14:paraId="74DBB28A">
            <w:pPr>
              <w:pStyle w:val="9"/>
              <w:spacing w:line="500" w:lineRule="exact"/>
              <w:jc w:val="center"/>
              <w:rPr>
                <w:color w:val="auto"/>
                <w:szCs w:val="21"/>
                <w:highlight w:val="none"/>
              </w:rPr>
            </w:pPr>
          </w:p>
        </w:tc>
        <w:tc>
          <w:tcPr>
            <w:tcW w:w="1060" w:type="dxa"/>
            <w:noWrap w:val="0"/>
            <w:vAlign w:val="center"/>
          </w:tcPr>
          <w:p w14:paraId="1F07D087">
            <w:pPr>
              <w:pStyle w:val="9"/>
              <w:spacing w:line="500" w:lineRule="exact"/>
              <w:jc w:val="center"/>
              <w:rPr>
                <w:color w:val="auto"/>
                <w:szCs w:val="21"/>
                <w:highlight w:val="none"/>
              </w:rPr>
            </w:pPr>
          </w:p>
        </w:tc>
      </w:tr>
      <w:tr w14:paraId="382AB4F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00" w:hRule="atLeast"/>
        </w:trPr>
        <w:tc>
          <w:tcPr>
            <w:tcW w:w="893" w:type="dxa"/>
            <w:noWrap w:val="0"/>
            <w:vAlign w:val="center"/>
          </w:tcPr>
          <w:p w14:paraId="60A66699">
            <w:pPr>
              <w:pStyle w:val="9"/>
              <w:spacing w:line="500" w:lineRule="exact"/>
              <w:jc w:val="center"/>
              <w:rPr>
                <w:color w:val="auto"/>
                <w:szCs w:val="21"/>
                <w:highlight w:val="none"/>
              </w:rPr>
            </w:pPr>
          </w:p>
        </w:tc>
        <w:tc>
          <w:tcPr>
            <w:tcW w:w="2034" w:type="dxa"/>
            <w:noWrap w:val="0"/>
            <w:vAlign w:val="center"/>
          </w:tcPr>
          <w:p w14:paraId="2AF145EB">
            <w:pPr>
              <w:pStyle w:val="9"/>
              <w:spacing w:line="500" w:lineRule="exact"/>
              <w:jc w:val="center"/>
              <w:rPr>
                <w:color w:val="auto"/>
                <w:szCs w:val="21"/>
                <w:highlight w:val="none"/>
              </w:rPr>
            </w:pPr>
          </w:p>
        </w:tc>
        <w:tc>
          <w:tcPr>
            <w:tcW w:w="1425" w:type="dxa"/>
            <w:noWrap w:val="0"/>
            <w:vAlign w:val="center"/>
          </w:tcPr>
          <w:p w14:paraId="49D16D05">
            <w:pPr>
              <w:pStyle w:val="9"/>
              <w:spacing w:line="500" w:lineRule="exact"/>
              <w:jc w:val="center"/>
              <w:rPr>
                <w:color w:val="auto"/>
                <w:szCs w:val="21"/>
                <w:highlight w:val="none"/>
              </w:rPr>
            </w:pPr>
          </w:p>
        </w:tc>
        <w:tc>
          <w:tcPr>
            <w:tcW w:w="1328" w:type="dxa"/>
            <w:noWrap w:val="0"/>
            <w:vAlign w:val="center"/>
          </w:tcPr>
          <w:p w14:paraId="1E255E5F">
            <w:pPr>
              <w:pStyle w:val="9"/>
              <w:spacing w:line="500" w:lineRule="exact"/>
              <w:jc w:val="center"/>
              <w:rPr>
                <w:color w:val="auto"/>
                <w:szCs w:val="21"/>
                <w:highlight w:val="none"/>
              </w:rPr>
            </w:pPr>
          </w:p>
        </w:tc>
        <w:tc>
          <w:tcPr>
            <w:tcW w:w="1108" w:type="dxa"/>
            <w:tcBorders>
              <w:right w:val="single" w:color="auto" w:sz="4" w:space="0"/>
            </w:tcBorders>
            <w:noWrap w:val="0"/>
            <w:vAlign w:val="center"/>
          </w:tcPr>
          <w:p w14:paraId="7D1F1115">
            <w:pPr>
              <w:pStyle w:val="9"/>
              <w:spacing w:line="500" w:lineRule="exact"/>
              <w:jc w:val="center"/>
              <w:rPr>
                <w:color w:val="auto"/>
                <w:szCs w:val="21"/>
                <w:highlight w:val="none"/>
              </w:rPr>
            </w:pPr>
          </w:p>
        </w:tc>
        <w:tc>
          <w:tcPr>
            <w:tcW w:w="1057" w:type="dxa"/>
            <w:tcBorders>
              <w:left w:val="single" w:color="auto" w:sz="4" w:space="0"/>
            </w:tcBorders>
            <w:noWrap w:val="0"/>
            <w:vAlign w:val="center"/>
          </w:tcPr>
          <w:p w14:paraId="4ED4C0D7">
            <w:pPr>
              <w:pStyle w:val="9"/>
              <w:spacing w:line="500" w:lineRule="exact"/>
              <w:jc w:val="center"/>
              <w:rPr>
                <w:color w:val="auto"/>
                <w:szCs w:val="21"/>
                <w:highlight w:val="none"/>
              </w:rPr>
            </w:pPr>
          </w:p>
        </w:tc>
        <w:tc>
          <w:tcPr>
            <w:tcW w:w="1060" w:type="dxa"/>
            <w:noWrap w:val="0"/>
            <w:vAlign w:val="center"/>
          </w:tcPr>
          <w:p w14:paraId="1B0EB8E7">
            <w:pPr>
              <w:pStyle w:val="9"/>
              <w:spacing w:line="500" w:lineRule="exact"/>
              <w:jc w:val="center"/>
              <w:rPr>
                <w:color w:val="auto"/>
                <w:szCs w:val="21"/>
                <w:highlight w:val="none"/>
              </w:rPr>
            </w:pPr>
          </w:p>
        </w:tc>
      </w:tr>
      <w:tr w14:paraId="35E5C3A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500" w:hRule="atLeast"/>
        </w:trPr>
        <w:tc>
          <w:tcPr>
            <w:tcW w:w="893" w:type="dxa"/>
            <w:noWrap w:val="0"/>
            <w:vAlign w:val="center"/>
          </w:tcPr>
          <w:p w14:paraId="7F10BB36">
            <w:pPr>
              <w:pStyle w:val="9"/>
              <w:spacing w:line="500" w:lineRule="exact"/>
              <w:jc w:val="center"/>
              <w:rPr>
                <w:color w:val="auto"/>
                <w:szCs w:val="21"/>
                <w:highlight w:val="none"/>
              </w:rPr>
            </w:pPr>
          </w:p>
        </w:tc>
        <w:tc>
          <w:tcPr>
            <w:tcW w:w="2034" w:type="dxa"/>
            <w:noWrap w:val="0"/>
            <w:vAlign w:val="center"/>
          </w:tcPr>
          <w:p w14:paraId="52269D8A">
            <w:pPr>
              <w:pStyle w:val="9"/>
              <w:spacing w:line="500" w:lineRule="exact"/>
              <w:jc w:val="center"/>
              <w:rPr>
                <w:color w:val="auto"/>
                <w:szCs w:val="21"/>
                <w:highlight w:val="none"/>
              </w:rPr>
            </w:pPr>
          </w:p>
        </w:tc>
        <w:tc>
          <w:tcPr>
            <w:tcW w:w="1425" w:type="dxa"/>
            <w:noWrap w:val="0"/>
            <w:vAlign w:val="center"/>
          </w:tcPr>
          <w:p w14:paraId="25E623F1">
            <w:pPr>
              <w:pStyle w:val="9"/>
              <w:spacing w:line="500" w:lineRule="exact"/>
              <w:jc w:val="center"/>
              <w:rPr>
                <w:color w:val="auto"/>
                <w:szCs w:val="21"/>
                <w:highlight w:val="none"/>
              </w:rPr>
            </w:pPr>
          </w:p>
        </w:tc>
        <w:tc>
          <w:tcPr>
            <w:tcW w:w="1328" w:type="dxa"/>
            <w:noWrap w:val="0"/>
            <w:vAlign w:val="center"/>
          </w:tcPr>
          <w:p w14:paraId="542D2800">
            <w:pPr>
              <w:pStyle w:val="9"/>
              <w:spacing w:line="500" w:lineRule="exact"/>
              <w:jc w:val="center"/>
              <w:rPr>
                <w:color w:val="auto"/>
                <w:szCs w:val="21"/>
                <w:highlight w:val="none"/>
              </w:rPr>
            </w:pPr>
          </w:p>
        </w:tc>
        <w:tc>
          <w:tcPr>
            <w:tcW w:w="1108" w:type="dxa"/>
            <w:tcBorders>
              <w:right w:val="single" w:color="auto" w:sz="4" w:space="0"/>
            </w:tcBorders>
            <w:noWrap w:val="0"/>
            <w:vAlign w:val="center"/>
          </w:tcPr>
          <w:p w14:paraId="5E4C82CD">
            <w:pPr>
              <w:pStyle w:val="9"/>
              <w:spacing w:line="500" w:lineRule="exact"/>
              <w:jc w:val="center"/>
              <w:rPr>
                <w:color w:val="auto"/>
                <w:szCs w:val="21"/>
                <w:highlight w:val="none"/>
              </w:rPr>
            </w:pPr>
          </w:p>
        </w:tc>
        <w:tc>
          <w:tcPr>
            <w:tcW w:w="1057" w:type="dxa"/>
            <w:tcBorders>
              <w:left w:val="single" w:color="auto" w:sz="4" w:space="0"/>
            </w:tcBorders>
            <w:noWrap w:val="0"/>
            <w:vAlign w:val="center"/>
          </w:tcPr>
          <w:p w14:paraId="3F628602">
            <w:pPr>
              <w:pStyle w:val="9"/>
              <w:spacing w:line="500" w:lineRule="exact"/>
              <w:jc w:val="center"/>
              <w:rPr>
                <w:color w:val="auto"/>
                <w:szCs w:val="21"/>
                <w:highlight w:val="none"/>
              </w:rPr>
            </w:pPr>
          </w:p>
        </w:tc>
        <w:tc>
          <w:tcPr>
            <w:tcW w:w="1060" w:type="dxa"/>
            <w:noWrap w:val="0"/>
            <w:vAlign w:val="center"/>
          </w:tcPr>
          <w:p w14:paraId="2D5FF8D0">
            <w:pPr>
              <w:pStyle w:val="9"/>
              <w:spacing w:line="500" w:lineRule="exact"/>
              <w:jc w:val="center"/>
              <w:rPr>
                <w:color w:val="auto"/>
                <w:szCs w:val="21"/>
                <w:highlight w:val="none"/>
              </w:rPr>
            </w:pPr>
          </w:p>
        </w:tc>
      </w:tr>
      <w:tr w14:paraId="47E11D4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00" w:hRule="atLeast"/>
        </w:trPr>
        <w:tc>
          <w:tcPr>
            <w:tcW w:w="893" w:type="dxa"/>
            <w:noWrap w:val="0"/>
            <w:vAlign w:val="center"/>
          </w:tcPr>
          <w:p w14:paraId="342D4195">
            <w:pPr>
              <w:pStyle w:val="9"/>
              <w:spacing w:line="500" w:lineRule="exact"/>
              <w:jc w:val="center"/>
              <w:rPr>
                <w:color w:val="auto"/>
                <w:szCs w:val="21"/>
                <w:highlight w:val="none"/>
              </w:rPr>
            </w:pPr>
          </w:p>
        </w:tc>
        <w:tc>
          <w:tcPr>
            <w:tcW w:w="2034" w:type="dxa"/>
            <w:noWrap w:val="0"/>
            <w:vAlign w:val="center"/>
          </w:tcPr>
          <w:p w14:paraId="556D8435">
            <w:pPr>
              <w:pStyle w:val="9"/>
              <w:spacing w:line="500" w:lineRule="exact"/>
              <w:jc w:val="center"/>
              <w:rPr>
                <w:color w:val="auto"/>
                <w:szCs w:val="21"/>
                <w:highlight w:val="none"/>
              </w:rPr>
            </w:pPr>
          </w:p>
        </w:tc>
        <w:tc>
          <w:tcPr>
            <w:tcW w:w="1425" w:type="dxa"/>
            <w:noWrap w:val="0"/>
            <w:vAlign w:val="center"/>
          </w:tcPr>
          <w:p w14:paraId="673BE973">
            <w:pPr>
              <w:pStyle w:val="9"/>
              <w:spacing w:line="500" w:lineRule="exact"/>
              <w:jc w:val="center"/>
              <w:rPr>
                <w:color w:val="auto"/>
                <w:szCs w:val="21"/>
                <w:highlight w:val="none"/>
              </w:rPr>
            </w:pPr>
          </w:p>
        </w:tc>
        <w:tc>
          <w:tcPr>
            <w:tcW w:w="1328" w:type="dxa"/>
            <w:noWrap w:val="0"/>
            <w:vAlign w:val="center"/>
          </w:tcPr>
          <w:p w14:paraId="1686D7ED">
            <w:pPr>
              <w:pStyle w:val="9"/>
              <w:spacing w:line="500" w:lineRule="exact"/>
              <w:jc w:val="center"/>
              <w:rPr>
                <w:color w:val="auto"/>
                <w:szCs w:val="21"/>
                <w:highlight w:val="none"/>
              </w:rPr>
            </w:pPr>
          </w:p>
        </w:tc>
        <w:tc>
          <w:tcPr>
            <w:tcW w:w="1108" w:type="dxa"/>
            <w:tcBorders>
              <w:right w:val="single" w:color="auto" w:sz="4" w:space="0"/>
            </w:tcBorders>
            <w:noWrap w:val="0"/>
            <w:vAlign w:val="center"/>
          </w:tcPr>
          <w:p w14:paraId="4D345BF4">
            <w:pPr>
              <w:pStyle w:val="9"/>
              <w:spacing w:line="500" w:lineRule="exact"/>
              <w:jc w:val="center"/>
              <w:rPr>
                <w:color w:val="auto"/>
                <w:szCs w:val="21"/>
                <w:highlight w:val="none"/>
              </w:rPr>
            </w:pPr>
          </w:p>
        </w:tc>
        <w:tc>
          <w:tcPr>
            <w:tcW w:w="1057" w:type="dxa"/>
            <w:tcBorders>
              <w:left w:val="single" w:color="auto" w:sz="4" w:space="0"/>
            </w:tcBorders>
            <w:noWrap w:val="0"/>
            <w:vAlign w:val="center"/>
          </w:tcPr>
          <w:p w14:paraId="1260FD6E">
            <w:pPr>
              <w:pStyle w:val="9"/>
              <w:spacing w:line="500" w:lineRule="exact"/>
              <w:jc w:val="center"/>
              <w:rPr>
                <w:color w:val="auto"/>
                <w:szCs w:val="21"/>
                <w:highlight w:val="none"/>
              </w:rPr>
            </w:pPr>
          </w:p>
        </w:tc>
        <w:tc>
          <w:tcPr>
            <w:tcW w:w="1060" w:type="dxa"/>
            <w:noWrap w:val="0"/>
            <w:vAlign w:val="center"/>
          </w:tcPr>
          <w:p w14:paraId="3BD60E4E">
            <w:pPr>
              <w:pStyle w:val="9"/>
              <w:spacing w:line="500" w:lineRule="exact"/>
              <w:jc w:val="center"/>
              <w:rPr>
                <w:color w:val="auto"/>
                <w:szCs w:val="21"/>
                <w:highlight w:val="none"/>
              </w:rPr>
            </w:pPr>
          </w:p>
        </w:tc>
      </w:tr>
      <w:tr w14:paraId="51473BC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00" w:hRule="atLeast"/>
        </w:trPr>
        <w:tc>
          <w:tcPr>
            <w:tcW w:w="893" w:type="dxa"/>
            <w:noWrap w:val="0"/>
            <w:vAlign w:val="center"/>
          </w:tcPr>
          <w:p w14:paraId="1F937276">
            <w:pPr>
              <w:pStyle w:val="9"/>
              <w:spacing w:line="500" w:lineRule="exact"/>
              <w:jc w:val="center"/>
              <w:rPr>
                <w:color w:val="auto"/>
                <w:szCs w:val="21"/>
                <w:highlight w:val="none"/>
              </w:rPr>
            </w:pPr>
          </w:p>
        </w:tc>
        <w:tc>
          <w:tcPr>
            <w:tcW w:w="2034" w:type="dxa"/>
            <w:noWrap w:val="0"/>
            <w:vAlign w:val="center"/>
          </w:tcPr>
          <w:p w14:paraId="63DC5009">
            <w:pPr>
              <w:pStyle w:val="9"/>
              <w:spacing w:line="500" w:lineRule="exact"/>
              <w:jc w:val="center"/>
              <w:rPr>
                <w:color w:val="auto"/>
                <w:szCs w:val="21"/>
                <w:highlight w:val="none"/>
              </w:rPr>
            </w:pPr>
          </w:p>
        </w:tc>
        <w:tc>
          <w:tcPr>
            <w:tcW w:w="1425" w:type="dxa"/>
            <w:noWrap w:val="0"/>
            <w:vAlign w:val="center"/>
          </w:tcPr>
          <w:p w14:paraId="272AC528">
            <w:pPr>
              <w:pStyle w:val="9"/>
              <w:spacing w:line="500" w:lineRule="exact"/>
              <w:jc w:val="center"/>
              <w:rPr>
                <w:color w:val="auto"/>
                <w:szCs w:val="21"/>
                <w:highlight w:val="none"/>
              </w:rPr>
            </w:pPr>
          </w:p>
        </w:tc>
        <w:tc>
          <w:tcPr>
            <w:tcW w:w="1328" w:type="dxa"/>
            <w:noWrap w:val="0"/>
            <w:vAlign w:val="center"/>
          </w:tcPr>
          <w:p w14:paraId="40D59E3B">
            <w:pPr>
              <w:pStyle w:val="9"/>
              <w:spacing w:line="500" w:lineRule="exact"/>
              <w:jc w:val="center"/>
              <w:rPr>
                <w:color w:val="auto"/>
                <w:szCs w:val="21"/>
                <w:highlight w:val="none"/>
              </w:rPr>
            </w:pPr>
          </w:p>
        </w:tc>
        <w:tc>
          <w:tcPr>
            <w:tcW w:w="1108" w:type="dxa"/>
            <w:tcBorders>
              <w:right w:val="single" w:color="auto" w:sz="4" w:space="0"/>
            </w:tcBorders>
            <w:noWrap w:val="0"/>
            <w:vAlign w:val="center"/>
          </w:tcPr>
          <w:p w14:paraId="6796EEC2">
            <w:pPr>
              <w:pStyle w:val="9"/>
              <w:spacing w:line="500" w:lineRule="exact"/>
              <w:jc w:val="center"/>
              <w:rPr>
                <w:color w:val="auto"/>
                <w:szCs w:val="21"/>
                <w:highlight w:val="none"/>
              </w:rPr>
            </w:pPr>
          </w:p>
        </w:tc>
        <w:tc>
          <w:tcPr>
            <w:tcW w:w="1057" w:type="dxa"/>
            <w:tcBorders>
              <w:left w:val="single" w:color="auto" w:sz="4" w:space="0"/>
            </w:tcBorders>
            <w:noWrap w:val="0"/>
            <w:vAlign w:val="center"/>
          </w:tcPr>
          <w:p w14:paraId="366A8E0B">
            <w:pPr>
              <w:pStyle w:val="9"/>
              <w:spacing w:line="500" w:lineRule="exact"/>
              <w:jc w:val="center"/>
              <w:rPr>
                <w:color w:val="auto"/>
                <w:szCs w:val="21"/>
                <w:highlight w:val="none"/>
              </w:rPr>
            </w:pPr>
          </w:p>
        </w:tc>
        <w:tc>
          <w:tcPr>
            <w:tcW w:w="1060" w:type="dxa"/>
            <w:noWrap w:val="0"/>
            <w:vAlign w:val="center"/>
          </w:tcPr>
          <w:p w14:paraId="6EBD28AB">
            <w:pPr>
              <w:pStyle w:val="9"/>
              <w:spacing w:line="500" w:lineRule="exact"/>
              <w:jc w:val="center"/>
              <w:rPr>
                <w:color w:val="auto"/>
                <w:szCs w:val="21"/>
                <w:highlight w:val="none"/>
              </w:rPr>
            </w:pPr>
          </w:p>
        </w:tc>
      </w:tr>
    </w:tbl>
    <w:p w14:paraId="7824E9E0">
      <w:pPr>
        <w:pStyle w:val="9"/>
        <w:spacing w:line="620" w:lineRule="exact"/>
        <w:rPr>
          <w:color w:val="auto"/>
          <w:szCs w:val="21"/>
          <w:highlight w:val="none"/>
        </w:rPr>
      </w:pPr>
      <w:r>
        <w:rPr>
          <w:color w:val="auto"/>
          <w:szCs w:val="21"/>
          <w:highlight w:val="none"/>
        </w:rPr>
        <w:t>招标人代表：</w:t>
      </w:r>
      <w:r>
        <w:rPr>
          <w:rFonts w:hint="eastAsia"/>
          <w:color w:val="auto"/>
          <w:szCs w:val="21"/>
          <w:highlight w:val="none"/>
        </w:rPr>
        <w:t xml:space="preserve">              </w:t>
      </w:r>
      <w:r>
        <w:rPr>
          <w:rFonts w:hint="eastAsia" w:eastAsia="宋体"/>
          <w:color w:val="auto"/>
          <w:szCs w:val="21"/>
          <w:highlight w:val="none"/>
          <w:lang w:val="en-US" w:eastAsia="zh-CN"/>
        </w:rPr>
        <w:t xml:space="preserve">       </w:t>
      </w:r>
      <w:r>
        <w:rPr>
          <w:rFonts w:hint="eastAsia"/>
          <w:color w:val="auto"/>
          <w:szCs w:val="21"/>
          <w:highlight w:val="none"/>
        </w:rPr>
        <w:t xml:space="preserve"> </w:t>
      </w:r>
      <w:r>
        <w:rPr>
          <w:rFonts w:hint="eastAsia" w:eastAsia="宋体"/>
          <w:color w:val="auto"/>
          <w:szCs w:val="21"/>
          <w:highlight w:val="none"/>
          <w:lang w:val="en-US" w:eastAsia="zh-CN"/>
        </w:rPr>
        <w:t>记录人：</w:t>
      </w:r>
      <w:r>
        <w:rPr>
          <w:rFonts w:hint="eastAsia"/>
          <w:color w:val="auto"/>
          <w:szCs w:val="21"/>
          <w:highlight w:val="none"/>
        </w:rPr>
        <w:t xml:space="preserve">                        </w:t>
      </w:r>
      <w:r>
        <w:rPr>
          <w:color w:val="auto"/>
          <w:szCs w:val="21"/>
          <w:highlight w:val="none"/>
        </w:rPr>
        <w:t>监标人：</w:t>
      </w:r>
    </w:p>
    <w:p w14:paraId="39AB6996">
      <w:pPr>
        <w:pStyle w:val="9"/>
        <w:spacing w:line="400" w:lineRule="exact"/>
        <w:rPr>
          <w:color w:val="auto"/>
          <w:highlight w:val="none"/>
        </w:rPr>
      </w:pPr>
    </w:p>
    <w:p w14:paraId="4093FD68">
      <w:pPr>
        <w:pStyle w:val="9"/>
        <w:keepNext w:val="0"/>
        <w:keepLines w:val="0"/>
        <w:pageBreakBefore w:val="0"/>
        <w:widowControl w:val="0"/>
        <w:kinsoku/>
        <w:wordWrap/>
        <w:overflowPunct/>
        <w:topLinePunct w:val="0"/>
        <w:autoSpaceDE/>
        <w:autoSpaceDN/>
        <w:bidi w:val="0"/>
        <w:adjustRightInd/>
        <w:snapToGrid/>
        <w:spacing w:line="620" w:lineRule="exact"/>
        <w:textAlignment w:val="auto"/>
        <w:outlineLvl w:val="9"/>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注：本表格最终以电子交易平台生成格式为准。</w:t>
      </w:r>
    </w:p>
    <w:p w14:paraId="66D44558">
      <w:pPr>
        <w:pStyle w:val="9"/>
        <w:keepNext w:val="0"/>
        <w:keepLines w:val="0"/>
        <w:pageBreakBefore w:val="0"/>
        <w:widowControl w:val="0"/>
        <w:kinsoku/>
        <w:wordWrap/>
        <w:overflowPunct/>
        <w:topLinePunct w:val="0"/>
        <w:autoSpaceDE/>
        <w:autoSpaceDN/>
        <w:bidi w:val="0"/>
        <w:adjustRightInd/>
        <w:snapToGrid/>
        <w:spacing w:line="620" w:lineRule="exact"/>
        <w:textAlignment w:val="auto"/>
        <w:outlineLvl w:val="9"/>
        <w:rPr>
          <w:rFonts w:hint="eastAsia"/>
          <w:b/>
          <w:bCs/>
          <w:color w:val="auto"/>
          <w:highlight w:val="none"/>
        </w:rPr>
      </w:pPr>
      <w:r>
        <w:rPr>
          <w:rFonts w:hint="eastAsia"/>
          <w:b/>
          <w:bCs/>
          <w:color w:val="auto"/>
          <w:highlight w:val="none"/>
        </w:rPr>
        <w:br w:type="page"/>
      </w:r>
    </w:p>
    <w:p w14:paraId="665045C4">
      <w:pPr>
        <w:pStyle w:val="9"/>
        <w:spacing w:line="400" w:lineRule="exact"/>
        <w:jc w:val="center"/>
        <w:rPr>
          <w:rFonts w:ascii="黑体" w:eastAsia="黑体"/>
          <w:color w:val="auto"/>
          <w:sz w:val="28"/>
          <w:szCs w:val="28"/>
          <w:highlight w:val="none"/>
        </w:rPr>
      </w:pPr>
      <w:r>
        <w:rPr>
          <w:rFonts w:hint="eastAsia" w:ascii="黑体" w:eastAsia="黑体"/>
          <w:color w:val="auto"/>
          <w:sz w:val="28"/>
          <w:szCs w:val="28"/>
          <w:highlight w:val="none"/>
          <w:u w:val="single"/>
        </w:rPr>
        <w:t>（项目名称）</w:t>
      </w:r>
      <w:r>
        <w:rPr>
          <w:rFonts w:hint="eastAsia" w:ascii="黑体" w:eastAsia="黑体"/>
          <w:color w:val="auto"/>
          <w:sz w:val="28"/>
          <w:szCs w:val="28"/>
          <w:highlight w:val="none"/>
        </w:rPr>
        <w:t xml:space="preserve"> </w:t>
      </w:r>
      <w:r>
        <w:rPr>
          <w:rFonts w:hint="eastAsia" w:ascii="黑体" w:eastAsia="黑体"/>
          <w:color w:val="auto"/>
          <w:sz w:val="28"/>
          <w:szCs w:val="28"/>
          <w:highlight w:val="none"/>
          <w:lang w:val="en-US" w:eastAsia="zh-CN"/>
        </w:rPr>
        <w:t>标段</w:t>
      </w:r>
      <w:r>
        <w:rPr>
          <w:rFonts w:hint="eastAsia" w:ascii="黑体" w:eastAsia="黑体"/>
          <w:color w:val="auto"/>
          <w:sz w:val="28"/>
          <w:szCs w:val="28"/>
          <w:highlight w:val="none"/>
        </w:rPr>
        <w:t>施工</w:t>
      </w:r>
      <w:r>
        <w:rPr>
          <w:rFonts w:hint="eastAsia" w:ascii="黑体" w:eastAsia="黑体"/>
          <w:color w:val="auto"/>
          <w:sz w:val="28"/>
          <w:szCs w:val="28"/>
          <w:highlight w:val="none"/>
          <w:lang w:val="en-US" w:eastAsia="zh-CN"/>
        </w:rPr>
        <w:t>招标第二信封（报价文件）</w:t>
      </w:r>
      <w:r>
        <w:rPr>
          <w:rFonts w:hint="eastAsia" w:ascii="黑体" w:eastAsia="黑体"/>
          <w:color w:val="auto"/>
          <w:sz w:val="28"/>
          <w:szCs w:val="28"/>
          <w:highlight w:val="none"/>
        </w:rPr>
        <w:t>开标记录表</w:t>
      </w:r>
    </w:p>
    <w:p w14:paraId="32E0C423">
      <w:pPr>
        <w:pStyle w:val="9"/>
        <w:rPr>
          <w:color w:val="auto"/>
          <w:highlight w:val="none"/>
        </w:rPr>
      </w:pPr>
    </w:p>
    <w:p w14:paraId="5060807A">
      <w:pPr>
        <w:pStyle w:val="9"/>
        <w:spacing w:line="400" w:lineRule="exact"/>
        <w:jc w:val="right"/>
        <w:rPr>
          <w:color w:val="auto"/>
          <w:highlight w:val="none"/>
        </w:rPr>
      </w:pPr>
      <w:r>
        <w:rPr>
          <w:rFonts w:hint="eastAsia"/>
          <w:color w:val="auto"/>
          <w:highlight w:val="none"/>
        </w:rPr>
        <w:t>开标时间：年月日时分</w:t>
      </w:r>
    </w:p>
    <w:tbl>
      <w:tblPr>
        <w:tblStyle w:val="23"/>
        <w:tblW w:w="8584" w:type="dxa"/>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893"/>
        <w:gridCol w:w="2998"/>
        <w:gridCol w:w="1800"/>
        <w:gridCol w:w="1404"/>
        <w:gridCol w:w="1489"/>
      </w:tblGrid>
      <w:tr w14:paraId="6F01F92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00" w:hRule="atLeast"/>
        </w:trPr>
        <w:tc>
          <w:tcPr>
            <w:tcW w:w="893" w:type="dxa"/>
            <w:noWrap w:val="0"/>
            <w:vAlign w:val="center"/>
          </w:tcPr>
          <w:p w14:paraId="7DD45419">
            <w:pPr>
              <w:pStyle w:val="9"/>
              <w:spacing w:line="320" w:lineRule="exact"/>
              <w:jc w:val="center"/>
              <w:rPr>
                <w:color w:val="auto"/>
                <w:szCs w:val="21"/>
                <w:highlight w:val="none"/>
              </w:rPr>
            </w:pPr>
            <w:r>
              <w:rPr>
                <w:color w:val="auto"/>
                <w:szCs w:val="21"/>
                <w:highlight w:val="none"/>
              </w:rPr>
              <w:t>序号</w:t>
            </w:r>
          </w:p>
        </w:tc>
        <w:tc>
          <w:tcPr>
            <w:tcW w:w="2998" w:type="dxa"/>
            <w:noWrap w:val="0"/>
            <w:vAlign w:val="center"/>
          </w:tcPr>
          <w:p w14:paraId="33CD7B6B">
            <w:pPr>
              <w:pStyle w:val="9"/>
              <w:spacing w:line="320" w:lineRule="exact"/>
              <w:jc w:val="center"/>
              <w:rPr>
                <w:color w:val="auto"/>
                <w:szCs w:val="21"/>
                <w:highlight w:val="none"/>
              </w:rPr>
            </w:pPr>
            <w:r>
              <w:rPr>
                <w:color w:val="auto"/>
                <w:szCs w:val="21"/>
                <w:highlight w:val="none"/>
              </w:rPr>
              <w:t>投标人</w:t>
            </w:r>
          </w:p>
        </w:tc>
        <w:tc>
          <w:tcPr>
            <w:tcW w:w="1800" w:type="dxa"/>
            <w:noWrap w:val="0"/>
            <w:vAlign w:val="center"/>
          </w:tcPr>
          <w:p w14:paraId="735C5AC6">
            <w:pPr>
              <w:pStyle w:val="9"/>
              <w:spacing w:line="320" w:lineRule="exact"/>
              <w:jc w:val="center"/>
              <w:rPr>
                <w:color w:val="auto"/>
                <w:szCs w:val="21"/>
                <w:highlight w:val="none"/>
              </w:rPr>
            </w:pPr>
            <w:r>
              <w:rPr>
                <w:color w:val="auto"/>
                <w:szCs w:val="21"/>
                <w:highlight w:val="none"/>
              </w:rPr>
              <w:t>投标报价（元）</w:t>
            </w:r>
          </w:p>
        </w:tc>
        <w:tc>
          <w:tcPr>
            <w:tcW w:w="1404" w:type="dxa"/>
            <w:noWrap w:val="0"/>
            <w:vAlign w:val="center"/>
          </w:tcPr>
          <w:p w14:paraId="250C56A0">
            <w:pPr>
              <w:pStyle w:val="9"/>
              <w:spacing w:line="320" w:lineRule="exact"/>
              <w:jc w:val="center"/>
              <w:rPr>
                <w:rFonts w:hint="eastAsia" w:eastAsia="宋体"/>
                <w:color w:val="auto"/>
                <w:szCs w:val="21"/>
                <w:highlight w:val="none"/>
                <w:lang w:val="en-US" w:eastAsia="zh-CN"/>
              </w:rPr>
            </w:pPr>
            <w:r>
              <w:rPr>
                <w:rFonts w:hint="eastAsia" w:eastAsia="宋体"/>
                <w:color w:val="auto"/>
                <w:szCs w:val="21"/>
                <w:highlight w:val="none"/>
                <w:lang w:val="en-US" w:eastAsia="zh-CN"/>
              </w:rPr>
              <w:t>备注</w:t>
            </w:r>
          </w:p>
        </w:tc>
        <w:tc>
          <w:tcPr>
            <w:tcW w:w="1489" w:type="dxa"/>
            <w:noWrap w:val="0"/>
            <w:vAlign w:val="center"/>
          </w:tcPr>
          <w:p w14:paraId="1ABD90D1">
            <w:pPr>
              <w:pStyle w:val="9"/>
              <w:spacing w:line="320" w:lineRule="exact"/>
              <w:jc w:val="center"/>
              <w:rPr>
                <w:rFonts w:hint="eastAsia" w:eastAsia="宋体"/>
                <w:color w:val="auto"/>
                <w:szCs w:val="21"/>
                <w:highlight w:val="none"/>
                <w:lang w:val="en-US" w:eastAsia="zh-CN"/>
              </w:rPr>
            </w:pPr>
            <w:r>
              <w:rPr>
                <w:rFonts w:hint="eastAsia" w:eastAsia="宋体"/>
                <w:color w:val="auto"/>
                <w:szCs w:val="21"/>
                <w:highlight w:val="none"/>
                <w:lang w:val="en-US" w:eastAsia="zh-CN"/>
              </w:rPr>
              <w:t>签名</w:t>
            </w:r>
          </w:p>
        </w:tc>
      </w:tr>
      <w:tr w14:paraId="370C192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00" w:hRule="atLeast"/>
        </w:trPr>
        <w:tc>
          <w:tcPr>
            <w:tcW w:w="893" w:type="dxa"/>
            <w:noWrap w:val="0"/>
            <w:vAlign w:val="center"/>
          </w:tcPr>
          <w:p w14:paraId="40EAC542">
            <w:pPr>
              <w:pStyle w:val="9"/>
              <w:spacing w:line="500" w:lineRule="exact"/>
              <w:jc w:val="center"/>
              <w:rPr>
                <w:color w:val="auto"/>
                <w:szCs w:val="21"/>
                <w:highlight w:val="none"/>
              </w:rPr>
            </w:pPr>
          </w:p>
        </w:tc>
        <w:tc>
          <w:tcPr>
            <w:tcW w:w="2998" w:type="dxa"/>
            <w:noWrap w:val="0"/>
            <w:vAlign w:val="center"/>
          </w:tcPr>
          <w:p w14:paraId="4A00F327">
            <w:pPr>
              <w:pStyle w:val="9"/>
              <w:spacing w:line="500" w:lineRule="exact"/>
              <w:jc w:val="center"/>
              <w:rPr>
                <w:color w:val="auto"/>
                <w:szCs w:val="21"/>
                <w:highlight w:val="none"/>
              </w:rPr>
            </w:pPr>
          </w:p>
        </w:tc>
        <w:tc>
          <w:tcPr>
            <w:tcW w:w="1800" w:type="dxa"/>
            <w:noWrap w:val="0"/>
            <w:vAlign w:val="center"/>
          </w:tcPr>
          <w:p w14:paraId="2FFFD8D1">
            <w:pPr>
              <w:pStyle w:val="9"/>
              <w:spacing w:line="500" w:lineRule="exact"/>
              <w:jc w:val="center"/>
              <w:rPr>
                <w:color w:val="auto"/>
                <w:szCs w:val="21"/>
                <w:highlight w:val="none"/>
              </w:rPr>
            </w:pPr>
          </w:p>
        </w:tc>
        <w:tc>
          <w:tcPr>
            <w:tcW w:w="1404" w:type="dxa"/>
            <w:noWrap w:val="0"/>
            <w:vAlign w:val="center"/>
          </w:tcPr>
          <w:p w14:paraId="5650AC2F">
            <w:pPr>
              <w:pStyle w:val="9"/>
              <w:spacing w:line="500" w:lineRule="exact"/>
              <w:jc w:val="center"/>
              <w:rPr>
                <w:color w:val="auto"/>
                <w:szCs w:val="21"/>
                <w:highlight w:val="none"/>
              </w:rPr>
            </w:pPr>
          </w:p>
        </w:tc>
        <w:tc>
          <w:tcPr>
            <w:tcW w:w="1489" w:type="dxa"/>
            <w:noWrap w:val="0"/>
            <w:vAlign w:val="center"/>
          </w:tcPr>
          <w:p w14:paraId="352EBCA2">
            <w:pPr>
              <w:pStyle w:val="9"/>
              <w:spacing w:line="500" w:lineRule="exact"/>
              <w:jc w:val="center"/>
              <w:rPr>
                <w:color w:val="auto"/>
                <w:szCs w:val="21"/>
                <w:highlight w:val="none"/>
              </w:rPr>
            </w:pPr>
          </w:p>
        </w:tc>
      </w:tr>
      <w:tr w14:paraId="0926389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00" w:hRule="atLeast"/>
        </w:trPr>
        <w:tc>
          <w:tcPr>
            <w:tcW w:w="893" w:type="dxa"/>
            <w:noWrap w:val="0"/>
            <w:vAlign w:val="center"/>
          </w:tcPr>
          <w:p w14:paraId="2CE546E2">
            <w:pPr>
              <w:pStyle w:val="9"/>
              <w:spacing w:line="500" w:lineRule="exact"/>
              <w:jc w:val="center"/>
              <w:rPr>
                <w:color w:val="auto"/>
                <w:szCs w:val="21"/>
                <w:highlight w:val="none"/>
              </w:rPr>
            </w:pPr>
          </w:p>
        </w:tc>
        <w:tc>
          <w:tcPr>
            <w:tcW w:w="2998" w:type="dxa"/>
            <w:noWrap w:val="0"/>
            <w:vAlign w:val="center"/>
          </w:tcPr>
          <w:p w14:paraId="5AAEEE02">
            <w:pPr>
              <w:pStyle w:val="9"/>
              <w:spacing w:line="500" w:lineRule="exact"/>
              <w:jc w:val="center"/>
              <w:rPr>
                <w:color w:val="auto"/>
                <w:szCs w:val="21"/>
                <w:highlight w:val="none"/>
              </w:rPr>
            </w:pPr>
          </w:p>
        </w:tc>
        <w:tc>
          <w:tcPr>
            <w:tcW w:w="1800" w:type="dxa"/>
            <w:noWrap w:val="0"/>
            <w:vAlign w:val="center"/>
          </w:tcPr>
          <w:p w14:paraId="4CDE0974">
            <w:pPr>
              <w:pStyle w:val="9"/>
              <w:spacing w:line="500" w:lineRule="exact"/>
              <w:jc w:val="center"/>
              <w:rPr>
                <w:color w:val="auto"/>
                <w:szCs w:val="21"/>
                <w:highlight w:val="none"/>
              </w:rPr>
            </w:pPr>
          </w:p>
        </w:tc>
        <w:tc>
          <w:tcPr>
            <w:tcW w:w="1404" w:type="dxa"/>
            <w:noWrap w:val="0"/>
            <w:vAlign w:val="center"/>
          </w:tcPr>
          <w:p w14:paraId="426F26E3">
            <w:pPr>
              <w:pStyle w:val="9"/>
              <w:spacing w:line="500" w:lineRule="exact"/>
              <w:jc w:val="center"/>
              <w:rPr>
                <w:color w:val="auto"/>
                <w:szCs w:val="21"/>
                <w:highlight w:val="none"/>
              </w:rPr>
            </w:pPr>
          </w:p>
        </w:tc>
        <w:tc>
          <w:tcPr>
            <w:tcW w:w="1489" w:type="dxa"/>
            <w:noWrap w:val="0"/>
            <w:vAlign w:val="center"/>
          </w:tcPr>
          <w:p w14:paraId="50BE2B84">
            <w:pPr>
              <w:pStyle w:val="9"/>
              <w:spacing w:line="500" w:lineRule="exact"/>
              <w:jc w:val="center"/>
              <w:rPr>
                <w:color w:val="auto"/>
                <w:szCs w:val="21"/>
                <w:highlight w:val="none"/>
              </w:rPr>
            </w:pPr>
          </w:p>
        </w:tc>
      </w:tr>
      <w:tr w14:paraId="538BA35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00" w:hRule="atLeast"/>
        </w:trPr>
        <w:tc>
          <w:tcPr>
            <w:tcW w:w="893" w:type="dxa"/>
            <w:noWrap w:val="0"/>
            <w:vAlign w:val="center"/>
          </w:tcPr>
          <w:p w14:paraId="2DF82B0D">
            <w:pPr>
              <w:pStyle w:val="9"/>
              <w:spacing w:line="500" w:lineRule="exact"/>
              <w:jc w:val="center"/>
              <w:rPr>
                <w:color w:val="auto"/>
                <w:szCs w:val="21"/>
                <w:highlight w:val="none"/>
              </w:rPr>
            </w:pPr>
          </w:p>
        </w:tc>
        <w:tc>
          <w:tcPr>
            <w:tcW w:w="2998" w:type="dxa"/>
            <w:noWrap w:val="0"/>
            <w:vAlign w:val="center"/>
          </w:tcPr>
          <w:p w14:paraId="4E907F70">
            <w:pPr>
              <w:pStyle w:val="9"/>
              <w:spacing w:line="500" w:lineRule="exact"/>
              <w:jc w:val="center"/>
              <w:rPr>
                <w:color w:val="auto"/>
                <w:szCs w:val="21"/>
                <w:highlight w:val="none"/>
              </w:rPr>
            </w:pPr>
          </w:p>
        </w:tc>
        <w:tc>
          <w:tcPr>
            <w:tcW w:w="1800" w:type="dxa"/>
            <w:noWrap w:val="0"/>
            <w:vAlign w:val="center"/>
          </w:tcPr>
          <w:p w14:paraId="0C2FC883">
            <w:pPr>
              <w:pStyle w:val="9"/>
              <w:spacing w:line="500" w:lineRule="exact"/>
              <w:jc w:val="center"/>
              <w:rPr>
                <w:color w:val="auto"/>
                <w:szCs w:val="21"/>
                <w:highlight w:val="none"/>
              </w:rPr>
            </w:pPr>
          </w:p>
        </w:tc>
        <w:tc>
          <w:tcPr>
            <w:tcW w:w="1404" w:type="dxa"/>
            <w:noWrap w:val="0"/>
            <w:vAlign w:val="center"/>
          </w:tcPr>
          <w:p w14:paraId="5D357B32">
            <w:pPr>
              <w:pStyle w:val="9"/>
              <w:spacing w:line="500" w:lineRule="exact"/>
              <w:jc w:val="center"/>
              <w:rPr>
                <w:color w:val="auto"/>
                <w:szCs w:val="21"/>
                <w:highlight w:val="none"/>
              </w:rPr>
            </w:pPr>
          </w:p>
        </w:tc>
        <w:tc>
          <w:tcPr>
            <w:tcW w:w="1489" w:type="dxa"/>
            <w:noWrap w:val="0"/>
            <w:vAlign w:val="center"/>
          </w:tcPr>
          <w:p w14:paraId="68CB5000">
            <w:pPr>
              <w:pStyle w:val="9"/>
              <w:spacing w:line="500" w:lineRule="exact"/>
              <w:jc w:val="center"/>
              <w:rPr>
                <w:color w:val="auto"/>
                <w:szCs w:val="21"/>
                <w:highlight w:val="none"/>
              </w:rPr>
            </w:pPr>
          </w:p>
        </w:tc>
      </w:tr>
      <w:tr w14:paraId="32E851F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00" w:hRule="atLeast"/>
        </w:trPr>
        <w:tc>
          <w:tcPr>
            <w:tcW w:w="893" w:type="dxa"/>
            <w:noWrap w:val="0"/>
            <w:vAlign w:val="center"/>
          </w:tcPr>
          <w:p w14:paraId="4CB92851">
            <w:pPr>
              <w:pStyle w:val="9"/>
              <w:spacing w:line="500" w:lineRule="exact"/>
              <w:jc w:val="center"/>
              <w:rPr>
                <w:color w:val="auto"/>
                <w:szCs w:val="21"/>
                <w:highlight w:val="none"/>
              </w:rPr>
            </w:pPr>
          </w:p>
        </w:tc>
        <w:tc>
          <w:tcPr>
            <w:tcW w:w="2998" w:type="dxa"/>
            <w:noWrap w:val="0"/>
            <w:vAlign w:val="center"/>
          </w:tcPr>
          <w:p w14:paraId="7D8D3CCB">
            <w:pPr>
              <w:pStyle w:val="9"/>
              <w:spacing w:line="500" w:lineRule="exact"/>
              <w:jc w:val="center"/>
              <w:rPr>
                <w:color w:val="auto"/>
                <w:szCs w:val="21"/>
                <w:highlight w:val="none"/>
              </w:rPr>
            </w:pPr>
          </w:p>
        </w:tc>
        <w:tc>
          <w:tcPr>
            <w:tcW w:w="1800" w:type="dxa"/>
            <w:noWrap w:val="0"/>
            <w:vAlign w:val="center"/>
          </w:tcPr>
          <w:p w14:paraId="69AD6547">
            <w:pPr>
              <w:pStyle w:val="9"/>
              <w:spacing w:line="500" w:lineRule="exact"/>
              <w:jc w:val="center"/>
              <w:rPr>
                <w:color w:val="auto"/>
                <w:szCs w:val="21"/>
                <w:highlight w:val="none"/>
              </w:rPr>
            </w:pPr>
          </w:p>
        </w:tc>
        <w:tc>
          <w:tcPr>
            <w:tcW w:w="1404" w:type="dxa"/>
            <w:noWrap w:val="0"/>
            <w:vAlign w:val="center"/>
          </w:tcPr>
          <w:p w14:paraId="1A607EA0">
            <w:pPr>
              <w:pStyle w:val="9"/>
              <w:spacing w:line="500" w:lineRule="exact"/>
              <w:jc w:val="center"/>
              <w:rPr>
                <w:color w:val="auto"/>
                <w:szCs w:val="21"/>
                <w:highlight w:val="none"/>
              </w:rPr>
            </w:pPr>
          </w:p>
        </w:tc>
        <w:tc>
          <w:tcPr>
            <w:tcW w:w="1489" w:type="dxa"/>
            <w:noWrap w:val="0"/>
            <w:vAlign w:val="center"/>
          </w:tcPr>
          <w:p w14:paraId="14B30DD2">
            <w:pPr>
              <w:pStyle w:val="9"/>
              <w:spacing w:line="500" w:lineRule="exact"/>
              <w:jc w:val="center"/>
              <w:rPr>
                <w:color w:val="auto"/>
                <w:szCs w:val="21"/>
                <w:highlight w:val="none"/>
              </w:rPr>
            </w:pPr>
          </w:p>
        </w:tc>
      </w:tr>
      <w:tr w14:paraId="1E135FB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00" w:hRule="atLeast"/>
        </w:trPr>
        <w:tc>
          <w:tcPr>
            <w:tcW w:w="893" w:type="dxa"/>
            <w:noWrap w:val="0"/>
            <w:vAlign w:val="center"/>
          </w:tcPr>
          <w:p w14:paraId="203744F4">
            <w:pPr>
              <w:pStyle w:val="9"/>
              <w:spacing w:line="500" w:lineRule="exact"/>
              <w:jc w:val="center"/>
              <w:rPr>
                <w:color w:val="auto"/>
                <w:szCs w:val="21"/>
                <w:highlight w:val="none"/>
              </w:rPr>
            </w:pPr>
          </w:p>
        </w:tc>
        <w:tc>
          <w:tcPr>
            <w:tcW w:w="2998" w:type="dxa"/>
            <w:noWrap w:val="0"/>
            <w:vAlign w:val="center"/>
          </w:tcPr>
          <w:p w14:paraId="000B0C6C">
            <w:pPr>
              <w:pStyle w:val="9"/>
              <w:spacing w:line="500" w:lineRule="exact"/>
              <w:jc w:val="center"/>
              <w:rPr>
                <w:color w:val="auto"/>
                <w:szCs w:val="21"/>
                <w:highlight w:val="none"/>
              </w:rPr>
            </w:pPr>
          </w:p>
        </w:tc>
        <w:tc>
          <w:tcPr>
            <w:tcW w:w="1800" w:type="dxa"/>
            <w:noWrap w:val="0"/>
            <w:vAlign w:val="center"/>
          </w:tcPr>
          <w:p w14:paraId="4F585C6D">
            <w:pPr>
              <w:pStyle w:val="9"/>
              <w:spacing w:line="500" w:lineRule="exact"/>
              <w:jc w:val="center"/>
              <w:rPr>
                <w:color w:val="auto"/>
                <w:szCs w:val="21"/>
                <w:highlight w:val="none"/>
              </w:rPr>
            </w:pPr>
          </w:p>
        </w:tc>
        <w:tc>
          <w:tcPr>
            <w:tcW w:w="1404" w:type="dxa"/>
            <w:noWrap w:val="0"/>
            <w:vAlign w:val="center"/>
          </w:tcPr>
          <w:p w14:paraId="0FB2F181">
            <w:pPr>
              <w:pStyle w:val="9"/>
              <w:spacing w:line="500" w:lineRule="exact"/>
              <w:jc w:val="center"/>
              <w:rPr>
                <w:color w:val="auto"/>
                <w:szCs w:val="21"/>
                <w:highlight w:val="none"/>
              </w:rPr>
            </w:pPr>
          </w:p>
        </w:tc>
        <w:tc>
          <w:tcPr>
            <w:tcW w:w="1489" w:type="dxa"/>
            <w:noWrap w:val="0"/>
            <w:vAlign w:val="center"/>
          </w:tcPr>
          <w:p w14:paraId="0B02DEBA">
            <w:pPr>
              <w:pStyle w:val="9"/>
              <w:spacing w:line="500" w:lineRule="exact"/>
              <w:jc w:val="center"/>
              <w:rPr>
                <w:color w:val="auto"/>
                <w:szCs w:val="21"/>
                <w:highlight w:val="none"/>
              </w:rPr>
            </w:pPr>
          </w:p>
        </w:tc>
      </w:tr>
      <w:tr w14:paraId="4523CAD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00" w:hRule="atLeast"/>
        </w:trPr>
        <w:tc>
          <w:tcPr>
            <w:tcW w:w="893" w:type="dxa"/>
            <w:noWrap w:val="0"/>
            <w:vAlign w:val="center"/>
          </w:tcPr>
          <w:p w14:paraId="4A0E881F">
            <w:pPr>
              <w:pStyle w:val="9"/>
              <w:spacing w:line="500" w:lineRule="exact"/>
              <w:jc w:val="center"/>
              <w:rPr>
                <w:color w:val="auto"/>
                <w:szCs w:val="21"/>
                <w:highlight w:val="none"/>
              </w:rPr>
            </w:pPr>
          </w:p>
        </w:tc>
        <w:tc>
          <w:tcPr>
            <w:tcW w:w="2998" w:type="dxa"/>
            <w:noWrap w:val="0"/>
            <w:vAlign w:val="center"/>
          </w:tcPr>
          <w:p w14:paraId="482D6CDF">
            <w:pPr>
              <w:pStyle w:val="9"/>
              <w:spacing w:line="500" w:lineRule="exact"/>
              <w:jc w:val="center"/>
              <w:rPr>
                <w:color w:val="auto"/>
                <w:szCs w:val="21"/>
                <w:highlight w:val="none"/>
              </w:rPr>
            </w:pPr>
          </w:p>
        </w:tc>
        <w:tc>
          <w:tcPr>
            <w:tcW w:w="1800" w:type="dxa"/>
            <w:noWrap w:val="0"/>
            <w:vAlign w:val="center"/>
          </w:tcPr>
          <w:p w14:paraId="01041E84">
            <w:pPr>
              <w:pStyle w:val="9"/>
              <w:spacing w:line="500" w:lineRule="exact"/>
              <w:jc w:val="center"/>
              <w:rPr>
                <w:color w:val="auto"/>
                <w:szCs w:val="21"/>
                <w:highlight w:val="none"/>
              </w:rPr>
            </w:pPr>
          </w:p>
        </w:tc>
        <w:tc>
          <w:tcPr>
            <w:tcW w:w="1404" w:type="dxa"/>
            <w:noWrap w:val="0"/>
            <w:vAlign w:val="center"/>
          </w:tcPr>
          <w:p w14:paraId="6E0058D8">
            <w:pPr>
              <w:pStyle w:val="9"/>
              <w:spacing w:line="500" w:lineRule="exact"/>
              <w:jc w:val="center"/>
              <w:rPr>
                <w:color w:val="auto"/>
                <w:szCs w:val="21"/>
                <w:highlight w:val="none"/>
              </w:rPr>
            </w:pPr>
          </w:p>
        </w:tc>
        <w:tc>
          <w:tcPr>
            <w:tcW w:w="1489" w:type="dxa"/>
            <w:noWrap w:val="0"/>
            <w:vAlign w:val="center"/>
          </w:tcPr>
          <w:p w14:paraId="71DEDABD">
            <w:pPr>
              <w:pStyle w:val="9"/>
              <w:spacing w:line="500" w:lineRule="exact"/>
              <w:jc w:val="center"/>
              <w:rPr>
                <w:color w:val="auto"/>
                <w:szCs w:val="21"/>
                <w:highlight w:val="none"/>
              </w:rPr>
            </w:pPr>
          </w:p>
        </w:tc>
      </w:tr>
      <w:tr w14:paraId="423A64E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00" w:hRule="atLeast"/>
        </w:trPr>
        <w:tc>
          <w:tcPr>
            <w:tcW w:w="893" w:type="dxa"/>
            <w:noWrap w:val="0"/>
            <w:vAlign w:val="center"/>
          </w:tcPr>
          <w:p w14:paraId="30AB5978">
            <w:pPr>
              <w:pStyle w:val="9"/>
              <w:spacing w:line="500" w:lineRule="exact"/>
              <w:jc w:val="center"/>
              <w:rPr>
                <w:color w:val="auto"/>
                <w:szCs w:val="21"/>
                <w:highlight w:val="none"/>
              </w:rPr>
            </w:pPr>
          </w:p>
        </w:tc>
        <w:tc>
          <w:tcPr>
            <w:tcW w:w="2998" w:type="dxa"/>
            <w:noWrap w:val="0"/>
            <w:vAlign w:val="center"/>
          </w:tcPr>
          <w:p w14:paraId="19D79753">
            <w:pPr>
              <w:pStyle w:val="9"/>
              <w:spacing w:line="500" w:lineRule="exact"/>
              <w:jc w:val="center"/>
              <w:rPr>
                <w:color w:val="auto"/>
                <w:szCs w:val="21"/>
                <w:highlight w:val="none"/>
              </w:rPr>
            </w:pPr>
          </w:p>
        </w:tc>
        <w:tc>
          <w:tcPr>
            <w:tcW w:w="1800" w:type="dxa"/>
            <w:noWrap w:val="0"/>
            <w:vAlign w:val="center"/>
          </w:tcPr>
          <w:p w14:paraId="68B7ED83">
            <w:pPr>
              <w:pStyle w:val="9"/>
              <w:spacing w:line="500" w:lineRule="exact"/>
              <w:jc w:val="center"/>
              <w:rPr>
                <w:color w:val="auto"/>
                <w:szCs w:val="21"/>
                <w:highlight w:val="none"/>
              </w:rPr>
            </w:pPr>
          </w:p>
        </w:tc>
        <w:tc>
          <w:tcPr>
            <w:tcW w:w="1404" w:type="dxa"/>
            <w:noWrap w:val="0"/>
            <w:vAlign w:val="center"/>
          </w:tcPr>
          <w:p w14:paraId="348EAC41">
            <w:pPr>
              <w:pStyle w:val="9"/>
              <w:spacing w:line="500" w:lineRule="exact"/>
              <w:jc w:val="center"/>
              <w:rPr>
                <w:color w:val="auto"/>
                <w:szCs w:val="21"/>
                <w:highlight w:val="none"/>
              </w:rPr>
            </w:pPr>
          </w:p>
        </w:tc>
        <w:tc>
          <w:tcPr>
            <w:tcW w:w="1489" w:type="dxa"/>
            <w:noWrap w:val="0"/>
            <w:vAlign w:val="center"/>
          </w:tcPr>
          <w:p w14:paraId="3533A830">
            <w:pPr>
              <w:pStyle w:val="9"/>
              <w:spacing w:line="500" w:lineRule="exact"/>
              <w:jc w:val="center"/>
              <w:rPr>
                <w:color w:val="auto"/>
                <w:szCs w:val="21"/>
                <w:highlight w:val="none"/>
              </w:rPr>
            </w:pPr>
          </w:p>
        </w:tc>
      </w:tr>
      <w:tr w14:paraId="4762678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00" w:hRule="atLeast"/>
        </w:trPr>
        <w:tc>
          <w:tcPr>
            <w:tcW w:w="893" w:type="dxa"/>
            <w:noWrap w:val="0"/>
            <w:vAlign w:val="center"/>
          </w:tcPr>
          <w:p w14:paraId="31A540FE">
            <w:pPr>
              <w:pStyle w:val="9"/>
              <w:spacing w:line="500" w:lineRule="exact"/>
              <w:jc w:val="center"/>
              <w:rPr>
                <w:color w:val="auto"/>
                <w:szCs w:val="21"/>
                <w:highlight w:val="none"/>
              </w:rPr>
            </w:pPr>
          </w:p>
        </w:tc>
        <w:tc>
          <w:tcPr>
            <w:tcW w:w="2998" w:type="dxa"/>
            <w:noWrap w:val="0"/>
            <w:vAlign w:val="center"/>
          </w:tcPr>
          <w:p w14:paraId="672C705A">
            <w:pPr>
              <w:pStyle w:val="9"/>
              <w:spacing w:line="500" w:lineRule="exact"/>
              <w:jc w:val="center"/>
              <w:rPr>
                <w:color w:val="auto"/>
                <w:szCs w:val="21"/>
                <w:highlight w:val="none"/>
              </w:rPr>
            </w:pPr>
          </w:p>
        </w:tc>
        <w:tc>
          <w:tcPr>
            <w:tcW w:w="1800" w:type="dxa"/>
            <w:noWrap w:val="0"/>
            <w:vAlign w:val="center"/>
          </w:tcPr>
          <w:p w14:paraId="0240664D">
            <w:pPr>
              <w:pStyle w:val="9"/>
              <w:spacing w:line="500" w:lineRule="exact"/>
              <w:jc w:val="center"/>
              <w:rPr>
                <w:color w:val="auto"/>
                <w:szCs w:val="21"/>
                <w:highlight w:val="none"/>
              </w:rPr>
            </w:pPr>
          </w:p>
        </w:tc>
        <w:tc>
          <w:tcPr>
            <w:tcW w:w="1404" w:type="dxa"/>
            <w:noWrap w:val="0"/>
            <w:vAlign w:val="center"/>
          </w:tcPr>
          <w:p w14:paraId="45C9D463">
            <w:pPr>
              <w:pStyle w:val="9"/>
              <w:spacing w:line="500" w:lineRule="exact"/>
              <w:jc w:val="center"/>
              <w:rPr>
                <w:color w:val="auto"/>
                <w:szCs w:val="21"/>
                <w:highlight w:val="none"/>
              </w:rPr>
            </w:pPr>
          </w:p>
        </w:tc>
        <w:tc>
          <w:tcPr>
            <w:tcW w:w="1489" w:type="dxa"/>
            <w:noWrap w:val="0"/>
            <w:vAlign w:val="center"/>
          </w:tcPr>
          <w:p w14:paraId="6444C30B">
            <w:pPr>
              <w:pStyle w:val="9"/>
              <w:spacing w:line="500" w:lineRule="exact"/>
              <w:jc w:val="center"/>
              <w:rPr>
                <w:color w:val="auto"/>
                <w:szCs w:val="21"/>
                <w:highlight w:val="none"/>
              </w:rPr>
            </w:pPr>
          </w:p>
        </w:tc>
      </w:tr>
      <w:tr w14:paraId="51AAB89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00" w:hRule="atLeast"/>
        </w:trPr>
        <w:tc>
          <w:tcPr>
            <w:tcW w:w="893" w:type="dxa"/>
            <w:noWrap w:val="0"/>
            <w:vAlign w:val="center"/>
          </w:tcPr>
          <w:p w14:paraId="39E371A9">
            <w:pPr>
              <w:pStyle w:val="9"/>
              <w:spacing w:line="500" w:lineRule="exact"/>
              <w:jc w:val="center"/>
              <w:rPr>
                <w:color w:val="auto"/>
                <w:szCs w:val="21"/>
                <w:highlight w:val="none"/>
              </w:rPr>
            </w:pPr>
          </w:p>
        </w:tc>
        <w:tc>
          <w:tcPr>
            <w:tcW w:w="2998" w:type="dxa"/>
            <w:noWrap w:val="0"/>
            <w:vAlign w:val="center"/>
          </w:tcPr>
          <w:p w14:paraId="13653D39">
            <w:pPr>
              <w:pStyle w:val="9"/>
              <w:spacing w:line="500" w:lineRule="exact"/>
              <w:jc w:val="center"/>
              <w:rPr>
                <w:color w:val="auto"/>
                <w:szCs w:val="21"/>
                <w:highlight w:val="none"/>
              </w:rPr>
            </w:pPr>
          </w:p>
        </w:tc>
        <w:tc>
          <w:tcPr>
            <w:tcW w:w="1800" w:type="dxa"/>
            <w:noWrap w:val="0"/>
            <w:vAlign w:val="center"/>
          </w:tcPr>
          <w:p w14:paraId="4F60FC57">
            <w:pPr>
              <w:pStyle w:val="9"/>
              <w:spacing w:line="500" w:lineRule="exact"/>
              <w:jc w:val="center"/>
              <w:rPr>
                <w:color w:val="auto"/>
                <w:szCs w:val="21"/>
                <w:highlight w:val="none"/>
              </w:rPr>
            </w:pPr>
          </w:p>
        </w:tc>
        <w:tc>
          <w:tcPr>
            <w:tcW w:w="1404" w:type="dxa"/>
            <w:noWrap w:val="0"/>
            <w:vAlign w:val="center"/>
          </w:tcPr>
          <w:p w14:paraId="245D4DF3">
            <w:pPr>
              <w:pStyle w:val="9"/>
              <w:spacing w:line="500" w:lineRule="exact"/>
              <w:jc w:val="center"/>
              <w:rPr>
                <w:color w:val="auto"/>
                <w:szCs w:val="21"/>
                <w:highlight w:val="none"/>
              </w:rPr>
            </w:pPr>
          </w:p>
        </w:tc>
        <w:tc>
          <w:tcPr>
            <w:tcW w:w="1489" w:type="dxa"/>
            <w:noWrap w:val="0"/>
            <w:vAlign w:val="center"/>
          </w:tcPr>
          <w:p w14:paraId="43C017E3">
            <w:pPr>
              <w:pStyle w:val="9"/>
              <w:spacing w:line="500" w:lineRule="exact"/>
              <w:jc w:val="center"/>
              <w:rPr>
                <w:color w:val="auto"/>
                <w:szCs w:val="21"/>
                <w:highlight w:val="none"/>
              </w:rPr>
            </w:pPr>
          </w:p>
        </w:tc>
      </w:tr>
      <w:tr w14:paraId="7EB9C7E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00" w:hRule="atLeast"/>
        </w:trPr>
        <w:tc>
          <w:tcPr>
            <w:tcW w:w="893" w:type="dxa"/>
            <w:noWrap w:val="0"/>
            <w:vAlign w:val="center"/>
          </w:tcPr>
          <w:p w14:paraId="32265403">
            <w:pPr>
              <w:pStyle w:val="9"/>
              <w:spacing w:line="500" w:lineRule="exact"/>
              <w:jc w:val="center"/>
              <w:rPr>
                <w:color w:val="auto"/>
                <w:szCs w:val="21"/>
                <w:highlight w:val="none"/>
              </w:rPr>
            </w:pPr>
          </w:p>
        </w:tc>
        <w:tc>
          <w:tcPr>
            <w:tcW w:w="2998" w:type="dxa"/>
            <w:noWrap w:val="0"/>
            <w:vAlign w:val="center"/>
          </w:tcPr>
          <w:p w14:paraId="63CBF4B7">
            <w:pPr>
              <w:pStyle w:val="9"/>
              <w:spacing w:line="500" w:lineRule="exact"/>
              <w:jc w:val="center"/>
              <w:rPr>
                <w:color w:val="auto"/>
                <w:szCs w:val="21"/>
                <w:highlight w:val="none"/>
              </w:rPr>
            </w:pPr>
          </w:p>
        </w:tc>
        <w:tc>
          <w:tcPr>
            <w:tcW w:w="1800" w:type="dxa"/>
            <w:noWrap w:val="0"/>
            <w:vAlign w:val="center"/>
          </w:tcPr>
          <w:p w14:paraId="35EBBB0C">
            <w:pPr>
              <w:pStyle w:val="9"/>
              <w:spacing w:line="500" w:lineRule="exact"/>
              <w:jc w:val="center"/>
              <w:rPr>
                <w:color w:val="auto"/>
                <w:szCs w:val="21"/>
                <w:highlight w:val="none"/>
              </w:rPr>
            </w:pPr>
          </w:p>
        </w:tc>
        <w:tc>
          <w:tcPr>
            <w:tcW w:w="1404" w:type="dxa"/>
            <w:noWrap w:val="0"/>
            <w:vAlign w:val="center"/>
          </w:tcPr>
          <w:p w14:paraId="06D94686">
            <w:pPr>
              <w:pStyle w:val="9"/>
              <w:spacing w:line="500" w:lineRule="exact"/>
              <w:jc w:val="center"/>
              <w:rPr>
                <w:color w:val="auto"/>
                <w:szCs w:val="21"/>
                <w:highlight w:val="none"/>
              </w:rPr>
            </w:pPr>
          </w:p>
        </w:tc>
        <w:tc>
          <w:tcPr>
            <w:tcW w:w="1489" w:type="dxa"/>
            <w:noWrap w:val="0"/>
            <w:vAlign w:val="center"/>
          </w:tcPr>
          <w:p w14:paraId="2686F616">
            <w:pPr>
              <w:pStyle w:val="9"/>
              <w:spacing w:line="500" w:lineRule="exact"/>
              <w:jc w:val="center"/>
              <w:rPr>
                <w:color w:val="auto"/>
                <w:szCs w:val="21"/>
                <w:highlight w:val="none"/>
              </w:rPr>
            </w:pPr>
          </w:p>
        </w:tc>
      </w:tr>
      <w:tr w14:paraId="5D28F9D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00" w:hRule="atLeast"/>
        </w:trPr>
        <w:tc>
          <w:tcPr>
            <w:tcW w:w="893" w:type="dxa"/>
            <w:noWrap w:val="0"/>
            <w:vAlign w:val="center"/>
          </w:tcPr>
          <w:p w14:paraId="1E1C32CD">
            <w:pPr>
              <w:pStyle w:val="9"/>
              <w:spacing w:line="500" w:lineRule="exact"/>
              <w:jc w:val="center"/>
              <w:rPr>
                <w:color w:val="auto"/>
                <w:szCs w:val="21"/>
                <w:highlight w:val="none"/>
              </w:rPr>
            </w:pPr>
          </w:p>
        </w:tc>
        <w:tc>
          <w:tcPr>
            <w:tcW w:w="2998" w:type="dxa"/>
            <w:noWrap w:val="0"/>
            <w:vAlign w:val="center"/>
          </w:tcPr>
          <w:p w14:paraId="5C70E87D">
            <w:pPr>
              <w:pStyle w:val="9"/>
              <w:spacing w:line="500" w:lineRule="exact"/>
              <w:jc w:val="center"/>
              <w:rPr>
                <w:color w:val="auto"/>
                <w:szCs w:val="21"/>
                <w:highlight w:val="none"/>
              </w:rPr>
            </w:pPr>
          </w:p>
        </w:tc>
        <w:tc>
          <w:tcPr>
            <w:tcW w:w="1800" w:type="dxa"/>
            <w:noWrap w:val="0"/>
            <w:vAlign w:val="center"/>
          </w:tcPr>
          <w:p w14:paraId="1199E2FD">
            <w:pPr>
              <w:pStyle w:val="9"/>
              <w:spacing w:line="500" w:lineRule="exact"/>
              <w:jc w:val="center"/>
              <w:rPr>
                <w:color w:val="auto"/>
                <w:szCs w:val="21"/>
                <w:highlight w:val="none"/>
              </w:rPr>
            </w:pPr>
          </w:p>
        </w:tc>
        <w:tc>
          <w:tcPr>
            <w:tcW w:w="1404" w:type="dxa"/>
            <w:noWrap w:val="0"/>
            <w:vAlign w:val="center"/>
          </w:tcPr>
          <w:p w14:paraId="4DF4E60D">
            <w:pPr>
              <w:pStyle w:val="9"/>
              <w:spacing w:line="500" w:lineRule="exact"/>
              <w:jc w:val="center"/>
              <w:rPr>
                <w:color w:val="auto"/>
                <w:szCs w:val="21"/>
                <w:highlight w:val="none"/>
              </w:rPr>
            </w:pPr>
          </w:p>
        </w:tc>
        <w:tc>
          <w:tcPr>
            <w:tcW w:w="1489" w:type="dxa"/>
            <w:noWrap w:val="0"/>
            <w:vAlign w:val="center"/>
          </w:tcPr>
          <w:p w14:paraId="522BFED0">
            <w:pPr>
              <w:pStyle w:val="9"/>
              <w:spacing w:line="500" w:lineRule="exact"/>
              <w:jc w:val="center"/>
              <w:rPr>
                <w:color w:val="auto"/>
                <w:szCs w:val="21"/>
                <w:highlight w:val="none"/>
              </w:rPr>
            </w:pPr>
          </w:p>
        </w:tc>
      </w:tr>
      <w:tr w14:paraId="7BAD1BD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00" w:hRule="atLeast"/>
        </w:trPr>
        <w:tc>
          <w:tcPr>
            <w:tcW w:w="893" w:type="dxa"/>
            <w:noWrap w:val="0"/>
            <w:vAlign w:val="center"/>
          </w:tcPr>
          <w:p w14:paraId="080E3874">
            <w:pPr>
              <w:pStyle w:val="9"/>
              <w:spacing w:line="500" w:lineRule="exact"/>
              <w:jc w:val="center"/>
              <w:rPr>
                <w:color w:val="auto"/>
                <w:szCs w:val="21"/>
                <w:highlight w:val="none"/>
              </w:rPr>
            </w:pPr>
          </w:p>
        </w:tc>
        <w:tc>
          <w:tcPr>
            <w:tcW w:w="2998" w:type="dxa"/>
            <w:noWrap w:val="0"/>
            <w:vAlign w:val="center"/>
          </w:tcPr>
          <w:p w14:paraId="7F5537EE">
            <w:pPr>
              <w:pStyle w:val="9"/>
              <w:spacing w:line="500" w:lineRule="exact"/>
              <w:jc w:val="center"/>
              <w:rPr>
                <w:color w:val="auto"/>
                <w:szCs w:val="21"/>
                <w:highlight w:val="none"/>
              </w:rPr>
            </w:pPr>
          </w:p>
        </w:tc>
        <w:tc>
          <w:tcPr>
            <w:tcW w:w="1800" w:type="dxa"/>
            <w:noWrap w:val="0"/>
            <w:vAlign w:val="center"/>
          </w:tcPr>
          <w:p w14:paraId="255290F7">
            <w:pPr>
              <w:pStyle w:val="9"/>
              <w:spacing w:line="500" w:lineRule="exact"/>
              <w:jc w:val="center"/>
              <w:rPr>
                <w:color w:val="auto"/>
                <w:szCs w:val="21"/>
                <w:highlight w:val="none"/>
              </w:rPr>
            </w:pPr>
          </w:p>
        </w:tc>
        <w:tc>
          <w:tcPr>
            <w:tcW w:w="1404" w:type="dxa"/>
            <w:noWrap w:val="0"/>
            <w:vAlign w:val="center"/>
          </w:tcPr>
          <w:p w14:paraId="64E1AEEE">
            <w:pPr>
              <w:pStyle w:val="9"/>
              <w:spacing w:line="500" w:lineRule="exact"/>
              <w:jc w:val="center"/>
              <w:rPr>
                <w:color w:val="auto"/>
                <w:szCs w:val="21"/>
                <w:highlight w:val="none"/>
              </w:rPr>
            </w:pPr>
          </w:p>
        </w:tc>
        <w:tc>
          <w:tcPr>
            <w:tcW w:w="1489" w:type="dxa"/>
            <w:noWrap w:val="0"/>
            <w:vAlign w:val="center"/>
          </w:tcPr>
          <w:p w14:paraId="21BD92C7">
            <w:pPr>
              <w:pStyle w:val="9"/>
              <w:spacing w:line="500" w:lineRule="exact"/>
              <w:jc w:val="center"/>
              <w:rPr>
                <w:color w:val="auto"/>
                <w:szCs w:val="21"/>
                <w:highlight w:val="none"/>
              </w:rPr>
            </w:pPr>
          </w:p>
        </w:tc>
      </w:tr>
      <w:tr w14:paraId="4581EE7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00" w:hRule="atLeast"/>
        </w:trPr>
        <w:tc>
          <w:tcPr>
            <w:tcW w:w="893" w:type="dxa"/>
            <w:noWrap w:val="0"/>
            <w:vAlign w:val="center"/>
          </w:tcPr>
          <w:p w14:paraId="15C1DC4E">
            <w:pPr>
              <w:pStyle w:val="9"/>
              <w:spacing w:line="500" w:lineRule="exact"/>
              <w:jc w:val="center"/>
              <w:rPr>
                <w:color w:val="auto"/>
                <w:szCs w:val="21"/>
                <w:highlight w:val="none"/>
              </w:rPr>
            </w:pPr>
          </w:p>
        </w:tc>
        <w:tc>
          <w:tcPr>
            <w:tcW w:w="2998" w:type="dxa"/>
            <w:noWrap w:val="0"/>
            <w:vAlign w:val="center"/>
          </w:tcPr>
          <w:p w14:paraId="309DD930">
            <w:pPr>
              <w:pStyle w:val="9"/>
              <w:spacing w:line="500" w:lineRule="exact"/>
              <w:jc w:val="center"/>
              <w:rPr>
                <w:color w:val="auto"/>
                <w:szCs w:val="21"/>
                <w:highlight w:val="none"/>
              </w:rPr>
            </w:pPr>
          </w:p>
        </w:tc>
        <w:tc>
          <w:tcPr>
            <w:tcW w:w="1800" w:type="dxa"/>
            <w:noWrap w:val="0"/>
            <w:vAlign w:val="center"/>
          </w:tcPr>
          <w:p w14:paraId="75FEFDD8">
            <w:pPr>
              <w:pStyle w:val="9"/>
              <w:spacing w:line="500" w:lineRule="exact"/>
              <w:jc w:val="center"/>
              <w:rPr>
                <w:color w:val="auto"/>
                <w:szCs w:val="21"/>
                <w:highlight w:val="none"/>
              </w:rPr>
            </w:pPr>
          </w:p>
        </w:tc>
        <w:tc>
          <w:tcPr>
            <w:tcW w:w="1404" w:type="dxa"/>
            <w:noWrap w:val="0"/>
            <w:vAlign w:val="center"/>
          </w:tcPr>
          <w:p w14:paraId="01EA1C91">
            <w:pPr>
              <w:pStyle w:val="9"/>
              <w:spacing w:line="500" w:lineRule="exact"/>
              <w:jc w:val="center"/>
              <w:rPr>
                <w:color w:val="auto"/>
                <w:szCs w:val="21"/>
                <w:highlight w:val="none"/>
              </w:rPr>
            </w:pPr>
          </w:p>
        </w:tc>
        <w:tc>
          <w:tcPr>
            <w:tcW w:w="1489" w:type="dxa"/>
            <w:noWrap w:val="0"/>
            <w:vAlign w:val="center"/>
          </w:tcPr>
          <w:p w14:paraId="697DFF9A">
            <w:pPr>
              <w:pStyle w:val="9"/>
              <w:spacing w:line="500" w:lineRule="exact"/>
              <w:jc w:val="center"/>
              <w:rPr>
                <w:color w:val="auto"/>
                <w:szCs w:val="21"/>
                <w:highlight w:val="none"/>
              </w:rPr>
            </w:pPr>
          </w:p>
        </w:tc>
      </w:tr>
      <w:tr w14:paraId="63F2DA2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00" w:hRule="atLeast"/>
        </w:trPr>
        <w:tc>
          <w:tcPr>
            <w:tcW w:w="3891" w:type="dxa"/>
            <w:gridSpan w:val="2"/>
            <w:noWrap w:val="0"/>
            <w:vAlign w:val="center"/>
          </w:tcPr>
          <w:p w14:paraId="40388E47">
            <w:pPr>
              <w:pStyle w:val="9"/>
              <w:spacing w:line="500" w:lineRule="exact"/>
              <w:jc w:val="center"/>
              <w:rPr>
                <w:rFonts w:hint="default" w:eastAsia="宋体"/>
                <w:color w:val="auto"/>
                <w:szCs w:val="21"/>
                <w:highlight w:val="none"/>
                <w:lang w:val="en-US" w:eastAsia="zh-CN"/>
              </w:rPr>
            </w:pPr>
            <w:r>
              <w:rPr>
                <w:rFonts w:hint="eastAsia" w:eastAsia="宋体"/>
                <w:color w:val="auto"/>
                <w:szCs w:val="21"/>
                <w:highlight w:val="none"/>
                <w:lang w:val="en-US" w:eastAsia="zh-CN"/>
              </w:rPr>
              <w:t>最高投标限价（元）</w:t>
            </w:r>
          </w:p>
        </w:tc>
        <w:tc>
          <w:tcPr>
            <w:tcW w:w="4693" w:type="dxa"/>
            <w:gridSpan w:val="3"/>
            <w:noWrap w:val="0"/>
            <w:vAlign w:val="center"/>
          </w:tcPr>
          <w:p w14:paraId="350798D0">
            <w:pPr>
              <w:pStyle w:val="9"/>
              <w:spacing w:line="500" w:lineRule="exact"/>
              <w:jc w:val="center"/>
              <w:rPr>
                <w:color w:val="auto"/>
                <w:szCs w:val="21"/>
                <w:highlight w:val="none"/>
              </w:rPr>
            </w:pPr>
          </w:p>
        </w:tc>
      </w:tr>
    </w:tbl>
    <w:p w14:paraId="29B4AFE0">
      <w:pPr>
        <w:pStyle w:val="9"/>
        <w:spacing w:line="620" w:lineRule="exact"/>
        <w:rPr>
          <w:color w:val="auto"/>
          <w:szCs w:val="21"/>
          <w:highlight w:val="none"/>
        </w:rPr>
      </w:pPr>
      <w:r>
        <w:rPr>
          <w:color w:val="auto"/>
          <w:szCs w:val="21"/>
          <w:highlight w:val="none"/>
        </w:rPr>
        <w:t>招标人代表：</w:t>
      </w:r>
      <w:r>
        <w:rPr>
          <w:rFonts w:hint="eastAsia"/>
          <w:color w:val="auto"/>
          <w:szCs w:val="21"/>
          <w:highlight w:val="none"/>
        </w:rPr>
        <w:t xml:space="preserve">                     </w:t>
      </w:r>
      <w:r>
        <w:rPr>
          <w:rFonts w:hint="eastAsia" w:eastAsia="宋体"/>
          <w:color w:val="auto"/>
          <w:szCs w:val="21"/>
          <w:highlight w:val="none"/>
          <w:lang w:val="en-US" w:eastAsia="zh-CN"/>
        </w:rPr>
        <w:t>记录人：</w:t>
      </w:r>
      <w:r>
        <w:rPr>
          <w:rFonts w:hint="eastAsia"/>
          <w:color w:val="auto"/>
          <w:szCs w:val="21"/>
          <w:highlight w:val="none"/>
        </w:rPr>
        <w:t xml:space="preserve">                     </w:t>
      </w:r>
      <w:r>
        <w:rPr>
          <w:color w:val="auto"/>
          <w:szCs w:val="21"/>
          <w:highlight w:val="none"/>
        </w:rPr>
        <w:t>监标人：</w:t>
      </w:r>
    </w:p>
    <w:p w14:paraId="543A9DBD">
      <w:pPr>
        <w:pStyle w:val="9"/>
        <w:spacing w:line="400" w:lineRule="exact"/>
        <w:rPr>
          <w:color w:val="auto"/>
          <w:highlight w:val="none"/>
        </w:rPr>
      </w:pPr>
    </w:p>
    <w:p w14:paraId="3B6325A0">
      <w:pPr>
        <w:pStyle w:val="9"/>
        <w:keepNext w:val="0"/>
        <w:keepLines w:val="0"/>
        <w:pageBreakBefore w:val="0"/>
        <w:widowControl w:val="0"/>
        <w:kinsoku/>
        <w:wordWrap/>
        <w:overflowPunct/>
        <w:topLinePunct w:val="0"/>
        <w:autoSpaceDE/>
        <w:autoSpaceDN/>
        <w:bidi w:val="0"/>
        <w:adjustRightInd/>
        <w:snapToGrid/>
        <w:spacing w:line="620" w:lineRule="exact"/>
        <w:textAlignment w:val="auto"/>
        <w:outlineLvl w:val="9"/>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注：本表格最终以电子交易平台生成格式为准。</w:t>
      </w:r>
    </w:p>
    <w:p w14:paraId="3A7F6BB7">
      <w:pPr>
        <w:pStyle w:val="9"/>
        <w:keepNext w:val="0"/>
        <w:keepLines w:val="0"/>
        <w:pageBreakBefore w:val="0"/>
        <w:widowControl w:val="0"/>
        <w:kinsoku/>
        <w:wordWrap/>
        <w:overflowPunct/>
        <w:topLinePunct w:val="0"/>
        <w:autoSpaceDE/>
        <w:autoSpaceDN/>
        <w:bidi w:val="0"/>
        <w:adjustRightInd/>
        <w:snapToGrid/>
        <w:spacing w:line="620" w:lineRule="exact"/>
        <w:textAlignment w:val="auto"/>
        <w:outlineLvl w:val="2"/>
        <w:rPr>
          <w:rFonts w:hint="eastAsia" w:ascii="黑体" w:hAnsi="黑体" w:eastAsia="黑体" w:cs="Times New Roman"/>
          <w:color w:val="auto"/>
          <w:sz w:val="24"/>
          <w:highlight w:val="none"/>
        </w:rPr>
      </w:pPr>
      <w:r>
        <w:rPr>
          <w:rFonts w:hint="eastAsia"/>
          <w:b/>
          <w:bCs/>
          <w:color w:val="auto"/>
          <w:highlight w:val="none"/>
        </w:rPr>
        <w:br w:type="page"/>
      </w:r>
      <w:bookmarkStart w:id="105" w:name="_Toc27135"/>
      <w:r>
        <w:rPr>
          <w:rFonts w:hint="eastAsia" w:ascii="黑体" w:hAnsi="黑体" w:eastAsia="黑体" w:cs="Times New Roman"/>
          <w:color w:val="auto"/>
          <w:sz w:val="24"/>
          <w:highlight w:val="none"/>
        </w:rPr>
        <w:t>附表二：问题澄清通知</w:t>
      </w:r>
      <w:bookmarkEnd w:id="105"/>
    </w:p>
    <w:p w14:paraId="02A03A86">
      <w:pPr>
        <w:pStyle w:val="9"/>
        <w:spacing w:line="440" w:lineRule="exact"/>
        <w:jc w:val="center"/>
        <w:rPr>
          <w:rFonts w:ascii="宋体" w:hAnsi="宋体"/>
          <w:color w:val="auto"/>
          <w:szCs w:val="20"/>
          <w:highlight w:val="none"/>
        </w:rPr>
      </w:pPr>
      <w:r>
        <w:rPr>
          <w:rFonts w:hint="eastAsia" w:ascii="宋体" w:hAnsi="宋体"/>
          <w:b/>
          <w:color w:val="auto"/>
          <w:sz w:val="28"/>
          <w:szCs w:val="20"/>
          <w:highlight w:val="none"/>
        </w:rPr>
        <w:t>问题澄清通知</w:t>
      </w:r>
    </w:p>
    <w:tbl>
      <w:tblPr>
        <w:tblStyle w:val="23"/>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715"/>
        <w:gridCol w:w="2544"/>
        <w:gridCol w:w="2143"/>
        <w:gridCol w:w="2120"/>
      </w:tblGrid>
      <w:tr w14:paraId="6CD9089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1891" w:type="dxa"/>
            <w:tcBorders>
              <w:tl2br w:val="nil"/>
              <w:tr2bl w:val="nil"/>
            </w:tcBorders>
            <w:noWrap w:val="0"/>
            <w:vAlign w:val="center"/>
          </w:tcPr>
          <w:p w14:paraId="07B805CB">
            <w:pPr>
              <w:pStyle w:val="9"/>
              <w:spacing w:line="440" w:lineRule="exact"/>
              <w:jc w:val="center"/>
              <w:rPr>
                <w:rFonts w:hint="eastAsia" w:ascii="宋体" w:hAnsi="宋体"/>
                <w:color w:val="auto"/>
                <w:szCs w:val="20"/>
                <w:highlight w:val="none"/>
              </w:rPr>
            </w:pPr>
            <w:r>
              <w:rPr>
                <w:rFonts w:hint="eastAsia" w:ascii="宋体" w:hAnsi="宋体"/>
                <w:color w:val="auto"/>
                <w:szCs w:val="20"/>
                <w:highlight w:val="none"/>
              </w:rPr>
              <w:t>项目</w:t>
            </w:r>
            <w:r>
              <w:rPr>
                <w:rFonts w:ascii="宋体" w:hAnsi="宋体"/>
                <w:color w:val="auto"/>
                <w:szCs w:val="20"/>
                <w:highlight w:val="none"/>
              </w:rPr>
              <w:t>名称</w:t>
            </w:r>
          </w:p>
        </w:tc>
        <w:tc>
          <w:tcPr>
            <w:tcW w:w="7617" w:type="dxa"/>
            <w:gridSpan w:val="3"/>
            <w:tcBorders>
              <w:tl2br w:val="nil"/>
              <w:tr2bl w:val="nil"/>
            </w:tcBorders>
            <w:noWrap w:val="0"/>
            <w:vAlign w:val="center"/>
          </w:tcPr>
          <w:p w14:paraId="1EA3DC76">
            <w:pPr>
              <w:pStyle w:val="9"/>
              <w:spacing w:line="440" w:lineRule="exact"/>
              <w:jc w:val="center"/>
              <w:rPr>
                <w:rFonts w:hint="eastAsia" w:ascii="宋体" w:hAnsi="宋体"/>
                <w:color w:val="auto"/>
                <w:szCs w:val="20"/>
                <w:highlight w:val="none"/>
              </w:rPr>
            </w:pPr>
          </w:p>
        </w:tc>
      </w:tr>
      <w:tr w14:paraId="0CAFB0A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891" w:type="dxa"/>
            <w:tcBorders>
              <w:tl2br w:val="nil"/>
              <w:tr2bl w:val="nil"/>
            </w:tcBorders>
            <w:noWrap w:val="0"/>
            <w:vAlign w:val="center"/>
          </w:tcPr>
          <w:p w14:paraId="6B7C53CE">
            <w:pPr>
              <w:pStyle w:val="9"/>
              <w:spacing w:line="440" w:lineRule="exact"/>
              <w:jc w:val="center"/>
              <w:rPr>
                <w:rFonts w:hint="eastAsia" w:ascii="宋体" w:hAnsi="宋体"/>
                <w:color w:val="auto"/>
                <w:szCs w:val="20"/>
                <w:highlight w:val="none"/>
              </w:rPr>
            </w:pPr>
            <w:r>
              <w:rPr>
                <w:rFonts w:hint="eastAsia" w:ascii="宋体" w:hAnsi="宋体"/>
                <w:color w:val="auto"/>
                <w:szCs w:val="20"/>
                <w:highlight w:val="none"/>
              </w:rPr>
              <w:t>项目编</w:t>
            </w:r>
            <w:r>
              <w:rPr>
                <w:rFonts w:ascii="宋体" w:hAnsi="宋体"/>
                <w:color w:val="auto"/>
                <w:szCs w:val="20"/>
                <w:highlight w:val="none"/>
              </w:rPr>
              <w:t>号</w:t>
            </w:r>
          </w:p>
        </w:tc>
        <w:tc>
          <w:tcPr>
            <w:tcW w:w="7617" w:type="dxa"/>
            <w:gridSpan w:val="3"/>
            <w:tcBorders>
              <w:tl2br w:val="nil"/>
              <w:tr2bl w:val="nil"/>
            </w:tcBorders>
            <w:noWrap w:val="0"/>
            <w:vAlign w:val="center"/>
          </w:tcPr>
          <w:p w14:paraId="15EB1152">
            <w:pPr>
              <w:pStyle w:val="9"/>
              <w:spacing w:line="440" w:lineRule="exact"/>
              <w:jc w:val="center"/>
              <w:rPr>
                <w:rFonts w:hint="eastAsia" w:ascii="宋体" w:hAnsi="宋体"/>
                <w:color w:val="auto"/>
                <w:szCs w:val="20"/>
                <w:highlight w:val="none"/>
              </w:rPr>
            </w:pPr>
          </w:p>
        </w:tc>
      </w:tr>
      <w:tr w14:paraId="2A32982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891" w:type="dxa"/>
            <w:tcBorders>
              <w:tl2br w:val="nil"/>
              <w:tr2bl w:val="nil"/>
            </w:tcBorders>
            <w:noWrap w:val="0"/>
            <w:vAlign w:val="center"/>
          </w:tcPr>
          <w:p w14:paraId="4873CCEC">
            <w:pPr>
              <w:pStyle w:val="9"/>
              <w:spacing w:line="260" w:lineRule="exact"/>
              <w:jc w:val="center"/>
              <w:rPr>
                <w:rFonts w:ascii="宋体" w:hAnsi="宋体"/>
                <w:color w:val="auto"/>
                <w:szCs w:val="20"/>
                <w:highlight w:val="none"/>
              </w:rPr>
            </w:pPr>
            <w:r>
              <w:rPr>
                <w:rFonts w:hint="eastAsia" w:ascii="宋体" w:hAnsi="宋体"/>
                <w:color w:val="auto"/>
                <w:szCs w:val="20"/>
                <w:highlight w:val="none"/>
              </w:rPr>
              <w:t>需要</w:t>
            </w:r>
            <w:r>
              <w:rPr>
                <w:rFonts w:ascii="宋体" w:hAnsi="宋体"/>
                <w:color w:val="auto"/>
                <w:szCs w:val="20"/>
                <w:highlight w:val="none"/>
              </w:rPr>
              <w:t>澄清的</w:t>
            </w:r>
          </w:p>
          <w:p w14:paraId="45E8B400">
            <w:pPr>
              <w:pStyle w:val="9"/>
              <w:spacing w:line="260" w:lineRule="exact"/>
              <w:jc w:val="center"/>
              <w:rPr>
                <w:rFonts w:hint="eastAsia" w:ascii="宋体" w:hAnsi="宋体"/>
                <w:color w:val="auto"/>
                <w:szCs w:val="20"/>
                <w:highlight w:val="none"/>
              </w:rPr>
            </w:pPr>
            <w:r>
              <w:rPr>
                <w:rFonts w:hint="eastAsia" w:ascii="宋体" w:hAnsi="宋体"/>
                <w:color w:val="auto"/>
                <w:szCs w:val="20"/>
                <w:highlight w:val="none"/>
              </w:rPr>
              <w:t>投</w:t>
            </w:r>
            <w:r>
              <w:rPr>
                <w:rFonts w:ascii="宋体" w:hAnsi="宋体"/>
                <w:color w:val="auto"/>
                <w:szCs w:val="20"/>
                <w:highlight w:val="none"/>
              </w:rPr>
              <w:t>标人名称</w:t>
            </w:r>
          </w:p>
        </w:tc>
        <w:tc>
          <w:tcPr>
            <w:tcW w:w="7617" w:type="dxa"/>
            <w:gridSpan w:val="3"/>
            <w:tcBorders>
              <w:tl2br w:val="nil"/>
              <w:tr2bl w:val="nil"/>
            </w:tcBorders>
            <w:noWrap w:val="0"/>
            <w:vAlign w:val="center"/>
          </w:tcPr>
          <w:p w14:paraId="16B850C2">
            <w:pPr>
              <w:pStyle w:val="9"/>
              <w:spacing w:line="440" w:lineRule="exact"/>
              <w:jc w:val="center"/>
              <w:rPr>
                <w:rFonts w:hint="eastAsia" w:ascii="宋体" w:hAnsi="宋体"/>
                <w:color w:val="auto"/>
                <w:szCs w:val="20"/>
                <w:highlight w:val="none"/>
              </w:rPr>
            </w:pPr>
          </w:p>
        </w:tc>
      </w:tr>
      <w:tr w14:paraId="189591A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891" w:type="dxa"/>
            <w:tcBorders>
              <w:tl2br w:val="nil"/>
              <w:tr2bl w:val="nil"/>
            </w:tcBorders>
            <w:noWrap w:val="0"/>
            <w:vAlign w:val="center"/>
          </w:tcPr>
          <w:p w14:paraId="365AE500">
            <w:pPr>
              <w:pStyle w:val="9"/>
              <w:spacing w:line="260" w:lineRule="exact"/>
              <w:jc w:val="center"/>
              <w:rPr>
                <w:rFonts w:hint="eastAsia" w:ascii="宋体" w:hAnsi="宋体"/>
                <w:color w:val="auto"/>
                <w:szCs w:val="20"/>
                <w:highlight w:val="none"/>
              </w:rPr>
            </w:pPr>
            <w:r>
              <w:rPr>
                <w:rFonts w:hint="eastAsia" w:ascii="宋体" w:hAnsi="宋体"/>
                <w:color w:val="auto"/>
                <w:szCs w:val="20"/>
                <w:highlight w:val="none"/>
              </w:rPr>
              <w:t>澄清</w:t>
            </w:r>
            <w:r>
              <w:rPr>
                <w:rFonts w:ascii="宋体" w:hAnsi="宋体"/>
                <w:color w:val="auto"/>
                <w:szCs w:val="20"/>
                <w:highlight w:val="none"/>
              </w:rPr>
              <w:t>编号</w:t>
            </w:r>
          </w:p>
        </w:tc>
        <w:tc>
          <w:tcPr>
            <w:tcW w:w="2861" w:type="dxa"/>
            <w:tcBorders>
              <w:tl2br w:val="nil"/>
              <w:tr2bl w:val="nil"/>
            </w:tcBorders>
            <w:noWrap w:val="0"/>
            <w:vAlign w:val="center"/>
          </w:tcPr>
          <w:p w14:paraId="1D4D7E48">
            <w:pPr>
              <w:pStyle w:val="9"/>
              <w:spacing w:line="440" w:lineRule="exact"/>
              <w:jc w:val="center"/>
              <w:rPr>
                <w:rFonts w:hint="eastAsia" w:ascii="宋体" w:hAnsi="宋体"/>
                <w:color w:val="auto"/>
                <w:szCs w:val="20"/>
                <w:highlight w:val="none"/>
              </w:rPr>
            </w:pPr>
          </w:p>
        </w:tc>
        <w:tc>
          <w:tcPr>
            <w:tcW w:w="2377" w:type="dxa"/>
            <w:tcBorders>
              <w:tl2br w:val="nil"/>
              <w:tr2bl w:val="nil"/>
            </w:tcBorders>
            <w:noWrap w:val="0"/>
            <w:vAlign w:val="center"/>
          </w:tcPr>
          <w:p w14:paraId="7EDCA130">
            <w:pPr>
              <w:pStyle w:val="9"/>
              <w:spacing w:line="440" w:lineRule="exact"/>
              <w:jc w:val="center"/>
              <w:rPr>
                <w:rFonts w:hint="eastAsia" w:ascii="宋体" w:hAnsi="宋体"/>
                <w:color w:val="auto"/>
                <w:szCs w:val="20"/>
                <w:highlight w:val="none"/>
              </w:rPr>
            </w:pPr>
            <w:r>
              <w:rPr>
                <w:rFonts w:hint="eastAsia" w:ascii="宋体" w:hAnsi="宋体"/>
                <w:color w:val="auto"/>
                <w:szCs w:val="20"/>
                <w:highlight w:val="none"/>
              </w:rPr>
              <w:t>发</w:t>
            </w:r>
            <w:r>
              <w:rPr>
                <w:rFonts w:ascii="宋体" w:hAnsi="宋体"/>
                <w:color w:val="auto"/>
                <w:szCs w:val="20"/>
                <w:highlight w:val="none"/>
              </w:rPr>
              <w:t>出</w:t>
            </w:r>
            <w:r>
              <w:rPr>
                <w:rFonts w:hint="eastAsia" w:ascii="宋体" w:hAnsi="宋体"/>
                <w:color w:val="auto"/>
                <w:szCs w:val="20"/>
                <w:highlight w:val="none"/>
              </w:rPr>
              <w:t>澄清</w:t>
            </w:r>
            <w:r>
              <w:rPr>
                <w:rFonts w:ascii="宋体" w:hAnsi="宋体"/>
                <w:color w:val="auto"/>
                <w:szCs w:val="20"/>
                <w:highlight w:val="none"/>
              </w:rPr>
              <w:t>时间</w:t>
            </w:r>
          </w:p>
        </w:tc>
        <w:tc>
          <w:tcPr>
            <w:tcW w:w="2379" w:type="dxa"/>
            <w:tcBorders>
              <w:tl2br w:val="nil"/>
              <w:tr2bl w:val="nil"/>
            </w:tcBorders>
            <w:noWrap w:val="0"/>
            <w:vAlign w:val="center"/>
          </w:tcPr>
          <w:p w14:paraId="15407690">
            <w:pPr>
              <w:pStyle w:val="9"/>
              <w:spacing w:line="440" w:lineRule="exact"/>
              <w:jc w:val="center"/>
              <w:rPr>
                <w:rFonts w:hint="eastAsia" w:ascii="宋体" w:hAnsi="宋体"/>
                <w:color w:val="auto"/>
                <w:szCs w:val="20"/>
                <w:highlight w:val="none"/>
              </w:rPr>
            </w:pPr>
          </w:p>
        </w:tc>
      </w:tr>
      <w:tr w14:paraId="6F3F488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36" w:hRule="atLeast"/>
          <w:jc w:val="center"/>
        </w:trPr>
        <w:tc>
          <w:tcPr>
            <w:tcW w:w="1891" w:type="dxa"/>
            <w:tcBorders>
              <w:tl2br w:val="nil"/>
              <w:tr2bl w:val="nil"/>
            </w:tcBorders>
            <w:noWrap w:val="0"/>
            <w:vAlign w:val="center"/>
          </w:tcPr>
          <w:p w14:paraId="6916CB95">
            <w:pPr>
              <w:pStyle w:val="9"/>
              <w:spacing w:line="260" w:lineRule="exact"/>
              <w:jc w:val="center"/>
              <w:rPr>
                <w:rFonts w:hint="eastAsia" w:ascii="宋体" w:hAnsi="宋体"/>
                <w:color w:val="auto"/>
                <w:szCs w:val="20"/>
                <w:highlight w:val="none"/>
              </w:rPr>
            </w:pPr>
            <w:r>
              <w:rPr>
                <w:rFonts w:hint="eastAsia" w:ascii="宋体" w:hAnsi="宋体"/>
                <w:color w:val="auto"/>
                <w:szCs w:val="20"/>
                <w:highlight w:val="none"/>
              </w:rPr>
              <w:t>澄清问题</w:t>
            </w:r>
          </w:p>
        </w:tc>
        <w:tc>
          <w:tcPr>
            <w:tcW w:w="7617" w:type="dxa"/>
            <w:gridSpan w:val="3"/>
            <w:tcBorders>
              <w:tl2br w:val="nil"/>
              <w:tr2bl w:val="nil"/>
            </w:tcBorders>
            <w:noWrap w:val="0"/>
            <w:vAlign w:val="center"/>
          </w:tcPr>
          <w:p w14:paraId="62D6C0A6">
            <w:pPr>
              <w:pStyle w:val="9"/>
              <w:spacing w:line="440" w:lineRule="exact"/>
              <w:jc w:val="center"/>
              <w:rPr>
                <w:rFonts w:hint="eastAsia" w:ascii="宋体" w:hAnsi="宋体"/>
                <w:color w:val="auto"/>
                <w:szCs w:val="20"/>
                <w:highlight w:val="none"/>
              </w:rPr>
            </w:pPr>
          </w:p>
        </w:tc>
      </w:tr>
      <w:tr w14:paraId="7DAB5B3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1891" w:type="dxa"/>
            <w:tcBorders>
              <w:tl2br w:val="nil"/>
              <w:tr2bl w:val="nil"/>
            </w:tcBorders>
            <w:noWrap w:val="0"/>
            <w:vAlign w:val="center"/>
          </w:tcPr>
          <w:p w14:paraId="2EAADE1B">
            <w:pPr>
              <w:pStyle w:val="9"/>
              <w:spacing w:line="260" w:lineRule="exact"/>
              <w:jc w:val="center"/>
              <w:rPr>
                <w:rFonts w:hint="eastAsia" w:ascii="宋体" w:hAnsi="宋体"/>
                <w:color w:val="auto"/>
                <w:szCs w:val="20"/>
                <w:highlight w:val="none"/>
              </w:rPr>
            </w:pPr>
            <w:r>
              <w:rPr>
                <w:rFonts w:hint="eastAsia" w:ascii="宋体" w:hAnsi="宋体"/>
                <w:color w:val="auto"/>
                <w:szCs w:val="20"/>
                <w:highlight w:val="none"/>
              </w:rPr>
              <w:t>回复</w:t>
            </w:r>
            <w:r>
              <w:rPr>
                <w:rFonts w:ascii="宋体" w:hAnsi="宋体"/>
                <w:color w:val="auto"/>
                <w:szCs w:val="20"/>
                <w:highlight w:val="none"/>
              </w:rPr>
              <w:t>期限</w:t>
            </w:r>
          </w:p>
        </w:tc>
        <w:tc>
          <w:tcPr>
            <w:tcW w:w="7617" w:type="dxa"/>
            <w:gridSpan w:val="3"/>
            <w:tcBorders>
              <w:tl2br w:val="nil"/>
              <w:tr2bl w:val="nil"/>
            </w:tcBorders>
            <w:noWrap w:val="0"/>
            <w:vAlign w:val="center"/>
          </w:tcPr>
          <w:p w14:paraId="0A5BFD1E">
            <w:pPr>
              <w:pStyle w:val="9"/>
              <w:spacing w:line="440" w:lineRule="exact"/>
              <w:jc w:val="center"/>
              <w:rPr>
                <w:rFonts w:hint="eastAsia" w:ascii="宋体" w:hAnsi="宋体"/>
                <w:color w:val="auto"/>
                <w:szCs w:val="20"/>
                <w:highlight w:val="none"/>
              </w:rPr>
            </w:pPr>
          </w:p>
        </w:tc>
      </w:tr>
      <w:tr w14:paraId="100EB34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1891" w:type="dxa"/>
            <w:tcBorders>
              <w:tl2br w:val="nil"/>
              <w:tr2bl w:val="nil"/>
            </w:tcBorders>
            <w:noWrap w:val="0"/>
            <w:vAlign w:val="center"/>
          </w:tcPr>
          <w:p w14:paraId="59BD2416">
            <w:pPr>
              <w:pStyle w:val="9"/>
              <w:spacing w:line="260" w:lineRule="exact"/>
              <w:jc w:val="center"/>
              <w:rPr>
                <w:rFonts w:hint="eastAsia" w:ascii="宋体" w:hAnsi="宋体"/>
                <w:color w:val="auto"/>
                <w:szCs w:val="20"/>
                <w:highlight w:val="none"/>
              </w:rPr>
            </w:pPr>
            <w:r>
              <w:rPr>
                <w:rFonts w:hint="eastAsia" w:ascii="宋体" w:hAnsi="宋体"/>
                <w:color w:val="auto"/>
                <w:szCs w:val="20"/>
                <w:highlight w:val="none"/>
              </w:rPr>
              <w:t>回复要</w:t>
            </w:r>
            <w:r>
              <w:rPr>
                <w:rFonts w:ascii="宋体" w:hAnsi="宋体"/>
                <w:color w:val="auto"/>
                <w:szCs w:val="20"/>
                <w:highlight w:val="none"/>
              </w:rPr>
              <w:t>求</w:t>
            </w:r>
          </w:p>
        </w:tc>
        <w:tc>
          <w:tcPr>
            <w:tcW w:w="7617" w:type="dxa"/>
            <w:gridSpan w:val="3"/>
            <w:tcBorders>
              <w:tl2br w:val="nil"/>
              <w:tr2bl w:val="nil"/>
            </w:tcBorders>
            <w:noWrap w:val="0"/>
            <w:vAlign w:val="center"/>
          </w:tcPr>
          <w:p w14:paraId="706DA686">
            <w:pPr>
              <w:pStyle w:val="9"/>
              <w:spacing w:line="440" w:lineRule="exact"/>
              <w:jc w:val="center"/>
              <w:rPr>
                <w:rFonts w:hint="eastAsia" w:ascii="宋体" w:hAnsi="宋体"/>
                <w:color w:val="auto"/>
                <w:szCs w:val="20"/>
                <w:highlight w:val="none"/>
              </w:rPr>
            </w:pPr>
          </w:p>
        </w:tc>
      </w:tr>
      <w:tr w14:paraId="1BA8438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678" w:hRule="atLeast"/>
          <w:jc w:val="center"/>
        </w:trPr>
        <w:tc>
          <w:tcPr>
            <w:tcW w:w="1891" w:type="dxa"/>
            <w:tcBorders>
              <w:tl2br w:val="nil"/>
              <w:tr2bl w:val="nil"/>
            </w:tcBorders>
            <w:noWrap w:val="0"/>
            <w:vAlign w:val="center"/>
          </w:tcPr>
          <w:p w14:paraId="6D3DC41E">
            <w:pPr>
              <w:pStyle w:val="9"/>
              <w:spacing w:line="260" w:lineRule="exact"/>
              <w:jc w:val="center"/>
              <w:rPr>
                <w:rFonts w:hint="eastAsia" w:ascii="宋体" w:hAnsi="宋体"/>
                <w:color w:val="auto"/>
                <w:szCs w:val="20"/>
                <w:highlight w:val="none"/>
              </w:rPr>
            </w:pPr>
            <w:r>
              <w:rPr>
                <w:rFonts w:hint="eastAsia" w:ascii="宋体" w:hAnsi="宋体"/>
                <w:color w:val="auto"/>
                <w:szCs w:val="20"/>
                <w:highlight w:val="none"/>
              </w:rPr>
              <w:t>澄清</w:t>
            </w:r>
            <w:r>
              <w:rPr>
                <w:rFonts w:ascii="宋体" w:hAnsi="宋体"/>
                <w:color w:val="auto"/>
                <w:szCs w:val="20"/>
                <w:highlight w:val="none"/>
              </w:rPr>
              <w:t>发出</w:t>
            </w:r>
            <w:r>
              <w:rPr>
                <w:rFonts w:hint="eastAsia" w:ascii="宋体" w:hAnsi="宋体"/>
                <w:color w:val="auto"/>
                <w:szCs w:val="20"/>
                <w:highlight w:val="none"/>
              </w:rPr>
              <w:t>评</w:t>
            </w:r>
            <w:r>
              <w:rPr>
                <w:rFonts w:ascii="宋体" w:hAnsi="宋体"/>
                <w:color w:val="auto"/>
                <w:szCs w:val="20"/>
                <w:highlight w:val="none"/>
              </w:rPr>
              <w:t>标委员</w:t>
            </w:r>
            <w:r>
              <w:rPr>
                <w:rFonts w:hint="eastAsia" w:ascii="宋体" w:hAnsi="宋体"/>
                <w:color w:val="auto"/>
                <w:szCs w:val="20"/>
                <w:highlight w:val="none"/>
              </w:rPr>
              <w:t>会名称</w:t>
            </w:r>
          </w:p>
        </w:tc>
        <w:tc>
          <w:tcPr>
            <w:tcW w:w="7617" w:type="dxa"/>
            <w:gridSpan w:val="3"/>
            <w:tcBorders>
              <w:tl2br w:val="nil"/>
              <w:tr2bl w:val="nil"/>
            </w:tcBorders>
            <w:noWrap w:val="0"/>
            <w:vAlign w:val="center"/>
          </w:tcPr>
          <w:p w14:paraId="15F925AB">
            <w:pPr>
              <w:pStyle w:val="9"/>
              <w:spacing w:line="440" w:lineRule="exact"/>
              <w:jc w:val="center"/>
              <w:rPr>
                <w:rFonts w:hint="eastAsia" w:ascii="宋体" w:hAnsi="宋体"/>
                <w:color w:val="auto"/>
                <w:szCs w:val="20"/>
                <w:highlight w:val="none"/>
              </w:rPr>
            </w:pPr>
          </w:p>
        </w:tc>
      </w:tr>
    </w:tbl>
    <w:p w14:paraId="4C1C293D">
      <w:pPr>
        <w:pStyle w:val="42"/>
        <w:pageBreakBefore/>
        <w:rPr>
          <w:color w:val="auto"/>
          <w:highlight w:val="none"/>
        </w:rPr>
      </w:pPr>
      <w:bookmarkStart w:id="106" w:name="_Toc11122"/>
      <w:r>
        <w:rPr>
          <w:rFonts w:hint="eastAsia"/>
          <w:color w:val="auto"/>
          <w:highlight w:val="none"/>
        </w:rPr>
        <w:t>附表三：问题的澄清</w:t>
      </w:r>
      <w:bookmarkEnd w:id="106"/>
    </w:p>
    <w:p w14:paraId="3DF32608">
      <w:pPr>
        <w:pStyle w:val="9"/>
        <w:spacing w:line="400" w:lineRule="exact"/>
        <w:jc w:val="center"/>
        <w:rPr>
          <w:rFonts w:ascii="黑体" w:eastAsia="黑体"/>
          <w:color w:val="auto"/>
          <w:sz w:val="28"/>
          <w:szCs w:val="28"/>
          <w:highlight w:val="none"/>
        </w:rPr>
      </w:pPr>
    </w:p>
    <w:p w14:paraId="1FE28C92">
      <w:pPr>
        <w:pStyle w:val="9"/>
        <w:spacing w:line="400" w:lineRule="exact"/>
        <w:jc w:val="center"/>
        <w:rPr>
          <w:rFonts w:hint="eastAsia" w:ascii="宋体" w:hAnsi="宋体"/>
          <w:b/>
          <w:color w:val="auto"/>
          <w:sz w:val="28"/>
          <w:szCs w:val="20"/>
          <w:highlight w:val="none"/>
        </w:rPr>
      </w:pPr>
      <w:r>
        <w:rPr>
          <w:rFonts w:hint="eastAsia" w:ascii="宋体" w:hAnsi="宋体"/>
          <w:b/>
          <w:color w:val="auto"/>
          <w:sz w:val="28"/>
          <w:szCs w:val="20"/>
          <w:highlight w:val="none"/>
        </w:rPr>
        <w:t>问题的澄清</w:t>
      </w:r>
    </w:p>
    <w:p w14:paraId="1468121B">
      <w:pPr>
        <w:pStyle w:val="11"/>
        <w:rPr>
          <w:rFonts w:hint="eastAsia"/>
          <w:color w:val="auto"/>
          <w:highlight w:val="none"/>
        </w:rPr>
      </w:pPr>
    </w:p>
    <w:tbl>
      <w:tblPr>
        <w:tblStyle w:val="23"/>
        <w:tblW w:w="8402"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943"/>
        <w:gridCol w:w="5459"/>
      </w:tblGrid>
      <w:tr w14:paraId="04CD6E4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647" w:hRule="atLeast"/>
        </w:trPr>
        <w:tc>
          <w:tcPr>
            <w:tcW w:w="2943" w:type="dxa"/>
            <w:tcBorders>
              <w:tl2br w:val="nil"/>
              <w:tr2bl w:val="nil"/>
            </w:tcBorders>
            <w:noWrap w:val="0"/>
            <w:vAlign w:val="center"/>
          </w:tcPr>
          <w:p w14:paraId="1AF2667D">
            <w:pPr>
              <w:pStyle w:val="9"/>
              <w:spacing w:line="400" w:lineRule="exact"/>
              <w:jc w:val="center"/>
              <w:rPr>
                <w:rFonts w:hint="eastAsia" w:ascii="宋体" w:hAnsi="宋体"/>
                <w:color w:val="auto"/>
                <w:szCs w:val="21"/>
                <w:highlight w:val="none"/>
              </w:rPr>
            </w:pPr>
            <w:r>
              <w:rPr>
                <w:rFonts w:hint="eastAsia" w:ascii="宋体" w:hAnsi="宋体"/>
                <w:color w:val="auto"/>
                <w:szCs w:val="21"/>
                <w:highlight w:val="none"/>
              </w:rPr>
              <w:t>澄清问题</w:t>
            </w:r>
          </w:p>
        </w:tc>
        <w:tc>
          <w:tcPr>
            <w:tcW w:w="5459" w:type="dxa"/>
            <w:tcBorders>
              <w:tl2br w:val="nil"/>
              <w:tr2bl w:val="nil"/>
            </w:tcBorders>
            <w:noWrap w:val="0"/>
            <w:vAlign w:val="center"/>
          </w:tcPr>
          <w:p w14:paraId="0B8D3B6E">
            <w:pPr>
              <w:pStyle w:val="9"/>
              <w:spacing w:line="400" w:lineRule="exact"/>
              <w:jc w:val="center"/>
              <w:rPr>
                <w:rFonts w:hint="eastAsia" w:ascii="宋体" w:hAnsi="宋体"/>
                <w:color w:val="auto"/>
                <w:szCs w:val="21"/>
                <w:highlight w:val="none"/>
              </w:rPr>
            </w:pPr>
          </w:p>
        </w:tc>
      </w:tr>
      <w:tr w14:paraId="689EACE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99" w:hRule="atLeast"/>
        </w:trPr>
        <w:tc>
          <w:tcPr>
            <w:tcW w:w="2943" w:type="dxa"/>
            <w:tcBorders>
              <w:tl2br w:val="nil"/>
              <w:tr2bl w:val="nil"/>
            </w:tcBorders>
            <w:noWrap w:val="0"/>
            <w:vAlign w:val="center"/>
          </w:tcPr>
          <w:p w14:paraId="1D7E9B02">
            <w:pPr>
              <w:pStyle w:val="9"/>
              <w:spacing w:line="400" w:lineRule="exact"/>
              <w:jc w:val="center"/>
              <w:rPr>
                <w:rFonts w:hint="eastAsia" w:ascii="宋体" w:hAnsi="宋体"/>
                <w:color w:val="auto"/>
                <w:szCs w:val="21"/>
                <w:highlight w:val="none"/>
              </w:rPr>
            </w:pPr>
            <w:r>
              <w:rPr>
                <w:rFonts w:hint="eastAsia" w:ascii="宋体" w:hAnsi="宋体"/>
                <w:color w:val="auto"/>
                <w:szCs w:val="21"/>
                <w:highlight w:val="none"/>
              </w:rPr>
              <w:t>投</w:t>
            </w:r>
            <w:r>
              <w:rPr>
                <w:rFonts w:ascii="宋体" w:hAnsi="宋体"/>
                <w:color w:val="auto"/>
                <w:szCs w:val="21"/>
                <w:highlight w:val="none"/>
              </w:rPr>
              <w:t>标人</w:t>
            </w:r>
            <w:r>
              <w:rPr>
                <w:rFonts w:hint="eastAsia" w:ascii="宋体" w:hAnsi="宋体"/>
                <w:color w:val="auto"/>
                <w:szCs w:val="21"/>
                <w:highlight w:val="none"/>
              </w:rPr>
              <w:t>澄清说明</w:t>
            </w:r>
          </w:p>
        </w:tc>
        <w:tc>
          <w:tcPr>
            <w:tcW w:w="5459" w:type="dxa"/>
            <w:tcBorders>
              <w:tl2br w:val="nil"/>
              <w:tr2bl w:val="nil"/>
            </w:tcBorders>
            <w:noWrap w:val="0"/>
            <w:vAlign w:val="center"/>
          </w:tcPr>
          <w:p w14:paraId="00F6FC51">
            <w:pPr>
              <w:pStyle w:val="9"/>
              <w:spacing w:line="400" w:lineRule="exact"/>
              <w:jc w:val="center"/>
              <w:rPr>
                <w:rFonts w:hint="eastAsia" w:ascii="宋体" w:hAnsi="宋体"/>
                <w:color w:val="auto"/>
                <w:szCs w:val="21"/>
                <w:highlight w:val="none"/>
              </w:rPr>
            </w:pPr>
          </w:p>
        </w:tc>
      </w:tr>
    </w:tbl>
    <w:p w14:paraId="7C0E9DD5">
      <w:pPr>
        <w:pStyle w:val="9"/>
        <w:spacing w:line="500" w:lineRule="exact"/>
        <w:ind w:firstLine="3675" w:firstLineChars="1750"/>
        <w:rPr>
          <w:color w:val="auto"/>
          <w:szCs w:val="21"/>
          <w:highlight w:val="none"/>
        </w:rPr>
      </w:pPr>
    </w:p>
    <w:p w14:paraId="33DD4C31">
      <w:pPr>
        <w:pStyle w:val="9"/>
        <w:spacing w:line="500" w:lineRule="exact"/>
        <w:ind w:firstLine="3675" w:firstLineChars="1750"/>
        <w:rPr>
          <w:color w:val="auto"/>
          <w:szCs w:val="21"/>
          <w:highlight w:val="none"/>
        </w:rPr>
      </w:pPr>
      <w:r>
        <w:rPr>
          <w:color w:val="auto"/>
          <w:szCs w:val="21"/>
          <w:highlight w:val="none"/>
        </w:rPr>
        <w:t>投 标 人：</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（盖单位</w:t>
      </w:r>
      <w:r>
        <w:rPr>
          <w:rFonts w:hint="eastAsia"/>
          <w:color w:val="auto"/>
          <w:szCs w:val="21"/>
          <w:highlight w:val="none"/>
        </w:rPr>
        <w:t>电子</w:t>
      </w:r>
      <w:r>
        <w:rPr>
          <w:color w:val="auto"/>
          <w:szCs w:val="21"/>
          <w:highlight w:val="none"/>
        </w:rPr>
        <w:t>章）</w:t>
      </w:r>
    </w:p>
    <w:p w14:paraId="20F577EF">
      <w:pPr>
        <w:pStyle w:val="9"/>
        <w:spacing w:line="500" w:lineRule="exact"/>
        <w:ind w:firstLine="3675" w:firstLineChars="1750"/>
        <w:rPr>
          <w:color w:val="auto"/>
          <w:szCs w:val="21"/>
          <w:highlight w:val="none"/>
        </w:rPr>
      </w:pPr>
      <w:r>
        <w:rPr>
          <w:color w:val="auto"/>
          <w:szCs w:val="21"/>
          <w:highlight w:val="none"/>
        </w:rPr>
        <w:t>法定代表人：</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w:t>
      </w:r>
      <w:r>
        <w:rPr>
          <w:rFonts w:hint="eastAsia"/>
          <w:color w:val="auto"/>
          <w:szCs w:val="21"/>
          <w:highlight w:val="none"/>
        </w:rPr>
        <w:t>盖法定代表人电子章</w:t>
      </w:r>
      <w:r>
        <w:rPr>
          <w:color w:val="auto"/>
          <w:szCs w:val="21"/>
          <w:highlight w:val="none"/>
        </w:rPr>
        <w:t>）</w:t>
      </w:r>
    </w:p>
    <w:p w14:paraId="55118F8F">
      <w:pPr>
        <w:pStyle w:val="9"/>
        <w:spacing w:line="500" w:lineRule="exact"/>
        <w:ind w:firstLine="5040" w:firstLineChars="2400"/>
        <w:rPr>
          <w:color w:val="auto"/>
          <w:szCs w:val="21"/>
          <w:highlight w:val="none"/>
        </w:rPr>
      </w:pPr>
      <w:r>
        <w:rPr>
          <w:rFonts w:hint="eastAsia"/>
          <w:color w:val="auto"/>
          <w:szCs w:val="21"/>
          <w:highlight w:val="none"/>
          <w:u w:val="single"/>
        </w:rPr>
        <w:t xml:space="preserve">        </w:t>
      </w:r>
      <w:r>
        <w:rPr>
          <w:color w:val="auto"/>
          <w:szCs w:val="21"/>
          <w:highlight w:val="none"/>
        </w:rPr>
        <w:t>年</w:t>
      </w:r>
      <w:r>
        <w:rPr>
          <w:rFonts w:hint="eastAsia"/>
          <w:color w:val="auto"/>
          <w:szCs w:val="21"/>
          <w:highlight w:val="none"/>
          <w:u w:val="single"/>
        </w:rPr>
        <w:t xml:space="preserve">        </w:t>
      </w:r>
      <w:r>
        <w:rPr>
          <w:color w:val="auto"/>
          <w:szCs w:val="21"/>
          <w:highlight w:val="none"/>
        </w:rPr>
        <w:t>月</w:t>
      </w:r>
      <w:r>
        <w:rPr>
          <w:rFonts w:hint="eastAsia"/>
          <w:color w:val="auto"/>
          <w:szCs w:val="21"/>
          <w:highlight w:val="none"/>
          <w:u w:val="single"/>
        </w:rPr>
        <w:t xml:space="preserve">        </w:t>
      </w:r>
      <w:r>
        <w:rPr>
          <w:color w:val="auto"/>
          <w:szCs w:val="21"/>
          <w:highlight w:val="none"/>
        </w:rPr>
        <w:t>日</w:t>
      </w:r>
    </w:p>
    <w:p w14:paraId="4CEA67F8">
      <w:pPr>
        <w:pStyle w:val="49"/>
        <w:keepNext w:val="0"/>
        <w:keepLines w:val="0"/>
        <w:pageBreakBefore w:val="0"/>
        <w:widowControl w:val="0"/>
        <w:kinsoku/>
        <w:wordWrap/>
        <w:overflowPunct/>
        <w:topLinePunct w:val="0"/>
        <w:autoSpaceDE/>
        <w:autoSpaceDN/>
        <w:bidi w:val="0"/>
        <w:adjustRightInd/>
        <w:snapToGrid/>
        <w:spacing w:line="400" w:lineRule="exact"/>
        <w:textAlignment w:val="auto"/>
        <w:outlineLvl w:val="9"/>
        <w:rPr>
          <w:rFonts w:hint="eastAsia"/>
          <w:b/>
          <w:bCs/>
          <w:color w:val="auto"/>
          <w:highlight w:val="none"/>
          <w:lang w:val="en-US" w:eastAsia="zh-CN"/>
        </w:rPr>
      </w:pPr>
    </w:p>
    <w:p w14:paraId="606D3430">
      <w:pPr>
        <w:pStyle w:val="49"/>
        <w:keepNext w:val="0"/>
        <w:keepLines w:val="0"/>
        <w:pageBreakBefore w:val="0"/>
        <w:widowControl w:val="0"/>
        <w:kinsoku/>
        <w:wordWrap/>
        <w:overflowPunct/>
        <w:topLinePunct w:val="0"/>
        <w:autoSpaceDE/>
        <w:autoSpaceDN/>
        <w:bidi w:val="0"/>
        <w:adjustRightInd/>
        <w:snapToGrid/>
        <w:spacing w:line="400" w:lineRule="exact"/>
        <w:textAlignment w:val="auto"/>
        <w:outlineLvl w:val="9"/>
        <w:rPr>
          <w:rFonts w:hint="eastAsia"/>
          <w:b/>
          <w:bCs/>
          <w:color w:val="auto"/>
          <w:sz w:val="18"/>
          <w:szCs w:val="18"/>
          <w:highlight w:val="none"/>
          <w:lang w:val="en-US" w:eastAsia="zh-CN"/>
        </w:rPr>
      </w:pPr>
      <w:r>
        <w:rPr>
          <w:rFonts w:hint="eastAsia"/>
          <w:b/>
          <w:bCs/>
          <w:color w:val="auto"/>
          <w:sz w:val="18"/>
          <w:szCs w:val="18"/>
          <w:highlight w:val="none"/>
          <w:lang w:val="en-US" w:eastAsia="zh-CN"/>
        </w:rPr>
        <w:t>注：本澄清最终以电子交易平台生成格式为准。</w:t>
      </w:r>
    </w:p>
    <w:p w14:paraId="4F0B4E87">
      <w:pPr>
        <w:pStyle w:val="49"/>
        <w:spacing w:line="400" w:lineRule="exact"/>
        <w:outlineLvl w:val="2"/>
        <w:rPr>
          <w:rFonts w:hint="eastAsia"/>
          <w:b/>
          <w:bCs/>
          <w:color w:val="auto"/>
          <w:sz w:val="24"/>
          <w:szCs w:val="32"/>
          <w:highlight w:val="none"/>
        </w:rPr>
      </w:pPr>
      <w:r>
        <w:rPr>
          <w:rFonts w:hint="eastAsia"/>
          <w:color w:val="auto"/>
          <w:highlight w:val="none"/>
        </w:rPr>
        <w:br w:type="page"/>
      </w:r>
      <w:bookmarkStart w:id="107" w:name="_Toc10825"/>
      <w:r>
        <w:rPr>
          <w:rFonts w:hint="eastAsia"/>
          <w:b/>
          <w:bCs/>
          <w:color w:val="auto"/>
          <w:sz w:val="24"/>
          <w:szCs w:val="32"/>
          <w:highlight w:val="none"/>
        </w:rPr>
        <w:t>附表四：中标通知书</w:t>
      </w:r>
      <w:bookmarkEnd w:id="107"/>
    </w:p>
    <w:p w14:paraId="0FC7432A">
      <w:pPr>
        <w:pStyle w:val="9"/>
        <w:spacing w:line="400" w:lineRule="exact"/>
        <w:rPr>
          <w:color w:val="auto"/>
          <w:highlight w:val="none"/>
        </w:rPr>
      </w:pPr>
    </w:p>
    <w:p w14:paraId="59722953">
      <w:pPr>
        <w:pStyle w:val="9"/>
        <w:spacing w:line="400" w:lineRule="exact"/>
        <w:jc w:val="center"/>
        <w:rPr>
          <w:rFonts w:ascii="黑体" w:eastAsia="黑体"/>
          <w:color w:val="auto"/>
          <w:sz w:val="28"/>
          <w:szCs w:val="28"/>
          <w:highlight w:val="none"/>
        </w:rPr>
      </w:pPr>
      <w:r>
        <w:rPr>
          <w:rFonts w:hint="eastAsia" w:ascii="黑体" w:eastAsia="黑体"/>
          <w:color w:val="auto"/>
          <w:sz w:val="28"/>
          <w:szCs w:val="28"/>
          <w:highlight w:val="none"/>
        </w:rPr>
        <w:t>中标通知书</w:t>
      </w:r>
    </w:p>
    <w:p w14:paraId="233349AB">
      <w:pPr>
        <w:pStyle w:val="9"/>
        <w:spacing w:line="400" w:lineRule="exact"/>
        <w:rPr>
          <w:color w:val="auto"/>
          <w:highlight w:val="none"/>
        </w:rPr>
      </w:pPr>
    </w:p>
    <w:p w14:paraId="1FE27DE4">
      <w:pPr>
        <w:pStyle w:val="9"/>
        <w:spacing w:line="440" w:lineRule="exact"/>
        <w:rPr>
          <w:color w:val="auto"/>
          <w:szCs w:val="21"/>
          <w:highlight w:val="none"/>
        </w:rPr>
      </w:pPr>
      <w:r>
        <w:rPr>
          <w:color w:val="auto"/>
          <w:szCs w:val="21"/>
          <w:highlight w:val="none"/>
          <w:u w:val="single"/>
        </w:rPr>
        <w:t>（中标人名称）</w:t>
      </w:r>
      <w:r>
        <w:rPr>
          <w:color w:val="auto"/>
          <w:szCs w:val="21"/>
          <w:highlight w:val="none"/>
        </w:rPr>
        <w:t>：</w:t>
      </w:r>
    </w:p>
    <w:p w14:paraId="6A3A0FE2">
      <w:pPr>
        <w:pStyle w:val="9"/>
        <w:spacing w:line="440" w:lineRule="exact"/>
        <w:rPr>
          <w:color w:val="auto"/>
          <w:szCs w:val="21"/>
          <w:highlight w:val="none"/>
        </w:rPr>
      </w:pPr>
    </w:p>
    <w:p w14:paraId="209E0891">
      <w:pPr>
        <w:pStyle w:val="9"/>
        <w:keepNext w:val="0"/>
        <w:keepLines w:val="0"/>
        <w:pageBreakBefore w:val="0"/>
        <w:widowControl w:val="0"/>
        <w:kinsoku/>
        <w:wordWrap/>
        <w:overflowPunct/>
        <w:topLinePunct w:val="0"/>
        <w:autoSpaceDE/>
        <w:autoSpaceDN/>
        <w:bidi w:val="0"/>
        <w:adjustRightInd/>
        <w:snapToGrid/>
        <w:spacing w:line="500" w:lineRule="exact"/>
        <w:textAlignment w:val="auto"/>
        <w:rPr>
          <w:color w:val="auto"/>
          <w:szCs w:val="21"/>
          <w:highlight w:val="none"/>
        </w:rPr>
      </w:pPr>
      <w:r>
        <w:rPr>
          <w:color w:val="auto"/>
          <w:szCs w:val="21"/>
          <w:highlight w:val="none"/>
        </w:rPr>
        <w:t>　　你方于</w:t>
      </w:r>
      <w:r>
        <w:rPr>
          <w:color w:val="auto"/>
          <w:szCs w:val="21"/>
          <w:highlight w:val="none"/>
          <w:u w:val="single"/>
        </w:rPr>
        <w:t>（投标日期）</w:t>
      </w:r>
      <w:r>
        <w:rPr>
          <w:color w:val="auto"/>
          <w:szCs w:val="21"/>
          <w:highlight w:val="none"/>
        </w:rPr>
        <w:t>所递交的</w:t>
      </w:r>
      <w:r>
        <w:rPr>
          <w:rFonts w:hint="eastAsia" w:eastAsia="宋体"/>
          <w:color w:val="auto"/>
          <w:szCs w:val="21"/>
          <w:highlight w:val="none"/>
          <w:u w:val="single"/>
          <w:lang w:val="en-US" w:eastAsia="zh-CN"/>
        </w:rPr>
        <w:t xml:space="preserve">  </w:t>
      </w:r>
      <w:r>
        <w:rPr>
          <w:color w:val="auto"/>
          <w:szCs w:val="21"/>
          <w:highlight w:val="none"/>
          <w:u w:val="single"/>
        </w:rPr>
        <w:t>（项目名称）</w:t>
      </w:r>
      <w:r>
        <w:rPr>
          <w:rFonts w:hint="eastAsia" w:eastAsia="宋体"/>
          <w:color w:val="auto"/>
          <w:szCs w:val="21"/>
          <w:highlight w:val="none"/>
          <w:u w:val="single"/>
          <w:lang w:val="en-US" w:eastAsia="zh-CN"/>
        </w:rPr>
        <w:t xml:space="preserve">  </w:t>
      </w:r>
      <w:r>
        <w:rPr>
          <w:rFonts w:hint="eastAsia" w:eastAsia="宋体"/>
          <w:color w:val="auto"/>
          <w:szCs w:val="21"/>
          <w:highlight w:val="none"/>
          <w:u w:val="none"/>
          <w:lang w:val="en-US" w:eastAsia="zh-CN"/>
        </w:rPr>
        <w:t>第</w:t>
      </w:r>
      <w:r>
        <w:rPr>
          <w:rFonts w:hint="eastAsia" w:eastAsia="宋体"/>
          <w:color w:val="auto"/>
          <w:szCs w:val="21"/>
          <w:highlight w:val="none"/>
          <w:u w:val="single"/>
          <w:lang w:val="en-US" w:eastAsia="zh-CN"/>
        </w:rPr>
        <w:t xml:space="preserve">    </w:t>
      </w:r>
      <w:r>
        <w:rPr>
          <w:rFonts w:hint="eastAsia" w:eastAsia="宋体"/>
          <w:color w:val="auto"/>
          <w:szCs w:val="21"/>
          <w:highlight w:val="none"/>
          <w:u w:val="none"/>
          <w:lang w:val="en-US" w:eastAsia="zh-CN"/>
        </w:rPr>
        <w:t>标段</w:t>
      </w:r>
      <w:r>
        <w:rPr>
          <w:color w:val="auto"/>
          <w:szCs w:val="21"/>
          <w:highlight w:val="none"/>
        </w:rPr>
        <w:t>施工投标文件已被我方接受，被确定为中标人。</w:t>
      </w:r>
    </w:p>
    <w:p w14:paraId="5877674F">
      <w:pPr>
        <w:pStyle w:val="9"/>
        <w:keepNext w:val="0"/>
        <w:keepLines w:val="0"/>
        <w:pageBreakBefore w:val="0"/>
        <w:widowControl w:val="0"/>
        <w:kinsoku/>
        <w:wordWrap/>
        <w:overflowPunct/>
        <w:topLinePunct w:val="0"/>
        <w:autoSpaceDE/>
        <w:autoSpaceDN/>
        <w:bidi w:val="0"/>
        <w:adjustRightInd/>
        <w:snapToGrid/>
        <w:spacing w:line="500" w:lineRule="exact"/>
        <w:textAlignment w:val="auto"/>
        <w:rPr>
          <w:color w:val="auto"/>
          <w:szCs w:val="21"/>
          <w:highlight w:val="none"/>
        </w:rPr>
      </w:pPr>
      <w:r>
        <w:rPr>
          <w:color w:val="auto"/>
          <w:szCs w:val="21"/>
          <w:highlight w:val="none"/>
        </w:rPr>
        <w:t>　　中标价：</w:t>
      </w:r>
      <w:r>
        <w:rPr>
          <w:rFonts w:hint="eastAsia"/>
          <w:color w:val="auto"/>
          <w:szCs w:val="21"/>
          <w:highlight w:val="none"/>
          <w:u w:val="single"/>
        </w:rPr>
        <w:t xml:space="preserve">               </w:t>
      </w:r>
      <w:r>
        <w:rPr>
          <w:color w:val="auto"/>
          <w:szCs w:val="21"/>
          <w:highlight w:val="none"/>
        </w:rPr>
        <w:t>元。</w:t>
      </w:r>
    </w:p>
    <w:p w14:paraId="3838039B">
      <w:pPr>
        <w:pStyle w:val="9"/>
        <w:keepNext w:val="0"/>
        <w:keepLines w:val="0"/>
        <w:pageBreakBefore w:val="0"/>
        <w:widowControl w:val="0"/>
        <w:kinsoku/>
        <w:wordWrap/>
        <w:overflowPunct/>
        <w:topLinePunct w:val="0"/>
        <w:autoSpaceDE/>
        <w:autoSpaceDN/>
        <w:bidi w:val="0"/>
        <w:adjustRightInd/>
        <w:snapToGrid/>
        <w:spacing w:line="500" w:lineRule="exact"/>
        <w:textAlignment w:val="auto"/>
        <w:rPr>
          <w:color w:val="auto"/>
          <w:szCs w:val="21"/>
          <w:highlight w:val="none"/>
        </w:rPr>
      </w:pPr>
      <w:r>
        <w:rPr>
          <w:color w:val="auto"/>
          <w:szCs w:val="21"/>
          <w:highlight w:val="none"/>
        </w:rPr>
        <w:t>　　工期：</w:t>
      </w:r>
      <w:r>
        <w:rPr>
          <w:rFonts w:hint="eastAsia"/>
          <w:color w:val="auto"/>
          <w:szCs w:val="21"/>
          <w:highlight w:val="none"/>
          <w:u w:val="single"/>
        </w:rPr>
        <w:t xml:space="preserve">                 </w:t>
      </w:r>
      <w:r>
        <w:rPr>
          <w:rFonts w:hint="eastAsia"/>
          <w:color w:val="auto"/>
          <w:szCs w:val="21"/>
          <w:highlight w:val="none"/>
        </w:rPr>
        <w:t>个月</w:t>
      </w:r>
      <w:r>
        <w:rPr>
          <w:rFonts w:hint="eastAsia" w:eastAsia="宋体"/>
          <w:color w:val="auto"/>
          <w:szCs w:val="21"/>
          <w:highlight w:val="none"/>
          <w:lang w:eastAsia="zh-CN"/>
        </w:rPr>
        <w:t>（</w:t>
      </w:r>
      <w:r>
        <w:rPr>
          <w:rFonts w:hint="eastAsia" w:eastAsia="宋体"/>
          <w:color w:val="auto"/>
          <w:szCs w:val="21"/>
          <w:highlight w:val="none"/>
          <w:lang w:val="en-US" w:eastAsia="zh-CN"/>
        </w:rPr>
        <w:t>或日历天</w:t>
      </w:r>
      <w:r>
        <w:rPr>
          <w:rFonts w:hint="eastAsia" w:eastAsia="宋体"/>
          <w:color w:val="auto"/>
          <w:szCs w:val="21"/>
          <w:highlight w:val="none"/>
          <w:lang w:eastAsia="zh-CN"/>
        </w:rPr>
        <w:t>）</w:t>
      </w:r>
      <w:r>
        <w:rPr>
          <w:color w:val="auto"/>
          <w:szCs w:val="21"/>
          <w:highlight w:val="none"/>
        </w:rPr>
        <w:t>。</w:t>
      </w:r>
    </w:p>
    <w:p w14:paraId="1D33C4F9">
      <w:pPr>
        <w:pStyle w:val="9"/>
        <w:keepNext w:val="0"/>
        <w:keepLines w:val="0"/>
        <w:pageBreakBefore w:val="0"/>
        <w:widowControl w:val="0"/>
        <w:kinsoku/>
        <w:wordWrap/>
        <w:overflowPunct/>
        <w:topLinePunct w:val="0"/>
        <w:autoSpaceDE/>
        <w:autoSpaceDN/>
        <w:bidi w:val="0"/>
        <w:adjustRightInd/>
        <w:snapToGrid/>
        <w:spacing w:line="500" w:lineRule="exact"/>
        <w:ind w:firstLine="210" w:firstLineChars="100"/>
        <w:textAlignment w:val="auto"/>
        <w:rPr>
          <w:color w:val="auto"/>
          <w:szCs w:val="21"/>
          <w:highlight w:val="none"/>
        </w:rPr>
      </w:pPr>
      <w:r>
        <w:rPr>
          <w:color w:val="auto"/>
          <w:szCs w:val="21"/>
          <w:highlight w:val="none"/>
        </w:rPr>
        <w:t>　工程质量：</w:t>
      </w:r>
      <w:r>
        <w:rPr>
          <w:rFonts w:hint="eastAsia" w:eastAsia="宋体"/>
          <w:color w:val="auto"/>
          <w:szCs w:val="21"/>
          <w:highlight w:val="none"/>
          <w:u w:val="single"/>
          <w:lang w:val="en-US" w:eastAsia="zh-CN"/>
        </w:rPr>
        <w:t xml:space="preserve">                 </w:t>
      </w:r>
      <w:r>
        <w:rPr>
          <w:color w:val="auto"/>
          <w:szCs w:val="21"/>
          <w:highlight w:val="none"/>
        </w:rPr>
        <w:t>。</w:t>
      </w:r>
    </w:p>
    <w:p w14:paraId="2E2213F5">
      <w:pPr>
        <w:pStyle w:val="9"/>
        <w:keepNext w:val="0"/>
        <w:keepLines w:val="0"/>
        <w:pageBreakBefore w:val="0"/>
        <w:widowControl w:val="0"/>
        <w:kinsoku/>
        <w:wordWrap/>
        <w:overflowPunct/>
        <w:topLinePunct w:val="0"/>
        <w:autoSpaceDE/>
        <w:autoSpaceDN/>
        <w:bidi w:val="0"/>
        <w:adjustRightInd/>
        <w:snapToGrid/>
        <w:spacing w:line="500" w:lineRule="exact"/>
        <w:ind w:firstLine="210" w:firstLineChars="100"/>
        <w:textAlignment w:val="auto"/>
        <w:rPr>
          <w:color w:val="auto"/>
          <w:szCs w:val="21"/>
          <w:highlight w:val="none"/>
        </w:rPr>
      </w:pPr>
      <w:r>
        <w:rPr>
          <w:color w:val="auto"/>
          <w:szCs w:val="21"/>
          <w:highlight w:val="none"/>
        </w:rPr>
        <w:t>　工程</w:t>
      </w:r>
      <w:r>
        <w:rPr>
          <w:rFonts w:hint="eastAsia" w:eastAsia="宋体"/>
          <w:color w:val="auto"/>
          <w:szCs w:val="21"/>
          <w:highlight w:val="none"/>
          <w:lang w:val="en-US" w:eastAsia="zh-CN"/>
        </w:rPr>
        <w:t>安全目标</w:t>
      </w:r>
      <w:r>
        <w:rPr>
          <w:color w:val="auto"/>
          <w:szCs w:val="21"/>
          <w:highlight w:val="none"/>
        </w:rPr>
        <w:t>：</w:t>
      </w:r>
      <w:r>
        <w:rPr>
          <w:rFonts w:hint="eastAsia" w:eastAsia="宋体"/>
          <w:color w:val="auto"/>
          <w:szCs w:val="21"/>
          <w:highlight w:val="none"/>
          <w:u w:val="single"/>
          <w:lang w:val="en-US" w:eastAsia="zh-CN"/>
        </w:rPr>
        <w:t xml:space="preserve">                 </w:t>
      </w:r>
      <w:r>
        <w:rPr>
          <w:color w:val="auto"/>
          <w:szCs w:val="21"/>
          <w:highlight w:val="none"/>
        </w:rPr>
        <w:t>。</w:t>
      </w:r>
    </w:p>
    <w:p w14:paraId="0967AFC1">
      <w:pPr>
        <w:pStyle w:val="9"/>
        <w:keepNext w:val="0"/>
        <w:keepLines w:val="0"/>
        <w:pageBreakBefore w:val="0"/>
        <w:widowControl w:val="0"/>
        <w:kinsoku/>
        <w:wordWrap/>
        <w:overflowPunct/>
        <w:topLinePunct w:val="0"/>
        <w:autoSpaceDE/>
        <w:autoSpaceDN/>
        <w:bidi w:val="0"/>
        <w:adjustRightInd/>
        <w:snapToGrid/>
        <w:spacing w:line="500" w:lineRule="exact"/>
        <w:textAlignment w:val="auto"/>
        <w:rPr>
          <w:color w:val="auto"/>
          <w:szCs w:val="21"/>
          <w:highlight w:val="none"/>
        </w:rPr>
      </w:pPr>
      <w:r>
        <w:rPr>
          <w:color w:val="auto"/>
          <w:szCs w:val="21"/>
          <w:highlight w:val="none"/>
        </w:rPr>
        <w:t>　　项目经理：</w:t>
      </w:r>
      <w:r>
        <w:rPr>
          <w:rFonts w:hint="eastAsia"/>
          <w:color w:val="auto"/>
          <w:szCs w:val="21"/>
          <w:highlight w:val="none"/>
          <w:u w:val="single"/>
        </w:rPr>
        <w:t xml:space="preserve">            </w:t>
      </w:r>
      <w:r>
        <w:rPr>
          <w:color w:val="auto"/>
          <w:szCs w:val="21"/>
          <w:highlight w:val="none"/>
        </w:rPr>
        <w:t>（姓名）。</w:t>
      </w:r>
    </w:p>
    <w:p w14:paraId="79D8023E">
      <w:pPr>
        <w:pStyle w:val="9"/>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color w:val="auto"/>
          <w:szCs w:val="21"/>
          <w:highlight w:val="none"/>
        </w:rPr>
      </w:pPr>
      <w:r>
        <w:rPr>
          <w:color w:val="auto"/>
          <w:szCs w:val="21"/>
          <w:highlight w:val="none"/>
        </w:rPr>
        <w:t>项目</w:t>
      </w:r>
      <w:r>
        <w:rPr>
          <w:rFonts w:hint="eastAsia" w:eastAsia="宋体"/>
          <w:color w:val="auto"/>
          <w:szCs w:val="21"/>
          <w:highlight w:val="none"/>
          <w:lang w:val="en-US" w:eastAsia="zh-CN"/>
        </w:rPr>
        <w:t>技术负责人</w:t>
      </w:r>
      <w:r>
        <w:rPr>
          <w:color w:val="auto"/>
          <w:szCs w:val="21"/>
          <w:highlight w:val="none"/>
        </w:rPr>
        <w:t>：</w:t>
      </w:r>
      <w:r>
        <w:rPr>
          <w:rFonts w:hint="eastAsia"/>
          <w:color w:val="auto"/>
          <w:szCs w:val="21"/>
          <w:highlight w:val="none"/>
          <w:u w:val="single"/>
        </w:rPr>
        <w:t xml:space="preserve">            </w:t>
      </w:r>
      <w:r>
        <w:rPr>
          <w:color w:val="auto"/>
          <w:szCs w:val="21"/>
          <w:highlight w:val="none"/>
        </w:rPr>
        <w:t>（姓名）。</w:t>
      </w:r>
    </w:p>
    <w:p w14:paraId="3AA4AD67">
      <w:pPr>
        <w:pStyle w:val="9"/>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color w:val="auto"/>
          <w:highlight w:val="none"/>
        </w:rPr>
      </w:pPr>
      <w:r>
        <w:rPr>
          <w:rFonts w:hint="eastAsia" w:eastAsia="宋体"/>
          <w:color w:val="auto"/>
          <w:szCs w:val="21"/>
          <w:highlight w:val="none"/>
          <w:lang w:val="en-US" w:eastAsia="zh-CN"/>
        </w:rPr>
        <w:t>安全负责人</w:t>
      </w:r>
      <w:r>
        <w:rPr>
          <w:color w:val="auto"/>
          <w:szCs w:val="21"/>
          <w:highlight w:val="none"/>
        </w:rPr>
        <w:t>：</w:t>
      </w:r>
      <w:r>
        <w:rPr>
          <w:rFonts w:hint="eastAsia"/>
          <w:color w:val="auto"/>
          <w:szCs w:val="21"/>
          <w:highlight w:val="none"/>
          <w:u w:val="single"/>
        </w:rPr>
        <w:t xml:space="preserve">            </w:t>
      </w:r>
      <w:r>
        <w:rPr>
          <w:color w:val="auto"/>
          <w:szCs w:val="21"/>
          <w:highlight w:val="none"/>
        </w:rPr>
        <w:t>（姓名）。</w:t>
      </w:r>
    </w:p>
    <w:p w14:paraId="5403A852">
      <w:pPr>
        <w:pStyle w:val="9"/>
        <w:keepNext w:val="0"/>
        <w:keepLines w:val="0"/>
        <w:pageBreakBefore w:val="0"/>
        <w:widowControl w:val="0"/>
        <w:kinsoku/>
        <w:wordWrap/>
        <w:overflowPunct/>
        <w:topLinePunct w:val="0"/>
        <w:autoSpaceDE/>
        <w:autoSpaceDN/>
        <w:bidi w:val="0"/>
        <w:adjustRightInd/>
        <w:snapToGrid/>
        <w:spacing w:line="500" w:lineRule="exact"/>
        <w:textAlignment w:val="auto"/>
        <w:rPr>
          <w:color w:val="auto"/>
          <w:szCs w:val="21"/>
          <w:highlight w:val="none"/>
        </w:rPr>
      </w:pPr>
      <w:r>
        <w:rPr>
          <w:color w:val="auto"/>
          <w:szCs w:val="21"/>
          <w:highlight w:val="none"/>
        </w:rPr>
        <w:t>　　请你方在接到本通知书后的</w:t>
      </w:r>
      <w:r>
        <w:rPr>
          <w:rFonts w:hint="eastAsia" w:eastAsia="宋体"/>
          <w:color w:val="auto"/>
          <w:szCs w:val="21"/>
          <w:highlight w:val="none"/>
          <w:u w:val="single"/>
          <w:lang w:val="en-US" w:eastAsia="zh-CN"/>
        </w:rPr>
        <w:t xml:space="preserve">    </w:t>
      </w:r>
      <w:r>
        <w:rPr>
          <w:color w:val="auto"/>
          <w:szCs w:val="21"/>
          <w:highlight w:val="none"/>
        </w:rPr>
        <w:t>日内到</w:t>
      </w:r>
      <w:r>
        <w:rPr>
          <w:rFonts w:hint="eastAsia" w:eastAsia="宋体"/>
          <w:color w:val="auto"/>
          <w:szCs w:val="21"/>
          <w:highlight w:val="none"/>
          <w:u w:val="single"/>
          <w:lang w:val="en-US" w:eastAsia="zh-CN"/>
        </w:rPr>
        <w:t xml:space="preserve">        </w:t>
      </w:r>
      <w:r>
        <w:rPr>
          <w:color w:val="auto"/>
          <w:szCs w:val="21"/>
          <w:highlight w:val="none"/>
        </w:rPr>
        <w:t>（指定地点）与我方签订施工承包合同，在此之前按招标文件第二章“投标人须知”第7.</w:t>
      </w:r>
      <w:r>
        <w:rPr>
          <w:rFonts w:hint="eastAsia" w:eastAsia="宋体"/>
          <w:color w:val="auto"/>
          <w:szCs w:val="21"/>
          <w:highlight w:val="none"/>
          <w:lang w:val="en-US" w:eastAsia="zh-CN"/>
        </w:rPr>
        <w:t>7</w:t>
      </w:r>
      <w:r>
        <w:rPr>
          <w:color w:val="auto"/>
          <w:szCs w:val="21"/>
          <w:highlight w:val="none"/>
        </w:rPr>
        <w:t>款规定向我方提交履约担保。</w:t>
      </w:r>
    </w:p>
    <w:p w14:paraId="34B6653E">
      <w:pPr>
        <w:pStyle w:val="9"/>
        <w:keepNext w:val="0"/>
        <w:keepLines w:val="0"/>
        <w:pageBreakBefore w:val="0"/>
        <w:widowControl w:val="0"/>
        <w:kinsoku/>
        <w:wordWrap/>
        <w:overflowPunct/>
        <w:topLinePunct w:val="0"/>
        <w:autoSpaceDE/>
        <w:autoSpaceDN/>
        <w:bidi w:val="0"/>
        <w:adjustRightInd/>
        <w:snapToGrid/>
        <w:spacing w:line="500" w:lineRule="exact"/>
        <w:textAlignment w:val="auto"/>
        <w:rPr>
          <w:color w:val="auto"/>
          <w:szCs w:val="21"/>
          <w:highlight w:val="none"/>
        </w:rPr>
      </w:pPr>
      <w:r>
        <w:rPr>
          <w:color w:val="auto"/>
          <w:szCs w:val="21"/>
          <w:highlight w:val="none"/>
        </w:rPr>
        <w:t>　　特此通知。</w:t>
      </w:r>
    </w:p>
    <w:p w14:paraId="431827F7">
      <w:pPr>
        <w:pStyle w:val="9"/>
        <w:spacing w:line="440" w:lineRule="exact"/>
        <w:rPr>
          <w:color w:val="auto"/>
          <w:szCs w:val="21"/>
          <w:highlight w:val="none"/>
        </w:rPr>
      </w:pPr>
    </w:p>
    <w:p w14:paraId="3973B157">
      <w:pPr>
        <w:pStyle w:val="9"/>
        <w:spacing w:line="440" w:lineRule="exact"/>
        <w:rPr>
          <w:color w:val="auto"/>
          <w:szCs w:val="21"/>
          <w:highlight w:val="none"/>
        </w:rPr>
      </w:pPr>
    </w:p>
    <w:p w14:paraId="748C8143">
      <w:pPr>
        <w:pStyle w:val="9"/>
        <w:spacing w:line="440" w:lineRule="exact"/>
        <w:rPr>
          <w:color w:val="auto"/>
          <w:szCs w:val="21"/>
          <w:highlight w:val="none"/>
        </w:rPr>
      </w:pPr>
    </w:p>
    <w:p w14:paraId="58A10303">
      <w:pPr>
        <w:pStyle w:val="9"/>
        <w:keepNext w:val="0"/>
        <w:keepLines w:val="0"/>
        <w:pageBreakBefore w:val="0"/>
        <w:widowControl w:val="0"/>
        <w:kinsoku/>
        <w:wordWrap/>
        <w:overflowPunct/>
        <w:topLinePunct w:val="0"/>
        <w:autoSpaceDE/>
        <w:autoSpaceDN/>
        <w:bidi w:val="0"/>
        <w:adjustRightInd/>
        <w:snapToGrid/>
        <w:spacing w:line="540" w:lineRule="exact"/>
        <w:ind w:firstLine="3658" w:firstLineChars="1742"/>
        <w:textAlignment w:val="auto"/>
        <w:rPr>
          <w:color w:val="auto"/>
          <w:szCs w:val="21"/>
          <w:highlight w:val="none"/>
        </w:rPr>
      </w:pPr>
      <w:r>
        <w:rPr>
          <w:color w:val="auto"/>
          <w:szCs w:val="21"/>
          <w:highlight w:val="none"/>
        </w:rPr>
        <w:t>招标人：</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（盖单位公章）</w:t>
      </w:r>
    </w:p>
    <w:p w14:paraId="74C52CCF">
      <w:pPr>
        <w:pStyle w:val="9"/>
        <w:keepNext w:val="0"/>
        <w:keepLines w:val="0"/>
        <w:pageBreakBefore w:val="0"/>
        <w:widowControl w:val="0"/>
        <w:kinsoku/>
        <w:wordWrap/>
        <w:overflowPunct/>
        <w:topLinePunct w:val="0"/>
        <w:autoSpaceDE/>
        <w:autoSpaceDN/>
        <w:bidi w:val="0"/>
        <w:adjustRightInd/>
        <w:snapToGrid/>
        <w:spacing w:line="540" w:lineRule="exact"/>
        <w:ind w:firstLine="3658" w:firstLineChars="1742"/>
        <w:textAlignment w:val="auto"/>
        <w:rPr>
          <w:color w:val="auto"/>
          <w:szCs w:val="21"/>
          <w:highlight w:val="none"/>
        </w:rPr>
      </w:pPr>
      <w:r>
        <w:rPr>
          <w:rFonts w:hint="eastAsia"/>
          <w:color w:val="auto"/>
          <w:szCs w:val="21"/>
          <w:highlight w:val="none"/>
        </w:rPr>
        <w:t>招标代理：</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w:t>
      </w:r>
      <w:r>
        <w:rPr>
          <w:rFonts w:hint="eastAsia"/>
          <w:color w:val="auto"/>
          <w:szCs w:val="21"/>
          <w:highlight w:val="none"/>
        </w:rPr>
        <w:t>盖单位公章</w:t>
      </w:r>
      <w:r>
        <w:rPr>
          <w:color w:val="auto"/>
          <w:szCs w:val="21"/>
          <w:highlight w:val="none"/>
        </w:rPr>
        <w:t>）</w:t>
      </w:r>
    </w:p>
    <w:p w14:paraId="24E0FB8F">
      <w:pPr>
        <w:pStyle w:val="9"/>
        <w:keepNext w:val="0"/>
        <w:keepLines w:val="0"/>
        <w:pageBreakBefore w:val="0"/>
        <w:widowControl w:val="0"/>
        <w:kinsoku/>
        <w:wordWrap/>
        <w:overflowPunct/>
        <w:topLinePunct w:val="0"/>
        <w:autoSpaceDE/>
        <w:autoSpaceDN/>
        <w:bidi w:val="0"/>
        <w:adjustRightInd/>
        <w:snapToGrid/>
        <w:spacing w:line="540" w:lineRule="exact"/>
        <w:ind w:firstLine="4802" w:firstLineChars="2287"/>
        <w:textAlignment w:val="auto"/>
        <w:rPr>
          <w:color w:val="auto"/>
          <w:szCs w:val="21"/>
          <w:highlight w:val="none"/>
        </w:rPr>
      </w:pPr>
      <w:r>
        <w:rPr>
          <w:color w:val="auto"/>
          <w:szCs w:val="21"/>
          <w:highlight w:val="none"/>
        </w:rPr>
        <w:t>年</w:t>
      </w:r>
      <w:r>
        <w:rPr>
          <w:rFonts w:hint="eastAsia" w:eastAsia="宋体"/>
          <w:color w:val="auto"/>
          <w:szCs w:val="21"/>
          <w:highlight w:val="none"/>
          <w:lang w:val="en-US" w:eastAsia="zh-CN"/>
        </w:rPr>
        <w:t xml:space="preserve">    </w:t>
      </w:r>
      <w:r>
        <w:rPr>
          <w:color w:val="auto"/>
          <w:szCs w:val="21"/>
          <w:highlight w:val="none"/>
        </w:rPr>
        <w:t>月</w:t>
      </w:r>
      <w:r>
        <w:rPr>
          <w:rFonts w:hint="eastAsia" w:eastAsia="宋体"/>
          <w:color w:val="auto"/>
          <w:szCs w:val="21"/>
          <w:highlight w:val="none"/>
          <w:lang w:val="en-US" w:eastAsia="zh-CN"/>
        </w:rPr>
        <w:t xml:space="preserve">    </w:t>
      </w:r>
      <w:r>
        <w:rPr>
          <w:color w:val="auto"/>
          <w:szCs w:val="21"/>
          <w:highlight w:val="none"/>
        </w:rPr>
        <w:t>日</w:t>
      </w:r>
    </w:p>
    <w:p w14:paraId="4C5A1BD4">
      <w:pPr>
        <w:pStyle w:val="9"/>
        <w:spacing w:line="400" w:lineRule="exact"/>
        <w:rPr>
          <w:color w:val="auto"/>
          <w:highlight w:val="none"/>
        </w:rPr>
      </w:pPr>
    </w:p>
    <w:p w14:paraId="6ADF3EEB">
      <w:pPr>
        <w:pStyle w:val="9"/>
        <w:spacing w:line="400" w:lineRule="exact"/>
        <w:rPr>
          <w:color w:val="auto"/>
          <w:highlight w:val="none"/>
        </w:rPr>
      </w:pPr>
    </w:p>
    <w:p w14:paraId="1BB95AB5">
      <w:pPr>
        <w:pStyle w:val="42"/>
        <w:pageBreakBefore/>
        <w:rPr>
          <w:color w:val="auto"/>
          <w:highlight w:val="none"/>
        </w:rPr>
      </w:pPr>
      <w:bookmarkStart w:id="108" w:name="_Toc9954"/>
      <w:r>
        <w:rPr>
          <w:rFonts w:hint="eastAsia"/>
          <w:color w:val="auto"/>
          <w:highlight w:val="none"/>
        </w:rPr>
        <w:t>附表五：中标结果通知书</w:t>
      </w:r>
      <w:bookmarkEnd w:id="108"/>
    </w:p>
    <w:p w14:paraId="788CA427">
      <w:pPr>
        <w:pStyle w:val="9"/>
        <w:spacing w:line="400" w:lineRule="exact"/>
        <w:rPr>
          <w:color w:val="auto"/>
          <w:highlight w:val="none"/>
        </w:rPr>
      </w:pPr>
    </w:p>
    <w:p w14:paraId="0F0C6142">
      <w:pPr>
        <w:pStyle w:val="9"/>
        <w:spacing w:line="400" w:lineRule="exact"/>
        <w:jc w:val="center"/>
        <w:rPr>
          <w:rFonts w:ascii="黑体" w:eastAsia="黑体"/>
          <w:color w:val="auto"/>
          <w:sz w:val="28"/>
          <w:szCs w:val="28"/>
          <w:highlight w:val="none"/>
        </w:rPr>
      </w:pPr>
      <w:r>
        <w:rPr>
          <w:rFonts w:hint="eastAsia" w:ascii="黑体" w:eastAsia="黑体"/>
          <w:color w:val="auto"/>
          <w:sz w:val="28"/>
          <w:szCs w:val="28"/>
          <w:highlight w:val="none"/>
        </w:rPr>
        <w:t>中标结果通知书</w:t>
      </w:r>
    </w:p>
    <w:p w14:paraId="23ABCD02">
      <w:pPr>
        <w:pStyle w:val="9"/>
        <w:spacing w:line="400" w:lineRule="exact"/>
        <w:rPr>
          <w:color w:val="auto"/>
          <w:highlight w:val="none"/>
        </w:rPr>
      </w:pPr>
    </w:p>
    <w:p w14:paraId="7DCDB90B">
      <w:pPr>
        <w:pStyle w:val="9"/>
        <w:spacing w:line="440" w:lineRule="exact"/>
        <w:rPr>
          <w:color w:val="auto"/>
          <w:szCs w:val="21"/>
          <w:highlight w:val="none"/>
        </w:rPr>
      </w:pPr>
      <w:r>
        <w:rPr>
          <w:color w:val="auto"/>
          <w:szCs w:val="21"/>
          <w:highlight w:val="none"/>
          <w:u w:val="single"/>
        </w:rPr>
        <w:t>（未中标人名称）</w:t>
      </w:r>
      <w:r>
        <w:rPr>
          <w:color w:val="auto"/>
          <w:szCs w:val="21"/>
          <w:highlight w:val="none"/>
        </w:rPr>
        <w:t>：</w:t>
      </w:r>
    </w:p>
    <w:p w14:paraId="49B19C7A">
      <w:pPr>
        <w:pStyle w:val="9"/>
        <w:spacing w:line="440" w:lineRule="exact"/>
        <w:rPr>
          <w:color w:val="auto"/>
          <w:szCs w:val="21"/>
          <w:highlight w:val="none"/>
        </w:rPr>
      </w:pPr>
    </w:p>
    <w:p w14:paraId="48277A26">
      <w:pPr>
        <w:pStyle w:val="9"/>
        <w:spacing w:line="440" w:lineRule="exact"/>
        <w:rPr>
          <w:color w:val="auto"/>
          <w:szCs w:val="21"/>
          <w:highlight w:val="none"/>
        </w:rPr>
      </w:pPr>
      <w:r>
        <w:rPr>
          <w:color w:val="auto"/>
          <w:szCs w:val="21"/>
          <w:highlight w:val="none"/>
        </w:rPr>
        <w:t>　　我方已接受</w:t>
      </w:r>
      <w:r>
        <w:rPr>
          <w:rFonts w:hint="eastAsia"/>
          <w:color w:val="auto"/>
          <w:szCs w:val="21"/>
          <w:highlight w:val="none"/>
        </w:rPr>
        <w:t xml:space="preserve"> </w:t>
      </w:r>
      <w:r>
        <w:rPr>
          <w:color w:val="auto"/>
          <w:szCs w:val="21"/>
          <w:highlight w:val="none"/>
          <w:u w:val="single"/>
        </w:rPr>
        <w:t>（中标人名称）</w:t>
      </w:r>
      <w:r>
        <w:rPr>
          <w:rFonts w:hint="eastAsia"/>
          <w:color w:val="auto"/>
          <w:szCs w:val="21"/>
          <w:highlight w:val="none"/>
          <w:u w:val="single"/>
        </w:rPr>
        <w:t xml:space="preserve"> </w:t>
      </w:r>
      <w:r>
        <w:rPr>
          <w:color w:val="auto"/>
          <w:szCs w:val="21"/>
          <w:highlight w:val="none"/>
        </w:rPr>
        <w:t>于</w:t>
      </w:r>
      <w:r>
        <w:rPr>
          <w:color w:val="auto"/>
          <w:szCs w:val="21"/>
          <w:highlight w:val="none"/>
          <w:u w:val="single"/>
        </w:rPr>
        <w:t>（投标日期）</w:t>
      </w:r>
      <w:r>
        <w:rPr>
          <w:color w:val="auto"/>
          <w:szCs w:val="21"/>
          <w:highlight w:val="none"/>
        </w:rPr>
        <w:t>所递交的</w:t>
      </w:r>
      <w:r>
        <w:rPr>
          <w:rFonts w:hint="eastAsia"/>
          <w:color w:val="auto"/>
          <w:szCs w:val="21"/>
          <w:highlight w:val="none"/>
        </w:rPr>
        <w:t>______</w:t>
      </w:r>
      <w:r>
        <w:rPr>
          <w:color w:val="auto"/>
          <w:szCs w:val="21"/>
          <w:highlight w:val="none"/>
        </w:rPr>
        <w:t>（项目名称）</w:t>
      </w:r>
      <w:r>
        <w:rPr>
          <w:rFonts w:hint="eastAsia" w:eastAsia="宋体"/>
          <w:color w:val="auto"/>
          <w:szCs w:val="21"/>
          <w:highlight w:val="none"/>
          <w:u w:val="none"/>
          <w:lang w:val="en-US" w:eastAsia="zh-CN"/>
        </w:rPr>
        <w:t>第</w:t>
      </w:r>
      <w:r>
        <w:rPr>
          <w:rFonts w:hint="eastAsia" w:eastAsia="宋体"/>
          <w:color w:val="auto"/>
          <w:szCs w:val="21"/>
          <w:highlight w:val="none"/>
          <w:u w:val="single"/>
          <w:lang w:val="en-US" w:eastAsia="zh-CN"/>
        </w:rPr>
        <w:t xml:space="preserve">    </w:t>
      </w:r>
      <w:r>
        <w:rPr>
          <w:rFonts w:hint="eastAsia" w:eastAsia="宋体"/>
          <w:color w:val="auto"/>
          <w:szCs w:val="21"/>
          <w:highlight w:val="none"/>
          <w:u w:val="none"/>
          <w:lang w:val="en-US" w:eastAsia="zh-CN"/>
        </w:rPr>
        <w:t>标段</w:t>
      </w:r>
      <w:r>
        <w:rPr>
          <w:color w:val="auto"/>
          <w:szCs w:val="21"/>
          <w:highlight w:val="none"/>
        </w:rPr>
        <w:t>施工投标文件，确定</w:t>
      </w:r>
      <w:r>
        <w:rPr>
          <w:color w:val="auto"/>
          <w:szCs w:val="21"/>
          <w:highlight w:val="none"/>
          <w:u w:val="single"/>
        </w:rPr>
        <w:t>（中标人名称）</w:t>
      </w:r>
      <w:r>
        <w:rPr>
          <w:color w:val="auto"/>
          <w:szCs w:val="21"/>
          <w:highlight w:val="none"/>
        </w:rPr>
        <w:t>为中标人。</w:t>
      </w:r>
    </w:p>
    <w:p w14:paraId="142C4218">
      <w:pPr>
        <w:pStyle w:val="9"/>
        <w:spacing w:line="440" w:lineRule="exact"/>
        <w:rPr>
          <w:color w:val="auto"/>
          <w:szCs w:val="21"/>
          <w:highlight w:val="none"/>
        </w:rPr>
      </w:pPr>
      <w:r>
        <w:rPr>
          <w:color w:val="auto"/>
          <w:szCs w:val="21"/>
          <w:highlight w:val="none"/>
        </w:rPr>
        <w:t>　　</w:t>
      </w:r>
    </w:p>
    <w:p w14:paraId="2014FB87">
      <w:pPr>
        <w:pStyle w:val="9"/>
        <w:spacing w:line="440" w:lineRule="exact"/>
        <w:rPr>
          <w:color w:val="auto"/>
          <w:szCs w:val="21"/>
          <w:highlight w:val="none"/>
        </w:rPr>
      </w:pPr>
      <w:r>
        <w:rPr>
          <w:color w:val="auto"/>
          <w:szCs w:val="21"/>
          <w:highlight w:val="none"/>
        </w:rPr>
        <w:t>　　感谢你单位对</w:t>
      </w:r>
      <w:r>
        <w:rPr>
          <w:rFonts w:hint="eastAsia" w:eastAsia="宋体"/>
          <w:color w:val="auto"/>
          <w:szCs w:val="21"/>
          <w:highlight w:val="none"/>
          <w:lang w:val="en-US" w:eastAsia="zh-CN"/>
        </w:rPr>
        <w:t>招标项目的参与</w:t>
      </w:r>
      <w:r>
        <w:rPr>
          <w:color w:val="auto"/>
          <w:szCs w:val="21"/>
          <w:highlight w:val="none"/>
        </w:rPr>
        <w:t>！</w:t>
      </w:r>
    </w:p>
    <w:p w14:paraId="4CBE5488">
      <w:pPr>
        <w:pStyle w:val="9"/>
        <w:spacing w:line="440" w:lineRule="exact"/>
        <w:rPr>
          <w:color w:val="auto"/>
          <w:szCs w:val="21"/>
          <w:highlight w:val="none"/>
        </w:rPr>
      </w:pPr>
    </w:p>
    <w:p w14:paraId="0E14F1A9">
      <w:pPr>
        <w:pStyle w:val="9"/>
        <w:spacing w:line="440" w:lineRule="exact"/>
        <w:rPr>
          <w:color w:val="auto"/>
          <w:szCs w:val="21"/>
          <w:highlight w:val="none"/>
        </w:rPr>
      </w:pPr>
    </w:p>
    <w:p w14:paraId="17984549">
      <w:pPr>
        <w:pStyle w:val="9"/>
        <w:spacing w:line="440" w:lineRule="exact"/>
        <w:rPr>
          <w:color w:val="auto"/>
          <w:szCs w:val="21"/>
          <w:highlight w:val="none"/>
        </w:rPr>
      </w:pPr>
    </w:p>
    <w:p w14:paraId="014F2EF3">
      <w:pPr>
        <w:pStyle w:val="9"/>
        <w:spacing w:line="540" w:lineRule="exact"/>
        <w:ind w:firstLine="3238" w:firstLineChars="1542"/>
        <w:rPr>
          <w:color w:val="auto"/>
          <w:szCs w:val="21"/>
          <w:highlight w:val="none"/>
        </w:rPr>
      </w:pPr>
      <w:r>
        <w:rPr>
          <w:color w:val="auto"/>
          <w:szCs w:val="21"/>
          <w:highlight w:val="none"/>
        </w:rPr>
        <w:t>招标人：</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（盖单位公章）</w:t>
      </w:r>
    </w:p>
    <w:p w14:paraId="4FF50565">
      <w:pPr>
        <w:pStyle w:val="9"/>
        <w:spacing w:line="540" w:lineRule="exact"/>
        <w:ind w:firstLine="3238" w:firstLineChars="1542"/>
        <w:rPr>
          <w:color w:val="auto"/>
          <w:szCs w:val="21"/>
          <w:highlight w:val="none"/>
        </w:rPr>
      </w:pPr>
      <w:r>
        <w:rPr>
          <w:rFonts w:hint="eastAsia"/>
          <w:color w:val="auto"/>
          <w:szCs w:val="21"/>
          <w:highlight w:val="none"/>
        </w:rPr>
        <w:t>招标代理：</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w:t>
      </w:r>
      <w:r>
        <w:rPr>
          <w:rFonts w:hint="eastAsia"/>
          <w:color w:val="auto"/>
          <w:szCs w:val="21"/>
          <w:highlight w:val="none"/>
        </w:rPr>
        <w:t>盖单位公章</w:t>
      </w:r>
      <w:r>
        <w:rPr>
          <w:color w:val="auto"/>
          <w:szCs w:val="21"/>
          <w:highlight w:val="none"/>
        </w:rPr>
        <w:t>）</w:t>
      </w:r>
    </w:p>
    <w:p w14:paraId="1B8FB558">
      <w:pPr>
        <w:pStyle w:val="9"/>
        <w:spacing w:line="540" w:lineRule="exact"/>
        <w:ind w:firstLine="4599" w:firstLineChars="2190"/>
        <w:rPr>
          <w:color w:val="auto"/>
          <w:szCs w:val="21"/>
          <w:highlight w:val="none"/>
        </w:rPr>
      </w:pPr>
      <w:r>
        <w:rPr>
          <w:color w:val="auto"/>
          <w:szCs w:val="21"/>
          <w:highlight w:val="none"/>
        </w:rPr>
        <w:t>年</w:t>
      </w:r>
      <w:r>
        <w:rPr>
          <w:rFonts w:hint="eastAsia"/>
          <w:color w:val="auto"/>
          <w:szCs w:val="21"/>
          <w:highlight w:val="none"/>
        </w:rPr>
        <w:t xml:space="preserve"> </w:t>
      </w:r>
      <w:r>
        <w:rPr>
          <w:color w:val="auto"/>
          <w:szCs w:val="21"/>
          <w:highlight w:val="none"/>
        </w:rPr>
        <w:t xml:space="preserve">  月</w:t>
      </w:r>
      <w:r>
        <w:rPr>
          <w:rFonts w:hint="eastAsia"/>
          <w:color w:val="auto"/>
          <w:szCs w:val="21"/>
          <w:highlight w:val="none"/>
        </w:rPr>
        <w:t xml:space="preserve"> </w:t>
      </w:r>
      <w:r>
        <w:rPr>
          <w:color w:val="auto"/>
          <w:szCs w:val="21"/>
          <w:highlight w:val="none"/>
        </w:rPr>
        <w:t xml:space="preserve">  日</w:t>
      </w:r>
    </w:p>
    <w:p w14:paraId="48F11B73">
      <w:pPr>
        <w:pStyle w:val="9"/>
        <w:spacing w:line="400" w:lineRule="exact"/>
        <w:rPr>
          <w:color w:val="auto"/>
          <w:highlight w:val="none"/>
        </w:rPr>
      </w:pPr>
    </w:p>
    <w:p w14:paraId="14F136DC">
      <w:pPr>
        <w:pStyle w:val="9"/>
        <w:spacing w:line="400" w:lineRule="exact"/>
        <w:rPr>
          <w:color w:val="auto"/>
          <w:highlight w:val="none"/>
        </w:rPr>
      </w:pPr>
    </w:p>
    <w:p w14:paraId="10BC2167">
      <w:pPr>
        <w:pStyle w:val="42"/>
        <w:pageBreakBefore/>
        <w:rPr>
          <w:color w:val="auto"/>
          <w:highlight w:val="none"/>
        </w:rPr>
      </w:pPr>
      <w:bookmarkStart w:id="109" w:name="_Toc15791"/>
      <w:r>
        <w:rPr>
          <w:rFonts w:hint="eastAsia"/>
          <w:color w:val="auto"/>
          <w:highlight w:val="none"/>
        </w:rPr>
        <w:t>附表六：确认通知</w:t>
      </w:r>
      <w:bookmarkEnd w:id="109"/>
    </w:p>
    <w:p w14:paraId="54665B26">
      <w:pPr>
        <w:pStyle w:val="9"/>
        <w:spacing w:line="400" w:lineRule="exact"/>
        <w:rPr>
          <w:color w:val="auto"/>
          <w:highlight w:val="none"/>
        </w:rPr>
      </w:pPr>
    </w:p>
    <w:p w14:paraId="3F7FA836">
      <w:pPr>
        <w:pStyle w:val="9"/>
        <w:spacing w:line="400" w:lineRule="exact"/>
        <w:jc w:val="center"/>
        <w:rPr>
          <w:rFonts w:ascii="黑体" w:eastAsia="黑体"/>
          <w:color w:val="auto"/>
          <w:sz w:val="28"/>
          <w:szCs w:val="28"/>
          <w:highlight w:val="none"/>
        </w:rPr>
      </w:pPr>
      <w:r>
        <w:rPr>
          <w:rFonts w:hint="eastAsia" w:ascii="黑体" w:eastAsia="黑体"/>
          <w:color w:val="auto"/>
          <w:sz w:val="28"/>
          <w:szCs w:val="28"/>
          <w:highlight w:val="none"/>
        </w:rPr>
        <w:t>确认通知</w:t>
      </w:r>
    </w:p>
    <w:p w14:paraId="30EBF285">
      <w:pPr>
        <w:pStyle w:val="9"/>
        <w:spacing w:line="400" w:lineRule="exact"/>
        <w:rPr>
          <w:color w:val="auto"/>
          <w:highlight w:val="none"/>
        </w:rPr>
      </w:pPr>
    </w:p>
    <w:p w14:paraId="5211A314">
      <w:pPr>
        <w:pStyle w:val="9"/>
        <w:spacing w:line="440" w:lineRule="exact"/>
        <w:rPr>
          <w:color w:val="auto"/>
          <w:szCs w:val="21"/>
          <w:highlight w:val="none"/>
        </w:rPr>
      </w:pPr>
      <w:r>
        <w:rPr>
          <w:color w:val="auto"/>
          <w:szCs w:val="21"/>
          <w:highlight w:val="none"/>
          <w:u w:val="single"/>
        </w:rPr>
        <w:t>（</w:t>
      </w:r>
      <w:r>
        <w:rPr>
          <w:rFonts w:hint="eastAsia"/>
          <w:color w:val="auto"/>
          <w:szCs w:val="21"/>
          <w:highlight w:val="none"/>
          <w:u w:val="single"/>
        </w:rPr>
        <w:t>招标</w:t>
      </w:r>
      <w:r>
        <w:rPr>
          <w:color w:val="auto"/>
          <w:szCs w:val="21"/>
          <w:highlight w:val="none"/>
          <w:u w:val="single"/>
        </w:rPr>
        <w:t>人名称）</w:t>
      </w:r>
      <w:r>
        <w:rPr>
          <w:color w:val="auto"/>
          <w:szCs w:val="21"/>
          <w:highlight w:val="none"/>
        </w:rPr>
        <w:t>：</w:t>
      </w:r>
    </w:p>
    <w:p w14:paraId="26F74F3B">
      <w:pPr>
        <w:pStyle w:val="9"/>
        <w:spacing w:line="440" w:lineRule="exact"/>
        <w:rPr>
          <w:color w:val="auto"/>
          <w:szCs w:val="21"/>
          <w:highlight w:val="none"/>
        </w:rPr>
      </w:pPr>
    </w:p>
    <w:p w14:paraId="524F1D44">
      <w:pPr>
        <w:pStyle w:val="9"/>
        <w:spacing w:line="440" w:lineRule="exact"/>
        <w:rPr>
          <w:color w:val="auto"/>
          <w:szCs w:val="21"/>
          <w:highlight w:val="none"/>
        </w:rPr>
      </w:pPr>
      <w:r>
        <w:rPr>
          <w:color w:val="auto"/>
          <w:szCs w:val="21"/>
          <w:highlight w:val="none"/>
        </w:rPr>
        <w:t>　　我方已接</w:t>
      </w:r>
      <w:r>
        <w:rPr>
          <w:rFonts w:hint="eastAsia"/>
          <w:color w:val="auto"/>
          <w:szCs w:val="21"/>
          <w:highlight w:val="none"/>
        </w:rPr>
        <w:t>到你方</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rPr>
        <w:t>年</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rPr>
        <w:t>月</w:t>
      </w:r>
      <w:r>
        <w:rPr>
          <w:color w:val="auto"/>
          <w:szCs w:val="21"/>
          <w:highlight w:val="none"/>
          <w:u w:val="single"/>
        </w:rPr>
        <w:t xml:space="preserve">   </w:t>
      </w:r>
      <w:r>
        <w:rPr>
          <w:rFonts w:hint="eastAsia"/>
          <w:color w:val="auto"/>
          <w:szCs w:val="21"/>
          <w:highlight w:val="none"/>
        </w:rPr>
        <w:t>日发出的__________</w:t>
      </w:r>
      <w:r>
        <w:rPr>
          <w:color w:val="auto"/>
          <w:szCs w:val="21"/>
          <w:highlight w:val="none"/>
        </w:rPr>
        <w:t>（项目名称）</w:t>
      </w:r>
      <w:r>
        <w:rPr>
          <w:rFonts w:hint="eastAsia" w:eastAsia="宋体"/>
          <w:color w:val="auto"/>
          <w:szCs w:val="21"/>
          <w:highlight w:val="none"/>
          <w:u w:val="none"/>
          <w:lang w:val="en-US" w:eastAsia="zh-CN"/>
        </w:rPr>
        <w:t>第</w:t>
      </w:r>
      <w:r>
        <w:rPr>
          <w:rFonts w:hint="eastAsia" w:eastAsia="宋体"/>
          <w:color w:val="auto"/>
          <w:szCs w:val="21"/>
          <w:highlight w:val="none"/>
          <w:u w:val="single"/>
          <w:lang w:val="en-US" w:eastAsia="zh-CN"/>
        </w:rPr>
        <w:t xml:space="preserve">    </w:t>
      </w:r>
      <w:r>
        <w:rPr>
          <w:rFonts w:hint="eastAsia" w:eastAsia="宋体"/>
          <w:color w:val="auto"/>
          <w:szCs w:val="21"/>
          <w:highlight w:val="none"/>
          <w:u w:val="none"/>
          <w:lang w:val="en-US" w:eastAsia="zh-CN"/>
        </w:rPr>
        <w:t>标段</w:t>
      </w:r>
      <w:r>
        <w:rPr>
          <w:color w:val="auto"/>
          <w:szCs w:val="21"/>
          <w:highlight w:val="none"/>
        </w:rPr>
        <w:t>施工</w:t>
      </w:r>
      <w:r>
        <w:rPr>
          <w:rFonts w:hint="eastAsia"/>
          <w:color w:val="auto"/>
          <w:szCs w:val="21"/>
          <w:highlight w:val="none"/>
        </w:rPr>
        <w:t>招标关于________的通知，我方已于</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rPr>
        <w:t>年</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rPr>
        <w:t>月</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rPr>
        <w:t>日收到</w:t>
      </w:r>
      <w:r>
        <w:rPr>
          <w:color w:val="auto"/>
          <w:szCs w:val="21"/>
          <w:highlight w:val="none"/>
        </w:rPr>
        <w:t>。</w:t>
      </w:r>
    </w:p>
    <w:p w14:paraId="779A2CC8">
      <w:pPr>
        <w:pStyle w:val="9"/>
        <w:spacing w:line="440" w:lineRule="exact"/>
        <w:rPr>
          <w:color w:val="auto"/>
          <w:szCs w:val="21"/>
          <w:highlight w:val="none"/>
        </w:rPr>
      </w:pPr>
      <w:r>
        <w:rPr>
          <w:color w:val="auto"/>
          <w:szCs w:val="21"/>
          <w:highlight w:val="none"/>
        </w:rPr>
        <w:t>　　</w:t>
      </w:r>
    </w:p>
    <w:p w14:paraId="2F409DB1">
      <w:pPr>
        <w:pStyle w:val="9"/>
        <w:spacing w:line="440" w:lineRule="exact"/>
        <w:rPr>
          <w:color w:val="auto"/>
          <w:szCs w:val="21"/>
          <w:highlight w:val="none"/>
        </w:rPr>
      </w:pPr>
      <w:r>
        <w:rPr>
          <w:color w:val="auto"/>
          <w:szCs w:val="21"/>
          <w:highlight w:val="none"/>
        </w:rPr>
        <w:t>　　</w:t>
      </w:r>
      <w:r>
        <w:rPr>
          <w:rFonts w:hint="eastAsia"/>
          <w:color w:val="auto"/>
          <w:szCs w:val="21"/>
          <w:highlight w:val="none"/>
        </w:rPr>
        <w:t>特此确认。</w:t>
      </w:r>
    </w:p>
    <w:p w14:paraId="19BC5085">
      <w:pPr>
        <w:pStyle w:val="9"/>
        <w:spacing w:line="440" w:lineRule="exact"/>
        <w:rPr>
          <w:color w:val="auto"/>
          <w:szCs w:val="21"/>
          <w:highlight w:val="none"/>
        </w:rPr>
      </w:pPr>
    </w:p>
    <w:p w14:paraId="07FF9D1F">
      <w:pPr>
        <w:pStyle w:val="9"/>
        <w:spacing w:line="440" w:lineRule="exact"/>
        <w:rPr>
          <w:color w:val="auto"/>
          <w:szCs w:val="21"/>
          <w:highlight w:val="none"/>
        </w:rPr>
      </w:pPr>
    </w:p>
    <w:p w14:paraId="7396B718">
      <w:pPr>
        <w:pStyle w:val="9"/>
        <w:spacing w:line="440" w:lineRule="exact"/>
        <w:rPr>
          <w:color w:val="auto"/>
          <w:szCs w:val="21"/>
          <w:highlight w:val="none"/>
        </w:rPr>
      </w:pPr>
    </w:p>
    <w:p w14:paraId="7F154E0D">
      <w:pPr>
        <w:pStyle w:val="9"/>
        <w:spacing w:line="540" w:lineRule="exact"/>
        <w:ind w:firstLine="3238" w:firstLineChars="1542"/>
        <w:rPr>
          <w:color w:val="auto"/>
          <w:szCs w:val="21"/>
          <w:highlight w:val="none"/>
        </w:rPr>
      </w:pPr>
      <w:r>
        <w:rPr>
          <w:rFonts w:hint="eastAsia"/>
          <w:color w:val="auto"/>
          <w:szCs w:val="21"/>
          <w:highlight w:val="none"/>
        </w:rPr>
        <w:t>投</w:t>
      </w:r>
      <w:r>
        <w:rPr>
          <w:color w:val="auto"/>
          <w:szCs w:val="21"/>
          <w:highlight w:val="none"/>
        </w:rPr>
        <w:t>标人：</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（盖单位公章）</w:t>
      </w:r>
    </w:p>
    <w:p w14:paraId="35F9FC5F">
      <w:pPr>
        <w:pStyle w:val="9"/>
        <w:spacing w:line="540" w:lineRule="exact"/>
        <w:ind w:firstLine="4599" w:firstLineChars="2190"/>
        <w:rPr>
          <w:color w:val="auto"/>
          <w:szCs w:val="21"/>
          <w:highlight w:val="none"/>
        </w:rPr>
      </w:pPr>
      <w:r>
        <w:rPr>
          <w:color w:val="auto"/>
          <w:szCs w:val="21"/>
          <w:highlight w:val="none"/>
        </w:rPr>
        <w:t>年</w:t>
      </w:r>
      <w:r>
        <w:rPr>
          <w:rFonts w:hint="eastAsia"/>
          <w:color w:val="auto"/>
          <w:szCs w:val="21"/>
          <w:highlight w:val="none"/>
        </w:rPr>
        <w:t xml:space="preserve"> </w:t>
      </w:r>
      <w:r>
        <w:rPr>
          <w:color w:val="auto"/>
          <w:szCs w:val="21"/>
          <w:highlight w:val="none"/>
        </w:rPr>
        <w:t xml:space="preserve">  月</w:t>
      </w:r>
      <w:r>
        <w:rPr>
          <w:rFonts w:hint="eastAsia"/>
          <w:color w:val="auto"/>
          <w:szCs w:val="21"/>
          <w:highlight w:val="none"/>
        </w:rPr>
        <w:t xml:space="preserve"> </w:t>
      </w:r>
      <w:r>
        <w:rPr>
          <w:color w:val="auto"/>
          <w:szCs w:val="21"/>
          <w:highlight w:val="none"/>
        </w:rPr>
        <w:t xml:space="preserve"> 日</w:t>
      </w:r>
    </w:p>
    <w:p w14:paraId="0BCA3D86">
      <w:pPr>
        <w:pStyle w:val="9"/>
        <w:rPr>
          <w:color w:val="auto"/>
          <w:highlight w:val="none"/>
        </w:rPr>
      </w:pPr>
      <w:bookmarkStart w:id="110" w:name="EBf1b73dc259f649b89fc87465bbec220a"/>
      <w:r>
        <w:rPr>
          <w:rFonts w:hint="eastAsia"/>
          <w:color w:val="auto"/>
          <w:sz w:val="20"/>
          <w:highlight w:val="none"/>
        </w:rPr>
        <w:t xml:space="preserve"> </w:t>
      </w:r>
      <w:bookmarkEnd w:id="110"/>
    </w:p>
    <w:p w14:paraId="776EF6D3">
      <w:pPr>
        <w:pStyle w:val="9"/>
        <w:spacing w:line="360" w:lineRule="auto"/>
        <w:jc w:val="left"/>
        <w:rPr>
          <w:rFonts w:ascii="宋体" w:hAnsi="宋体"/>
          <w:color w:val="auto"/>
          <w:szCs w:val="21"/>
          <w:highlight w:val="none"/>
        </w:rPr>
      </w:pPr>
    </w:p>
    <w:p w14:paraId="579A1F11">
      <w:pPr>
        <w:pStyle w:val="41"/>
        <w:keepNext/>
        <w:keepLines/>
        <w:pageBreakBefore/>
        <w:widowControl w:val="0"/>
        <w:kinsoku/>
        <w:wordWrap/>
        <w:overflowPunct/>
        <w:topLinePunct w:val="0"/>
        <w:autoSpaceDE/>
        <w:autoSpaceDN/>
        <w:bidi w:val="0"/>
        <w:adjustRightInd/>
        <w:snapToGrid/>
        <w:spacing w:before="0" w:after="0" w:line="416" w:lineRule="auto"/>
        <w:jc w:val="center"/>
        <w:textAlignment w:val="auto"/>
        <w:outlineLvl w:val="1"/>
        <w:rPr>
          <w:rFonts w:hint="eastAsia" w:ascii="Arial" w:hAnsi="Arial" w:cs="Times New Roman"/>
          <w:b/>
          <w:bCs/>
          <w:color w:val="auto"/>
          <w:highlight w:val="none"/>
          <w:lang w:val="en-US" w:eastAsia="zh-CN" w:bidi="ar-SA"/>
        </w:rPr>
      </w:pPr>
      <w:bookmarkStart w:id="111" w:name="_Toc11181"/>
      <w:bookmarkStart w:id="112" w:name="_Hlk17216429"/>
      <w:bookmarkStart w:id="113" w:name="_Hlk17465263"/>
      <w:r>
        <w:rPr>
          <w:rFonts w:hint="eastAsia" w:ascii="Arial" w:hAnsi="Arial" w:cs="Times New Roman"/>
          <w:b/>
          <w:bCs/>
          <w:color w:val="auto"/>
          <w:highlight w:val="none"/>
          <w:lang w:val="en-US" w:eastAsia="zh-CN" w:bidi="ar-SA"/>
        </w:rPr>
        <w:t>第三章 评标办法（技术打分制的综合评估法（综合评分法））</w:t>
      </w:r>
      <w:bookmarkEnd w:id="111"/>
    </w:p>
    <w:p w14:paraId="02C794C2">
      <w:pPr>
        <w:pStyle w:val="9"/>
        <w:spacing w:line="400" w:lineRule="exact"/>
        <w:outlineLvl w:val="3"/>
        <w:rPr>
          <w:rFonts w:hint="eastAsia" w:ascii="宋体" w:hAnsi="宋体"/>
          <w:b/>
          <w:color w:val="auto"/>
          <w:sz w:val="24"/>
          <w:szCs w:val="24"/>
          <w:highlight w:val="none"/>
        </w:rPr>
      </w:pPr>
      <w:r>
        <w:rPr>
          <w:rFonts w:hint="eastAsia" w:ascii="宋体" w:hAnsi="宋体"/>
          <w:b/>
          <w:color w:val="auto"/>
          <w:sz w:val="24"/>
          <w:szCs w:val="24"/>
          <w:highlight w:val="none"/>
        </w:rPr>
        <w:t>评标办法前附表</w:t>
      </w:r>
    </w:p>
    <w:tbl>
      <w:tblPr>
        <w:tblStyle w:val="23"/>
        <w:tblW w:w="9602" w:type="dxa"/>
        <w:tblInd w:w="-46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0" w:type="dxa"/>
          <w:bottom w:w="0" w:type="dxa"/>
          <w:right w:w="0" w:type="dxa"/>
        </w:tblCellMar>
      </w:tblPr>
      <w:tblGrid>
        <w:gridCol w:w="900"/>
        <w:gridCol w:w="1540"/>
        <w:gridCol w:w="871"/>
        <w:gridCol w:w="940"/>
        <w:gridCol w:w="281"/>
        <w:gridCol w:w="409"/>
        <w:gridCol w:w="806"/>
        <w:gridCol w:w="3855"/>
      </w:tblGrid>
      <w:tr w14:paraId="3D303C3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458" w:hRule="atLeast"/>
        </w:trPr>
        <w:tc>
          <w:tcPr>
            <w:tcW w:w="2440" w:type="dxa"/>
            <w:gridSpan w:val="2"/>
            <w:tcBorders>
              <w:tl2br w:val="nil"/>
              <w:tr2bl w:val="nil"/>
            </w:tcBorders>
            <w:noWrap w:val="0"/>
            <w:vAlign w:val="center"/>
          </w:tcPr>
          <w:p w14:paraId="327CD22E">
            <w:pPr>
              <w:pStyle w:val="9"/>
              <w:jc w:val="center"/>
              <w:rPr>
                <w:b/>
                <w:bCs/>
                <w:color w:val="auto"/>
                <w:highlight w:val="none"/>
              </w:rPr>
            </w:pPr>
            <w:r>
              <w:rPr>
                <w:b/>
                <w:bCs/>
                <w:color w:val="auto"/>
                <w:highlight w:val="none"/>
              </w:rPr>
              <w:t>条款号</w:t>
            </w:r>
          </w:p>
        </w:tc>
        <w:tc>
          <w:tcPr>
            <w:tcW w:w="7162" w:type="dxa"/>
            <w:gridSpan w:val="6"/>
            <w:tcBorders>
              <w:tl2br w:val="nil"/>
              <w:tr2bl w:val="nil"/>
            </w:tcBorders>
            <w:noWrap w:val="0"/>
            <w:vAlign w:val="center"/>
          </w:tcPr>
          <w:p w14:paraId="72174594">
            <w:pPr>
              <w:pStyle w:val="9"/>
              <w:jc w:val="center"/>
              <w:rPr>
                <w:b/>
                <w:bCs/>
                <w:color w:val="auto"/>
                <w:highlight w:val="none"/>
              </w:rPr>
            </w:pPr>
            <w:r>
              <w:rPr>
                <w:b/>
                <w:bCs/>
                <w:color w:val="auto"/>
                <w:highlight w:val="none"/>
              </w:rPr>
              <w:t>评审因素</w:t>
            </w:r>
          </w:p>
        </w:tc>
      </w:tr>
      <w:tr w14:paraId="24F0A48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1239" w:hRule="atLeast"/>
        </w:trPr>
        <w:tc>
          <w:tcPr>
            <w:tcW w:w="900" w:type="dxa"/>
            <w:tcBorders>
              <w:tl2br w:val="nil"/>
              <w:tr2bl w:val="nil"/>
            </w:tcBorders>
            <w:noWrap w:val="0"/>
            <w:vAlign w:val="center"/>
          </w:tcPr>
          <w:p w14:paraId="3D750F8E">
            <w:pPr>
              <w:pStyle w:val="9"/>
              <w:jc w:val="center"/>
              <w:rPr>
                <w:color w:val="auto"/>
                <w:highlight w:val="none"/>
              </w:rPr>
            </w:pPr>
            <w:r>
              <w:rPr>
                <w:color w:val="auto"/>
                <w:highlight w:val="none"/>
              </w:rPr>
              <w:t>2.1.1</w:t>
            </w:r>
          </w:p>
        </w:tc>
        <w:tc>
          <w:tcPr>
            <w:tcW w:w="1540" w:type="dxa"/>
            <w:tcBorders>
              <w:tl2br w:val="nil"/>
              <w:tr2bl w:val="nil"/>
            </w:tcBorders>
            <w:noWrap w:val="0"/>
            <w:vAlign w:val="center"/>
          </w:tcPr>
          <w:p w14:paraId="00682C29">
            <w:pPr>
              <w:pStyle w:val="9"/>
              <w:spacing w:line="310" w:lineRule="exact"/>
              <w:jc w:val="center"/>
              <w:rPr>
                <w:color w:val="auto"/>
                <w:highlight w:val="none"/>
              </w:rPr>
            </w:pPr>
            <w:r>
              <w:rPr>
                <w:rFonts w:hint="eastAsia" w:eastAsia="宋体"/>
                <w:color w:val="auto"/>
                <w:highlight w:val="none"/>
                <w:lang w:val="en-US" w:eastAsia="zh-CN"/>
              </w:rPr>
              <w:t>第一信封</w:t>
            </w:r>
            <w:r>
              <w:rPr>
                <w:color w:val="auto"/>
                <w:highlight w:val="none"/>
              </w:rPr>
              <w:t>形式评审与响应性评审标准</w:t>
            </w:r>
          </w:p>
        </w:tc>
        <w:tc>
          <w:tcPr>
            <w:tcW w:w="7162" w:type="dxa"/>
            <w:gridSpan w:val="6"/>
            <w:tcBorders>
              <w:tl2br w:val="nil"/>
              <w:tr2bl w:val="nil"/>
            </w:tcBorders>
            <w:noWrap w:val="0"/>
            <w:vAlign w:val="center"/>
          </w:tcPr>
          <w:p w14:paraId="57BB686F">
            <w:pPr>
              <w:pStyle w:val="9"/>
              <w:keepNext w:val="0"/>
              <w:keepLines w:val="0"/>
              <w:pageBreakBefore w:val="0"/>
              <w:widowControl w:val="0"/>
              <w:kinsoku/>
              <w:wordWrap/>
              <w:overflowPunct/>
              <w:topLinePunct w:val="0"/>
              <w:autoSpaceDE/>
              <w:autoSpaceDN/>
              <w:bidi w:val="0"/>
              <w:adjustRightInd/>
              <w:snapToGrid/>
              <w:spacing w:line="370" w:lineRule="exact"/>
              <w:jc w:val="left"/>
              <w:textAlignment w:val="auto"/>
              <w:rPr>
                <w:rFonts w:hint="eastAsia" w:ascii="宋体" w:hAnsi="宋体"/>
                <w:color w:val="auto"/>
                <w:szCs w:val="21"/>
                <w:highlight w:val="none"/>
              </w:rPr>
            </w:pPr>
            <w:r>
              <w:rPr>
                <w:rFonts w:hint="eastAsia" w:ascii="宋体" w:hAnsi="宋体"/>
                <w:color w:val="auto"/>
                <w:szCs w:val="21"/>
                <w:highlight w:val="none"/>
              </w:rPr>
              <w:t>(1)投标文件</w:t>
            </w:r>
            <w:r>
              <w:rPr>
                <w:rFonts w:hint="eastAsia" w:ascii="宋体" w:hAnsi="宋体" w:eastAsia="宋体"/>
                <w:color w:val="auto"/>
                <w:szCs w:val="21"/>
                <w:highlight w:val="none"/>
                <w:lang w:val="en-US" w:eastAsia="zh-CN"/>
              </w:rPr>
              <w:t>第一信封</w:t>
            </w:r>
            <w:r>
              <w:rPr>
                <w:rFonts w:hint="eastAsia" w:ascii="宋体" w:hAnsi="宋体"/>
                <w:color w:val="auto"/>
                <w:szCs w:val="21"/>
                <w:highlight w:val="none"/>
              </w:rPr>
              <w:t>招标文件规定的格式、内容填写，字迹清晰可辨：</w:t>
            </w:r>
          </w:p>
          <w:p w14:paraId="5AF0A6FD">
            <w:pPr>
              <w:pStyle w:val="9"/>
              <w:keepNext w:val="0"/>
              <w:keepLines w:val="0"/>
              <w:pageBreakBefore w:val="0"/>
              <w:widowControl w:val="0"/>
              <w:kinsoku/>
              <w:wordWrap/>
              <w:overflowPunct/>
              <w:topLinePunct w:val="0"/>
              <w:autoSpaceDE/>
              <w:autoSpaceDN/>
              <w:bidi w:val="0"/>
              <w:adjustRightInd/>
              <w:snapToGrid/>
              <w:spacing w:line="370" w:lineRule="exact"/>
              <w:jc w:val="left"/>
              <w:textAlignment w:val="auto"/>
              <w:rPr>
                <w:rFonts w:hint="eastAsia" w:ascii="宋体" w:hAnsi="宋体"/>
                <w:color w:val="auto"/>
                <w:szCs w:val="21"/>
                <w:highlight w:val="none"/>
              </w:rPr>
            </w:pPr>
            <w:r>
              <w:rPr>
                <w:rFonts w:hint="eastAsia" w:ascii="宋体" w:hAnsi="宋体"/>
                <w:color w:val="auto"/>
                <w:szCs w:val="21"/>
                <w:highlight w:val="none"/>
              </w:rPr>
              <w:t>a</w:t>
            </w:r>
            <w:r>
              <w:rPr>
                <w:rFonts w:hint="eastAsia" w:ascii="宋体" w:hAnsi="宋体" w:eastAsia="宋体"/>
                <w:color w:val="auto"/>
                <w:szCs w:val="21"/>
                <w:highlight w:val="none"/>
                <w:lang w:val="en-US" w:eastAsia="zh-CN"/>
              </w:rPr>
              <w:t>.</w:t>
            </w:r>
            <w:r>
              <w:rPr>
                <w:rFonts w:hint="eastAsia" w:ascii="宋体" w:hAnsi="宋体"/>
                <w:color w:val="auto"/>
                <w:szCs w:val="21"/>
                <w:highlight w:val="none"/>
              </w:rPr>
              <w:t>投标函按招标文件规定填报了项目名称</w:t>
            </w:r>
            <w:r>
              <w:rPr>
                <w:rFonts w:hint="eastAsia" w:ascii="宋体" w:hAnsi="宋体" w:eastAsia="宋体"/>
                <w:color w:val="auto"/>
                <w:szCs w:val="21"/>
                <w:highlight w:val="none"/>
                <w:lang w:val="en-US" w:eastAsia="zh-CN"/>
              </w:rPr>
              <w:t>、</w:t>
            </w:r>
            <w:r>
              <w:rPr>
                <w:rFonts w:hint="eastAsia" w:ascii="宋体" w:hAnsi="宋体"/>
                <w:color w:val="auto"/>
                <w:szCs w:val="21"/>
                <w:highlight w:val="none"/>
              </w:rPr>
              <w:t>补遗书编号（如有）、工期</w:t>
            </w:r>
            <w:r>
              <w:rPr>
                <w:rFonts w:hint="eastAsia" w:ascii="宋体" w:hAnsi="宋体" w:eastAsia="宋体"/>
                <w:color w:val="auto"/>
                <w:szCs w:val="21"/>
                <w:highlight w:val="none"/>
                <w:lang w:eastAsia="zh-CN"/>
              </w:rPr>
              <w:t>、</w:t>
            </w:r>
            <w:r>
              <w:rPr>
                <w:rFonts w:hint="eastAsia" w:ascii="宋体" w:hAnsi="宋体"/>
                <w:color w:val="auto"/>
                <w:szCs w:val="21"/>
                <w:highlight w:val="none"/>
              </w:rPr>
              <w:t>质量</w:t>
            </w:r>
            <w:r>
              <w:rPr>
                <w:rFonts w:hint="eastAsia" w:ascii="宋体" w:hAnsi="宋体" w:eastAsia="宋体"/>
                <w:color w:val="auto"/>
                <w:szCs w:val="21"/>
                <w:highlight w:val="none"/>
                <w:lang w:val="en-US" w:eastAsia="zh-CN"/>
              </w:rPr>
              <w:t>目标、拟委任的项目经理姓名及投标保证金</w:t>
            </w:r>
            <w:r>
              <w:rPr>
                <w:rFonts w:hint="eastAsia" w:ascii="宋体" w:hAnsi="宋体"/>
                <w:color w:val="auto"/>
                <w:szCs w:val="21"/>
                <w:highlight w:val="none"/>
              </w:rPr>
              <w:t>；</w:t>
            </w:r>
          </w:p>
          <w:p w14:paraId="66E2EE36">
            <w:pPr>
              <w:pStyle w:val="9"/>
              <w:keepNext w:val="0"/>
              <w:keepLines w:val="0"/>
              <w:pageBreakBefore w:val="0"/>
              <w:widowControl w:val="0"/>
              <w:kinsoku/>
              <w:wordWrap/>
              <w:overflowPunct/>
              <w:topLinePunct w:val="0"/>
              <w:autoSpaceDE/>
              <w:autoSpaceDN/>
              <w:bidi w:val="0"/>
              <w:adjustRightInd/>
              <w:snapToGrid/>
              <w:spacing w:line="370" w:lineRule="exact"/>
              <w:jc w:val="left"/>
              <w:textAlignment w:val="auto"/>
              <w:rPr>
                <w:rFonts w:hint="eastAsia" w:ascii="宋体" w:hAnsi="宋体"/>
                <w:color w:val="auto"/>
                <w:szCs w:val="21"/>
                <w:highlight w:val="none"/>
              </w:rPr>
            </w:pPr>
            <w:r>
              <w:rPr>
                <w:rFonts w:hint="eastAsia" w:ascii="宋体" w:hAnsi="宋体"/>
                <w:color w:val="auto"/>
                <w:szCs w:val="21"/>
                <w:highlight w:val="none"/>
              </w:rPr>
              <w:t>b</w:t>
            </w:r>
            <w:r>
              <w:rPr>
                <w:rFonts w:hint="eastAsia" w:ascii="宋体" w:hAnsi="宋体" w:eastAsia="宋体"/>
                <w:color w:val="auto"/>
                <w:szCs w:val="21"/>
                <w:highlight w:val="none"/>
                <w:lang w:eastAsia="zh-CN"/>
              </w:rPr>
              <w:t>.</w:t>
            </w:r>
            <w:r>
              <w:rPr>
                <w:rFonts w:hint="eastAsia" w:ascii="宋体" w:hAnsi="宋体"/>
                <w:color w:val="auto"/>
                <w:szCs w:val="21"/>
                <w:highlight w:val="none"/>
              </w:rPr>
              <w:t>投标函附录的所有数据均符合招标文件规定；</w:t>
            </w:r>
          </w:p>
          <w:p w14:paraId="4C06BBAE">
            <w:pPr>
              <w:pStyle w:val="9"/>
              <w:keepNext w:val="0"/>
              <w:keepLines w:val="0"/>
              <w:pageBreakBefore w:val="0"/>
              <w:widowControl w:val="0"/>
              <w:kinsoku/>
              <w:wordWrap/>
              <w:overflowPunct/>
              <w:topLinePunct w:val="0"/>
              <w:autoSpaceDE/>
              <w:autoSpaceDN/>
              <w:bidi w:val="0"/>
              <w:adjustRightInd/>
              <w:snapToGrid/>
              <w:spacing w:line="370" w:lineRule="exact"/>
              <w:jc w:val="left"/>
              <w:textAlignment w:val="auto"/>
              <w:rPr>
                <w:rFonts w:hint="eastAsia" w:ascii="宋体" w:hAnsi="宋体" w:eastAsia="宋体"/>
                <w:color w:val="auto"/>
                <w:szCs w:val="21"/>
                <w:highlight w:val="none"/>
                <w:lang w:eastAsia="zh-CN"/>
              </w:rPr>
            </w:pPr>
            <w:r>
              <w:rPr>
                <w:rFonts w:hint="eastAsia" w:ascii="宋体" w:hAnsi="宋体"/>
                <w:color w:val="auto"/>
                <w:szCs w:val="21"/>
                <w:highlight w:val="none"/>
              </w:rPr>
              <w:t>c.投标文件组成齐全完整，内容均按规定填写</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lang w:eastAsia="zh-CN"/>
              </w:rPr>
              <w:br w:type="textWrapping"/>
            </w:r>
            <w:r>
              <w:rPr>
                <w:rFonts w:hint="eastAsia" w:ascii="宋体" w:hAnsi="宋体" w:eastAsia="宋体"/>
                <w:color w:val="auto"/>
                <w:szCs w:val="21"/>
                <w:highlight w:val="none"/>
                <w:lang w:val="en-US" w:eastAsia="zh-CN"/>
              </w:rPr>
              <w:t>d.</w:t>
            </w:r>
            <w:r>
              <w:rPr>
                <w:rFonts w:hint="eastAsia" w:ascii="宋体" w:hAnsi="宋体" w:eastAsia="宋体"/>
                <w:color w:val="auto"/>
                <w:szCs w:val="21"/>
                <w:highlight w:val="none"/>
                <w:lang w:eastAsia="zh-CN"/>
              </w:rPr>
              <w:t>因电子招标文件、电子投标文件模板引起的格式偏差不作为否决投标依据。</w:t>
            </w:r>
          </w:p>
          <w:p w14:paraId="71D08CDB">
            <w:pPr>
              <w:pStyle w:val="9"/>
              <w:keepNext w:val="0"/>
              <w:keepLines w:val="0"/>
              <w:pageBreakBefore w:val="0"/>
              <w:widowControl w:val="0"/>
              <w:kinsoku/>
              <w:wordWrap/>
              <w:overflowPunct/>
              <w:topLinePunct w:val="0"/>
              <w:autoSpaceDE/>
              <w:autoSpaceDN/>
              <w:bidi w:val="0"/>
              <w:adjustRightInd/>
              <w:snapToGrid/>
              <w:spacing w:line="370" w:lineRule="exact"/>
              <w:jc w:val="left"/>
              <w:textAlignment w:val="auto"/>
              <w:rPr>
                <w:rFonts w:hint="eastAsia" w:ascii="宋体" w:hAnsi="宋体"/>
                <w:color w:val="auto"/>
                <w:szCs w:val="21"/>
                <w:highlight w:val="none"/>
              </w:rPr>
            </w:pPr>
            <w:r>
              <w:rPr>
                <w:rFonts w:hint="eastAsia" w:ascii="宋体" w:hAnsi="宋体"/>
                <w:color w:val="auto"/>
                <w:szCs w:val="21"/>
                <w:highlight w:val="none"/>
              </w:rPr>
              <w:t>(2)投标文件</w:t>
            </w:r>
            <w:r>
              <w:rPr>
                <w:rFonts w:hint="eastAsia" w:ascii="宋体" w:hAnsi="宋体" w:eastAsia="宋体"/>
                <w:color w:val="auto"/>
                <w:szCs w:val="21"/>
                <w:highlight w:val="none"/>
                <w:lang w:val="en-US" w:eastAsia="zh-CN"/>
              </w:rPr>
              <w:t>第一信封</w:t>
            </w:r>
            <w:r>
              <w:rPr>
                <w:rFonts w:hint="eastAsia" w:ascii="宋体" w:hAnsi="宋体"/>
                <w:color w:val="auto"/>
                <w:szCs w:val="21"/>
                <w:highlight w:val="none"/>
              </w:rPr>
              <w:t>中法定代表人电子章、投标人的单位电子公章盖章齐全，符合招标文件规定。</w:t>
            </w:r>
          </w:p>
          <w:p w14:paraId="7E28F096">
            <w:pPr>
              <w:pStyle w:val="9"/>
              <w:keepNext w:val="0"/>
              <w:keepLines w:val="0"/>
              <w:pageBreakBefore w:val="0"/>
              <w:widowControl w:val="0"/>
              <w:kinsoku/>
              <w:wordWrap/>
              <w:overflowPunct/>
              <w:topLinePunct w:val="0"/>
              <w:autoSpaceDE/>
              <w:autoSpaceDN/>
              <w:bidi w:val="0"/>
              <w:adjustRightInd/>
              <w:snapToGrid/>
              <w:spacing w:line="370" w:lineRule="exact"/>
              <w:jc w:val="left"/>
              <w:textAlignment w:val="auto"/>
              <w:rPr>
                <w:rFonts w:hint="eastAsia" w:ascii="宋体" w:hAnsi="宋体"/>
                <w:color w:val="auto"/>
                <w:szCs w:val="21"/>
                <w:highlight w:val="none"/>
              </w:rPr>
            </w:pPr>
            <w:r>
              <w:rPr>
                <w:rFonts w:hint="eastAsia" w:ascii="宋体" w:hAnsi="宋体"/>
                <w:color w:val="auto"/>
                <w:szCs w:val="21"/>
                <w:highlight w:val="none"/>
              </w:rPr>
              <w:t>(3)投标人按照招标文件的规定提供了投标保证金。</w:t>
            </w:r>
          </w:p>
          <w:p w14:paraId="325E801E">
            <w:pPr>
              <w:pStyle w:val="9"/>
              <w:keepNext w:val="0"/>
              <w:keepLines w:val="0"/>
              <w:pageBreakBefore w:val="0"/>
              <w:widowControl w:val="0"/>
              <w:kinsoku/>
              <w:wordWrap/>
              <w:overflowPunct/>
              <w:topLinePunct w:val="0"/>
              <w:autoSpaceDE/>
              <w:autoSpaceDN/>
              <w:bidi w:val="0"/>
              <w:adjustRightInd/>
              <w:snapToGrid/>
              <w:spacing w:line="370" w:lineRule="exact"/>
              <w:jc w:val="left"/>
              <w:textAlignment w:val="auto"/>
              <w:rPr>
                <w:rFonts w:hint="eastAsia" w:ascii="宋体" w:hAnsi="宋体"/>
                <w:color w:val="auto"/>
                <w:szCs w:val="21"/>
                <w:highlight w:val="none"/>
              </w:rPr>
            </w:pPr>
            <w:r>
              <w:rPr>
                <w:rFonts w:hint="eastAsia" w:ascii="宋体" w:hAnsi="宋体"/>
                <w:color w:val="auto"/>
                <w:szCs w:val="21"/>
                <w:highlight w:val="none"/>
              </w:rPr>
              <w:t>(4)投标人法定代表人授权委托代理人</w:t>
            </w:r>
            <w:r>
              <w:rPr>
                <w:rFonts w:hint="eastAsia" w:ascii="宋体" w:hAnsi="宋体" w:eastAsia="宋体"/>
                <w:color w:val="auto"/>
                <w:szCs w:val="21"/>
                <w:highlight w:val="none"/>
                <w:lang w:val="en-US" w:eastAsia="zh-CN"/>
              </w:rPr>
              <w:t>递交</w:t>
            </w:r>
            <w:r>
              <w:rPr>
                <w:rFonts w:hint="eastAsia" w:ascii="宋体" w:hAnsi="宋体"/>
                <w:color w:val="auto"/>
                <w:szCs w:val="21"/>
                <w:highlight w:val="none"/>
              </w:rPr>
              <w:t>投标文件的，</w:t>
            </w:r>
            <w:r>
              <w:rPr>
                <w:rFonts w:hint="eastAsia" w:ascii="宋体" w:hAnsi="宋体" w:eastAsia="宋体"/>
                <w:color w:val="auto"/>
                <w:szCs w:val="21"/>
                <w:highlight w:val="none"/>
                <w:lang w:val="en-US" w:eastAsia="zh-CN"/>
              </w:rPr>
              <w:t>须</w:t>
            </w:r>
            <w:r>
              <w:rPr>
                <w:rFonts w:hint="eastAsia" w:ascii="宋体" w:hAnsi="宋体"/>
                <w:color w:val="auto"/>
                <w:szCs w:val="21"/>
                <w:highlight w:val="none"/>
              </w:rPr>
              <w:t>提交</w:t>
            </w:r>
            <w:r>
              <w:rPr>
                <w:rFonts w:hint="eastAsia" w:ascii="宋体" w:hAnsi="宋体" w:eastAsia="宋体"/>
                <w:color w:val="auto"/>
                <w:szCs w:val="21"/>
                <w:highlight w:val="none"/>
                <w:lang w:val="en-US" w:eastAsia="zh-CN"/>
              </w:rPr>
              <w:t>附有法定代表人身份证明的</w:t>
            </w:r>
            <w:r>
              <w:rPr>
                <w:rFonts w:hint="eastAsia" w:ascii="宋体" w:hAnsi="宋体"/>
                <w:color w:val="auto"/>
                <w:szCs w:val="21"/>
                <w:highlight w:val="none"/>
              </w:rPr>
              <w:t>授权委托书（无需公证），且</w:t>
            </w:r>
            <w:r>
              <w:rPr>
                <w:rFonts w:hint="eastAsia" w:ascii="宋体" w:hAnsi="宋体" w:eastAsia="宋体"/>
                <w:color w:val="auto"/>
                <w:szCs w:val="21"/>
                <w:highlight w:val="none"/>
                <w:lang w:val="en-US" w:eastAsia="zh-CN"/>
              </w:rPr>
              <w:t>法定代表人电子章、投标人的单位电子公章盖章齐全，符合招标文件规定</w:t>
            </w:r>
            <w:r>
              <w:rPr>
                <w:rFonts w:hint="eastAsia" w:ascii="宋体" w:hAnsi="宋体"/>
                <w:color w:val="auto"/>
                <w:szCs w:val="21"/>
                <w:highlight w:val="none"/>
              </w:rPr>
              <w:t>。</w:t>
            </w:r>
          </w:p>
          <w:p w14:paraId="4362168B">
            <w:pPr>
              <w:pStyle w:val="9"/>
              <w:keepNext w:val="0"/>
              <w:keepLines w:val="0"/>
              <w:pageBreakBefore w:val="0"/>
              <w:widowControl w:val="0"/>
              <w:kinsoku/>
              <w:wordWrap/>
              <w:overflowPunct/>
              <w:topLinePunct w:val="0"/>
              <w:autoSpaceDE/>
              <w:autoSpaceDN/>
              <w:bidi w:val="0"/>
              <w:adjustRightInd/>
              <w:snapToGrid/>
              <w:spacing w:line="370" w:lineRule="exact"/>
              <w:jc w:val="left"/>
              <w:textAlignment w:val="auto"/>
              <w:rPr>
                <w:rFonts w:hint="eastAsia" w:ascii="宋体" w:hAnsi="宋体" w:eastAsia="Times New Roman" w:cs="Times New Roman"/>
                <w:color w:val="auto"/>
                <w:szCs w:val="21"/>
                <w:highlight w:val="none"/>
              </w:rPr>
            </w:pPr>
            <w:r>
              <w:rPr>
                <w:rFonts w:hint="eastAsia" w:ascii="宋体" w:hAnsi="宋体"/>
                <w:color w:val="auto"/>
                <w:szCs w:val="21"/>
                <w:highlight w:val="none"/>
              </w:rPr>
              <w:t>(5)投标人法定代表人若亲自</w:t>
            </w:r>
            <w:r>
              <w:rPr>
                <w:rFonts w:hint="eastAsia" w:ascii="宋体" w:hAnsi="宋体" w:eastAsia="宋体"/>
                <w:color w:val="auto"/>
                <w:szCs w:val="21"/>
                <w:highlight w:val="none"/>
                <w:lang w:val="en-US" w:eastAsia="zh-CN"/>
              </w:rPr>
              <w:t>递交</w:t>
            </w:r>
            <w:r>
              <w:rPr>
                <w:rFonts w:hint="eastAsia" w:ascii="宋体" w:hAnsi="宋体"/>
                <w:color w:val="auto"/>
                <w:szCs w:val="21"/>
                <w:highlight w:val="none"/>
              </w:rPr>
              <w:t>投标文件的，提供了法定代表人身份证明（无需公证），且</w:t>
            </w:r>
            <w:r>
              <w:rPr>
                <w:rFonts w:hint="eastAsia" w:ascii="宋体" w:hAnsi="宋体" w:eastAsia="宋体"/>
                <w:color w:val="auto"/>
                <w:szCs w:val="21"/>
                <w:highlight w:val="none"/>
                <w:lang w:val="en-US" w:eastAsia="zh-CN"/>
              </w:rPr>
              <w:t>法定代表人电子章、投标人的单位电子公章盖章齐全，符合招标文</w:t>
            </w:r>
            <w:r>
              <w:rPr>
                <w:rFonts w:hint="eastAsia" w:ascii="宋体" w:hAnsi="宋体" w:eastAsia="Times New Roman" w:cs="Times New Roman"/>
                <w:color w:val="auto"/>
                <w:szCs w:val="21"/>
                <w:highlight w:val="none"/>
                <w:lang w:val="en-US" w:eastAsia="zh-CN"/>
              </w:rPr>
              <w:t>件规定</w:t>
            </w:r>
            <w:r>
              <w:rPr>
                <w:rFonts w:hint="eastAsia" w:ascii="宋体" w:hAnsi="宋体" w:eastAsia="Times New Roman" w:cs="Times New Roman"/>
                <w:color w:val="auto"/>
                <w:szCs w:val="21"/>
                <w:highlight w:val="none"/>
              </w:rPr>
              <w:t>。</w:t>
            </w:r>
          </w:p>
          <w:p w14:paraId="329929BE">
            <w:pPr>
              <w:pStyle w:val="9"/>
              <w:keepNext w:val="0"/>
              <w:keepLines w:val="0"/>
              <w:pageBreakBefore w:val="0"/>
              <w:widowControl w:val="0"/>
              <w:kinsoku/>
              <w:wordWrap/>
              <w:overflowPunct/>
              <w:topLinePunct w:val="0"/>
              <w:autoSpaceDE/>
              <w:autoSpaceDN/>
              <w:bidi w:val="0"/>
              <w:adjustRightInd/>
              <w:snapToGrid/>
              <w:spacing w:line="370" w:lineRule="exact"/>
              <w:jc w:val="left"/>
              <w:textAlignment w:val="auto"/>
              <w:rPr>
                <w:rFonts w:hint="eastAsia" w:ascii="宋体" w:hAnsi="宋体" w:eastAsia="Times New Roman" w:cs="Times New Roman"/>
                <w:color w:val="auto"/>
                <w:szCs w:val="21"/>
                <w:highlight w:val="none"/>
              </w:rPr>
            </w:pPr>
            <w:r>
              <w:rPr>
                <w:rFonts w:hint="eastAsia" w:ascii="宋体" w:hAnsi="宋体" w:eastAsia="Times New Roman" w:cs="Times New Roman"/>
                <w:color w:val="auto"/>
                <w:szCs w:val="21"/>
                <w:highlight w:val="none"/>
              </w:rPr>
              <w:t>(6)</w:t>
            </w:r>
            <w:r>
              <w:rPr>
                <w:rFonts w:hint="eastAsia" w:ascii="宋体" w:hAnsi="宋体" w:eastAsia="Times New Roman" w:cs="Times New Roman"/>
                <w:color w:val="auto"/>
                <w:szCs w:val="21"/>
                <w:highlight w:val="none"/>
                <w:lang w:val="en-US" w:eastAsia="zh-CN"/>
              </w:rPr>
              <w:t xml:space="preserve">投标人以联合体投标时，联合体协议书满足招标文件的要求，投标人按照招 </w:t>
            </w:r>
          </w:p>
          <w:p w14:paraId="2BDBAF74">
            <w:pPr>
              <w:pStyle w:val="9"/>
              <w:keepNext w:val="0"/>
              <w:keepLines w:val="0"/>
              <w:pageBreakBefore w:val="0"/>
              <w:widowControl w:val="0"/>
              <w:kinsoku/>
              <w:wordWrap/>
              <w:overflowPunct/>
              <w:topLinePunct w:val="0"/>
              <w:autoSpaceDE/>
              <w:autoSpaceDN/>
              <w:bidi w:val="0"/>
              <w:adjustRightInd/>
              <w:snapToGrid/>
              <w:spacing w:line="370" w:lineRule="exact"/>
              <w:jc w:val="left"/>
              <w:textAlignment w:val="auto"/>
              <w:rPr>
                <w:rFonts w:hint="eastAsia" w:ascii="宋体" w:hAnsi="宋体" w:eastAsia="Times New Roman" w:cs="Times New Roman"/>
                <w:color w:val="auto"/>
                <w:szCs w:val="21"/>
                <w:highlight w:val="none"/>
              </w:rPr>
            </w:pPr>
            <w:r>
              <w:rPr>
                <w:rFonts w:hint="eastAsia" w:ascii="宋体" w:hAnsi="宋体" w:eastAsia="Times New Roman" w:cs="Times New Roman"/>
                <w:color w:val="auto"/>
                <w:szCs w:val="21"/>
                <w:highlight w:val="none"/>
                <w:lang w:val="en-US" w:eastAsia="zh-CN"/>
              </w:rPr>
              <w:t>标文件提供的格式签订了联合体协议书，并明确了联合体牵头人。</w:t>
            </w:r>
          </w:p>
          <w:p w14:paraId="7235310A">
            <w:pPr>
              <w:pStyle w:val="9"/>
              <w:keepNext w:val="0"/>
              <w:keepLines w:val="0"/>
              <w:pageBreakBefore w:val="0"/>
              <w:widowControl w:val="0"/>
              <w:kinsoku/>
              <w:wordWrap/>
              <w:overflowPunct/>
              <w:topLinePunct w:val="0"/>
              <w:autoSpaceDE/>
              <w:autoSpaceDN/>
              <w:bidi w:val="0"/>
              <w:adjustRightInd/>
              <w:snapToGrid/>
              <w:spacing w:line="370" w:lineRule="exact"/>
              <w:jc w:val="left"/>
              <w:textAlignment w:val="auto"/>
              <w:rPr>
                <w:rFonts w:hint="eastAsia" w:ascii="宋体" w:hAnsi="宋体"/>
                <w:color w:val="auto"/>
                <w:szCs w:val="21"/>
                <w:highlight w:val="none"/>
              </w:rPr>
            </w:pPr>
            <w:r>
              <w:rPr>
                <w:rFonts w:hint="eastAsia" w:ascii="宋体" w:hAnsi="宋体"/>
                <w:color w:val="auto"/>
                <w:szCs w:val="21"/>
                <w:highlight w:val="none"/>
              </w:rPr>
              <w:t>(7)同一投标人未提交两个以上不同的投标文件。</w:t>
            </w:r>
          </w:p>
          <w:p w14:paraId="2860D754">
            <w:pPr>
              <w:pStyle w:val="9"/>
              <w:keepNext w:val="0"/>
              <w:keepLines w:val="0"/>
              <w:pageBreakBefore w:val="0"/>
              <w:widowControl w:val="0"/>
              <w:kinsoku/>
              <w:wordWrap/>
              <w:overflowPunct/>
              <w:topLinePunct w:val="0"/>
              <w:autoSpaceDE/>
              <w:autoSpaceDN/>
              <w:bidi w:val="0"/>
              <w:adjustRightInd/>
              <w:snapToGrid/>
              <w:spacing w:line="370" w:lineRule="exact"/>
              <w:jc w:val="left"/>
              <w:textAlignment w:val="auto"/>
              <w:rPr>
                <w:rFonts w:hint="eastAsia"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8</w:t>
            </w:r>
            <w:r>
              <w:rPr>
                <w:rFonts w:hint="eastAsia" w:ascii="宋体" w:hAnsi="宋体"/>
                <w:color w:val="auto"/>
                <w:szCs w:val="21"/>
                <w:highlight w:val="none"/>
              </w:rPr>
              <w:t>)</w:t>
            </w:r>
            <w:r>
              <w:rPr>
                <w:rFonts w:hint="eastAsia" w:ascii="宋体" w:hAnsi="宋体" w:eastAsia="Times New Roman" w:cs="Times New Roman"/>
                <w:color w:val="auto"/>
                <w:szCs w:val="21"/>
                <w:highlight w:val="none"/>
                <w:lang w:val="en-US" w:eastAsia="zh-CN"/>
              </w:rPr>
              <w:t xml:space="preserve">投标文件中未出现有关投标报价的内容。 </w:t>
            </w:r>
          </w:p>
          <w:p w14:paraId="41AFC279">
            <w:pPr>
              <w:pStyle w:val="9"/>
              <w:keepNext w:val="0"/>
              <w:keepLines w:val="0"/>
              <w:pageBreakBefore w:val="0"/>
              <w:widowControl w:val="0"/>
              <w:kinsoku/>
              <w:wordWrap/>
              <w:overflowPunct/>
              <w:topLinePunct w:val="0"/>
              <w:autoSpaceDE/>
              <w:autoSpaceDN/>
              <w:bidi w:val="0"/>
              <w:adjustRightInd/>
              <w:snapToGrid/>
              <w:spacing w:line="370" w:lineRule="exact"/>
              <w:jc w:val="left"/>
              <w:textAlignment w:val="auto"/>
              <w:rPr>
                <w:rFonts w:hint="eastAsia" w:ascii="宋体" w:hAnsi="宋体"/>
                <w:color w:val="auto"/>
                <w:szCs w:val="21"/>
                <w:highlight w:val="none"/>
              </w:rPr>
            </w:pPr>
            <w:r>
              <w:rPr>
                <w:rFonts w:hint="eastAsia" w:ascii="宋体" w:hAnsi="宋体"/>
                <w:color w:val="auto"/>
                <w:szCs w:val="21"/>
                <w:highlight w:val="none"/>
              </w:rPr>
              <w:t>(</w:t>
            </w:r>
            <w:r>
              <w:rPr>
                <w:rFonts w:hint="eastAsia" w:ascii="宋体" w:hAnsi="宋体" w:eastAsia="宋体"/>
                <w:color w:val="auto"/>
                <w:szCs w:val="21"/>
                <w:highlight w:val="none"/>
                <w:lang w:val="en-US" w:eastAsia="zh-CN"/>
              </w:rPr>
              <w:t>9</w:t>
            </w:r>
            <w:r>
              <w:rPr>
                <w:rFonts w:hint="eastAsia" w:ascii="宋体" w:hAnsi="宋体"/>
                <w:color w:val="auto"/>
                <w:szCs w:val="21"/>
                <w:highlight w:val="none"/>
              </w:rPr>
              <w:t>)投标文件载明的招标项目完成期限未超过招标文件规定的时限。</w:t>
            </w:r>
          </w:p>
          <w:p w14:paraId="2FDAE2CE">
            <w:pPr>
              <w:pStyle w:val="9"/>
              <w:keepNext w:val="0"/>
              <w:keepLines w:val="0"/>
              <w:pageBreakBefore w:val="0"/>
              <w:widowControl w:val="0"/>
              <w:kinsoku/>
              <w:wordWrap/>
              <w:overflowPunct/>
              <w:topLinePunct w:val="0"/>
              <w:autoSpaceDE/>
              <w:autoSpaceDN/>
              <w:bidi w:val="0"/>
              <w:adjustRightInd/>
              <w:snapToGrid/>
              <w:spacing w:line="370" w:lineRule="exact"/>
              <w:jc w:val="left"/>
              <w:textAlignment w:val="auto"/>
              <w:rPr>
                <w:rFonts w:hint="eastAsia" w:ascii="宋体" w:hAnsi="宋体"/>
                <w:color w:val="auto"/>
                <w:szCs w:val="21"/>
                <w:highlight w:val="none"/>
              </w:rPr>
            </w:pPr>
            <w:r>
              <w:rPr>
                <w:rFonts w:hint="eastAsia" w:ascii="宋体" w:hAnsi="宋体"/>
                <w:color w:val="auto"/>
                <w:szCs w:val="21"/>
                <w:highlight w:val="none"/>
              </w:rPr>
              <w:t>(1</w:t>
            </w:r>
            <w:r>
              <w:rPr>
                <w:rFonts w:hint="eastAsia" w:ascii="宋体" w:hAnsi="宋体" w:eastAsia="宋体"/>
                <w:color w:val="auto"/>
                <w:szCs w:val="21"/>
                <w:highlight w:val="none"/>
                <w:lang w:val="en-US" w:eastAsia="zh-CN"/>
              </w:rPr>
              <w:t>0</w:t>
            </w:r>
            <w:r>
              <w:rPr>
                <w:rFonts w:hint="eastAsia" w:ascii="宋体" w:hAnsi="宋体"/>
                <w:color w:val="auto"/>
                <w:szCs w:val="21"/>
                <w:highlight w:val="none"/>
              </w:rPr>
              <w:t>)投标文件对招标文件的实质性要求和条件作出响应。</w:t>
            </w:r>
          </w:p>
          <w:p w14:paraId="466BD73D">
            <w:pPr>
              <w:pStyle w:val="9"/>
              <w:keepNext w:val="0"/>
              <w:keepLines w:val="0"/>
              <w:pageBreakBefore w:val="0"/>
              <w:widowControl w:val="0"/>
              <w:kinsoku/>
              <w:wordWrap/>
              <w:overflowPunct/>
              <w:topLinePunct w:val="0"/>
              <w:autoSpaceDE/>
              <w:autoSpaceDN/>
              <w:bidi w:val="0"/>
              <w:adjustRightInd/>
              <w:snapToGrid/>
              <w:spacing w:line="370" w:lineRule="exact"/>
              <w:jc w:val="left"/>
              <w:textAlignment w:val="auto"/>
              <w:rPr>
                <w:rFonts w:hint="eastAsia" w:ascii="宋体" w:hAnsi="宋体"/>
                <w:color w:val="auto"/>
                <w:szCs w:val="21"/>
                <w:highlight w:val="none"/>
              </w:rPr>
            </w:pPr>
            <w:r>
              <w:rPr>
                <w:rFonts w:hint="eastAsia" w:ascii="宋体" w:hAnsi="宋体"/>
                <w:color w:val="auto"/>
                <w:szCs w:val="21"/>
                <w:highlight w:val="none"/>
              </w:rPr>
              <w:t>(1</w:t>
            </w:r>
            <w:r>
              <w:rPr>
                <w:rFonts w:hint="eastAsia" w:ascii="宋体" w:hAnsi="宋体" w:eastAsia="宋体"/>
                <w:color w:val="auto"/>
                <w:szCs w:val="21"/>
                <w:highlight w:val="none"/>
                <w:lang w:val="en-US" w:eastAsia="zh-CN"/>
              </w:rPr>
              <w:t>1</w:t>
            </w:r>
            <w:r>
              <w:rPr>
                <w:rFonts w:hint="eastAsia" w:ascii="宋体" w:hAnsi="宋体"/>
                <w:color w:val="auto"/>
                <w:szCs w:val="21"/>
                <w:highlight w:val="none"/>
              </w:rPr>
              <w:t>)权利义务符合招标文件规定：</w:t>
            </w:r>
          </w:p>
          <w:p w14:paraId="1AB6ACFC">
            <w:pPr>
              <w:pStyle w:val="9"/>
              <w:keepNext w:val="0"/>
              <w:keepLines w:val="0"/>
              <w:pageBreakBefore w:val="0"/>
              <w:widowControl w:val="0"/>
              <w:kinsoku/>
              <w:wordWrap/>
              <w:overflowPunct/>
              <w:topLinePunct w:val="0"/>
              <w:autoSpaceDE/>
              <w:autoSpaceDN/>
              <w:bidi w:val="0"/>
              <w:adjustRightInd/>
              <w:snapToGrid/>
              <w:spacing w:line="370" w:lineRule="exact"/>
              <w:jc w:val="left"/>
              <w:textAlignment w:val="auto"/>
              <w:rPr>
                <w:rFonts w:hint="eastAsia" w:ascii="宋体" w:hAnsi="宋体"/>
                <w:color w:val="auto"/>
                <w:szCs w:val="21"/>
                <w:highlight w:val="none"/>
              </w:rPr>
            </w:pPr>
            <w:r>
              <w:rPr>
                <w:rFonts w:hint="eastAsia" w:ascii="宋体" w:hAnsi="宋体"/>
                <w:color w:val="auto"/>
                <w:szCs w:val="21"/>
                <w:highlight w:val="none"/>
              </w:rPr>
              <w:t>a</w:t>
            </w:r>
            <w:r>
              <w:rPr>
                <w:rFonts w:hint="eastAsia" w:ascii="宋体" w:hAnsi="宋体" w:eastAsia="宋体"/>
                <w:color w:val="auto"/>
                <w:szCs w:val="21"/>
                <w:highlight w:val="none"/>
                <w:lang w:val="en-US" w:eastAsia="zh-CN"/>
              </w:rPr>
              <w:t>.</w:t>
            </w:r>
            <w:r>
              <w:rPr>
                <w:rFonts w:hint="eastAsia" w:ascii="宋体" w:hAnsi="宋体"/>
                <w:color w:val="auto"/>
                <w:szCs w:val="21"/>
                <w:highlight w:val="none"/>
              </w:rPr>
              <w:t>投标人应接受招标文件规定的风险划分原则，未提出新的风险划分办法；</w:t>
            </w:r>
          </w:p>
          <w:p w14:paraId="08D4823C">
            <w:pPr>
              <w:pStyle w:val="9"/>
              <w:keepNext w:val="0"/>
              <w:keepLines w:val="0"/>
              <w:pageBreakBefore w:val="0"/>
              <w:widowControl w:val="0"/>
              <w:kinsoku/>
              <w:wordWrap/>
              <w:overflowPunct/>
              <w:topLinePunct w:val="0"/>
              <w:autoSpaceDE/>
              <w:autoSpaceDN/>
              <w:bidi w:val="0"/>
              <w:adjustRightInd/>
              <w:snapToGrid/>
              <w:spacing w:line="370" w:lineRule="exact"/>
              <w:jc w:val="left"/>
              <w:textAlignment w:val="auto"/>
              <w:rPr>
                <w:rFonts w:hint="eastAsia" w:ascii="宋体" w:hAnsi="宋体"/>
                <w:color w:val="auto"/>
                <w:szCs w:val="21"/>
                <w:highlight w:val="none"/>
              </w:rPr>
            </w:pPr>
            <w:r>
              <w:rPr>
                <w:rFonts w:hint="eastAsia" w:ascii="宋体" w:hAnsi="宋体"/>
                <w:color w:val="auto"/>
                <w:szCs w:val="21"/>
                <w:highlight w:val="none"/>
              </w:rPr>
              <w:t>b</w:t>
            </w:r>
            <w:r>
              <w:rPr>
                <w:rFonts w:hint="eastAsia" w:ascii="宋体" w:hAnsi="宋体" w:eastAsia="宋体"/>
                <w:color w:val="auto"/>
                <w:szCs w:val="21"/>
                <w:highlight w:val="none"/>
                <w:lang w:val="en-US" w:eastAsia="zh-CN"/>
              </w:rPr>
              <w:t>.</w:t>
            </w:r>
            <w:r>
              <w:rPr>
                <w:rFonts w:hint="eastAsia" w:ascii="宋体" w:hAnsi="宋体"/>
                <w:color w:val="auto"/>
                <w:szCs w:val="21"/>
                <w:highlight w:val="none"/>
              </w:rPr>
              <w:t>投标人未增加发包人的责任范围，或减少投标人义务；</w:t>
            </w:r>
          </w:p>
          <w:p w14:paraId="2B8DD5D3">
            <w:pPr>
              <w:pStyle w:val="9"/>
              <w:keepNext w:val="0"/>
              <w:keepLines w:val="0"/>
              <w:pageBreakBefore w:val="0"/>
              <w:widowControl w:val="0"/>
              <w:kinsoku/>
              <w:wordWrap/>
              <w:overflowPunct/>
              <w:topLinePunct w:val="0"/>
              <w:autoSpaceDE/>
              <w:autoSpaceDN/>
              <w:bidi w:val="0"/>
              <w:adjustRightInd/>
              <w:snapToGrid/>
              <w:spacing w:line="370" w:lineRule="exact"/>
              <w:jc w:val="left"/>
              <w:textAlignment w:val="auto"/>
              <w:rPr>
                <w:rFonts w:hint="eastAsia" w:ascii="宋体" w:hAnsi="宋体"/>
                <w:color w:val="auto"/>
                <w:szCs w:val="21"/>
                <w:highlight w:val="none"/>
              </w:rPr>
            </w:pPr>
            <w:r>
              <w:rPr>
                <w:rFonts w:hint="eastAsia" w:ascii="宋体" w:hAnsi="宋体"/>
                <w:color w:val="auto"/>
                <w:szCs w:val="21"/>
                <w:highlight w:val="none"/>
              </w:rPr>
              <w:t>c</w:t>
            </w:r>
            <w:r>
              <w:rPr>
                <w:rFonts w:hint="eastAsia" w:ascii="宋体" w:hAnsi="宋体" w:eastAsia="宋体"/>
                <w:color w:val="auto"/>
                <w:szCs w:val="21"/>
                <w:highlight w:val="none"/>
                <w:lang w:val="en-US" w:eastAsia="zh-CN"/>
              </w:rPr>
              <w:t>.</w:t>
            </w:r>
            <w:r>
              <w:rPr>
                <w:rFonts w:hint="eastAsia" w:ascii="宋体" w:hAnsi="宋体"/>
                <w:color w:val="auto"/>
                <w:szCs w:val="21"/>
                <w:highlight w:val="none"/>
              </w:rPr>
              <w:t>投标人未提出不同的工程验收、计量、支付办法；</w:t>
            </w:r>
          </w:p>
          <w:p w14:paraId="3CAC469F">
            <w:pPr>
              <w:pStyle w:val="9"/>
              <w:keepNext w:val="0"/>
              <w:keepLines w:val="0"/>
              <w:pageBreakBefore w:val="0"/>
              <w:widowControl w:val="0"/>
              <w:kinsoku/>
              <w:wordWrap/>
              <w:overflowPunct/>
              <w:topLinePunct w:val="0"/>
              <w:autoSpaceDE/>
              <w:autoSpaceDN/>
              <w:bidi w:val="0"/>
              <w:adjustRightInd/>
              <w:snapToGrid/>
              <w:spacing w:line="370" w:lineRule="exact"/>
              <w:jc w:val="left"/>
              <w:textAlignment w:val="auto"/>
              <w:rPr>
                <w:rFonts w:hint="eastAsia" w:ascii="宋体" w:hAnsi="宋体"/>
                <w:color w:val="auto"/>
                <w:szCs w:val="21"/>
                <w:highlight w:val="none"/>
              </w:rPr>
            </w:pPr>
            <w:r>
              <w:rPr>
                <w:rFonts w:hint="eastAsia" w:ascii="宋体" w:hAnsi="宋体"/>
                <w:color w:val="auto"/>
                <w:szCs w:val="21"/>
                <w:highlight w:val="none"/>
              </w:rPr>
              <w:t>d投标人对合同纠纷、事故处理办法未提出异议；</w:t>
            </w:r>
          </w:p>
          <w:p w14:paraId="31476B13">
            <w:pPr>
              <w:pStyle w:val="9"/>
              <w:keepNext w:val="0"/>
              <w:keepLines w:val="0"/>
              <w:pageBreakBefore w:val="0"/>
              <w:widowControl w:val="0"/>
              <w:kinsoku/>
              <w:wordWrap/>
              <w:overflowPunct/>
              <w:topLinePunct w:val="0"/>
              <w:autoSpaceDE/>
              <w:autoSpaceDN/>
              <w:bidi w:val="0"/>
              <w:adjustRightInd/>
              <w:snapToGrid/>
              <w:spacing w:line="370" w:lineRule="exact"/>
              <w:jc w:val="left"/>
              <w:textAlignment w:val="auto"/>
              <w:rPr>
                <w:rFonts w:hint="eastAsia" w:ascii="宋体" w:hAnsi="宋体"/>
                <w:color w:val="auto"/>
                <w:szCs w:val="21"/>
                <w:highlight w:val="none"/>
              </w:rPr>
            </w:pPr>
            <w:r>
              <w:rPr>
                <w:rFonts w:hint="eastAsia" w:ascii="宋体" w:hAnsi="宋体"/>
                <w:color w:val="auto"/>
                <w:szCs w:val="21"/>
                <w:highlight w:val="none"/>
              </w:rPr>
              <w:t>e</w:t>
            </w:r>
            <w:r>
              <w:rPr>
                <w:rFonts w:hint="eastAsia" w:ascii="宋体" w:hAnsi="宋体" w:eastAsia="宋体"/>
                <w:color w:val="auto"/>
                <w:szCs w:val="21"/>
                <w:highlight w:val="none"/>
                <w:lang w:val="en-US" w:eastAsia="zh-CN"/>
              </w:rPr>
              <w:t>.</w:t>
            </w:r>
            <w:r>
              <w:rPr>
                <w:rFonts w:hint="eastAsia" w:ascii="宋体" w:hAnsi="宋体"/>
                <w:color w:val="auto"/>
                <w:szCs w:val="21"/>
                <w:highlight w:val="none"/>
              </w:rPr>
              <w:t>投标人在投标活动中无欺诈行为；</w:t>
            </w:r>
          </w:p>
          <w:p w14:paraId="70C26673">
            <w:pPr>
              <w:pStyle w:val="9"/>
              <w:keepNext w:val="0"/>
              <w:keepLines w:val="0"/>
              <w:pageBreakBefore w:val="0"/>
              <w:widowControl w:val="0"/>
              <w:kinsoku/>
              <w:wordWrap/>
              <w:overflowPunct/>
              <w:topLinePunct w:val="0"/>
              <w:autoSpaceDE/>
              <w:autoSpaceDN/>
              <w:bidi w:val="0"/>
              <w:adjustRightInd/>
              <w:snapToGrid/>
              <w:spacing w:line="370" w:lineRule="exact"/>
              <w:jc w:val="left"/>
              <w:textAlignment w:val="auto"/>
              <w:rPr>
                <w:rFonts w:hint="eastAsia" w:ascii="宋体" w:hAnsi="宋体"/>
                <w:color w:val="auto"/>
                <w:szCs w:val="21"/>
                <w:highlight w:val="none"/>
              </w:rPr>
            </w:pPr>
            <w:r>
              <w:rPr>
                <w:rFonts w:hint="eastAsia" w:ascii="宋体" w:hAnsi="宋体"/>
                <w:color w:val="auto"/>
                <w:szCs w:val="21"/>
                <w:highlight w:val="none"/>
              </w:rPr>
              <w:t>f</w:t>
            </w:r>
            <w:r>
              <w:rPr>
                <w:rFonts w:hint="eastAsia" w:ascii="宋体" w:hAnsi="宋体" w:eastAsia="宋体"/>
                <w:color w:val="auto"/>
                <w:szCs w:val="21"/>
                <w:highlight w:val="none"/>
                <w:lang w:eastAsia="zh-CN"/>
              </w:rPr>
              <w:t>.</w:t>
            </w:r>
            <w:r>
              <w:rPr>
                <w:rFonts w:hint="eastAsia" w:ascii="宋体" w:hAnsi="宋体"/>
                <w:color w:val="auto"/>
                <w:szCs w:val="21"/>
                <w:highlight w:val="none"/>
              </w:rPr>
              <w:t>投标人未对合同条款有重要保留。</w:t>
            </w:r>
          </w:p>
          <w:p w14:paraId="2CCA5808">
            <w:pPr>
              <w:pStyle w:val="9"/>
              <w:keepNext w:val="0"/>
              <w:keepLines w:val="0"/>
              <w:pageBreakBefore w:val="0"/>
              <w:widowControl w:val="0"/>
              <w:kinsoku/>
              <w:wordWrap/>
              <w:overflowPunct/>
              <w:topLinePunct w:val="0"/>
              <w:autoSpaceDE/>
              <w:autoSpaceDN/>
              <w:bidi w:val="0"/>
              <w:adjustRightInd/>
              <w:snapToGrid/>
              <w:spacing w:line="370" w:lineRule="exact"/>
              <w:jc w:val="left"/>
              <w:textAlignment w:val="auto"/>
              <w:rPr>
                <w:rFonts w:hint="eastAsia" w:ascii="宋体" w:hAnsi="宋体"/>
                <w:color w:val="auto"/>
                <w:szCs w:val="21"/>
                <w:highlight w:val="none"/>
              </w:rPr>
            </w:pPr>
            <w:r>
              <w:rPr>
                <w:rFonts w:hint="eastAsia" w:ascii="宋体" w:hAnsi="宋体"/>
                <w:color w:val="auto"/>
                <w:szCs w:val="21"/>
                <w:highlight w:val="none"/>
              </w:rPr>
              <w:t>（1</w:t>
            </w:r>
            <w:r>
              <w:rPr>
                <w:rFonts w:hint="eastAsia" w:ascii="宋体" w:hAnsi="宋体" w:eastAsia="宋体"/>
                <w:color w:val="auto"/>
                <w:szCs w:val="21"/>
                <w:highlight w:val="none"/>
                <w:lang w:val="en-US" w:eastAsia="zh-CN"/>
              </w:rPr>
              <w:t>2</w:t>
            </w:r>
            <w:r>
              <w:rPr>
                <w:rFonts w:hint="eastAsia" w:ascii="宋体" w:hAnsi="宋体"/>
                <w:color w:val="auto"/>
                <w:szCs w:val="21"/>
                <w:highlight w:val="none"/>
              </w:rPr>
              <w:t>）人员、业绩、履约信誉证明材料真实。</w:t>
            </w:r>
          </w:p>
          <w:p w14:paraId="1570D918">
            <w:pPr>
              <w:pStyle w:val="9"/>
              <w:keepNext w:val="0"/>
              <w:keepLines w:val="0"/>
              <w:pageBreakBefore w:val="0"/>
              <w:widowControl w:val="0"/>
              <w:kinsoku/>
              <w:wordWrap/>
              <w:overflowPunct/>
              <w:topLinePunct w:val="0"/>
              <w:autoSpaceDE/>
              <w:autoSpaceDN/>
              <w:bidi w:val="0"/>
              <w:adjustRightInd/>
              <w:snapToGrid/>
              <w:spacing w:line="370" w:lineRule="exact"/>
              <w:jc w:val="left"/>
              <w:textAlignment w:val="auto"/>
              <w:rPr>
                <w:color w:val="auto"/>
                <w:highlight w:val="none"/>
              </w:rPr>
            </w:pPr>
            <w:r>
              <w:rPr>
                <w:rFonts w:hint="eastAsia" w:ascii="宋体" w:hAnsi="宋体"/>
                <w:color w:val="auto"/>
                <w:szCs w:val="21"/>
                <w:highlight w:val="none"/>
              </w:rPr>
              <w:t>（1</w:t>
            </w:r>
            <w:r>
              <w:rPr>
                <w:rFonts w:hint="eastAsia" w:ascii="宋体" w:hAnsi="宋体" w:eastAsia="宋体"/>
                <w:color w:val="auto"/>
                <w:szCs w:val="21"/>
                <w:highlight w:val="none"/>
                <w:lang w:val="en-US" w:eastAsia="zh-CN"/>
              </w:rPr>
              <w:t>3</w:t>
            </w:r>
            <w:r>
              <w:rPr>
                <w:rFonts w:hint="eastAsia" w:ascii="宋体" w:hAnsi="宋体"/>
                <w:color w:val="auto"/>
                <w:szCs w:val="21"/>
                <w:highlight w:val="none"/>
              </w:rPr>
              <w:t>）202</w:t>
            </w:r>
            <w:r>
              <w:rPr>
                <w:rFonts w:hint="eastAsia" w:ascii="宋体" w:hAnsi="宋体" w:eastAsia="宋体"/>
                <w:color w:val="auto"/>
                <w:szCs w:val="21"/>
                <w:highlight w:val="none"/>
                <w:lang w:val="en-US" w:eastAsia="zh-CN"/>
              </w:rPr>
              <w:t>5</w:t>
            </w:r>
            <w:r>
              <w:rPr>
                <w:rFonts w:hint="eastAsia" w:ascii="宋体" w:hAnsi="宋体"/>
                <w:color w:val="auto"/>
                <w:szCs w:val="21"/>
                <w:highlight w:val="none"/>
              </w:rPr>
              <w:t>年</w:t>
            </w:r>
            <w:r>
              <w:rPr>
                <w:rFonts w:hint="eastAsia" w:ascii="宋体" w:hAnsi="宋体" w:eastAsia="宋体"/>
                <w:color w:val="auto"/>
                <w:szCs w:val="21"/>
                <w:highlight w:val="none"/>
                <w:lang w:val="en-US" w:eastAsia="zh-CN"/>
              </w:rPr>
              <w:t>7</w:t>
            </w:r>
            <w:r>
              <w:rPr>
                <w:rFonts w:hint="eastAsia" w:ascii="宋体" w:hAnsi="宋体"/>
                <w:color w:val="auto"/>
                <w:szCs w:val="21"/>
                <w:highlight w:val="none"/>
              </w:rPr>
              <w:t>月1日以来，被交通运输部、浙江省交通运输厅、浙江省发展和改革委员会三部门以外的省级及以上单位（部门）书面通报限制投标，并在处罚期内的，隐瞒不报的一经查实，作否决投标处理，并视为投标人提供虚假资料，按投标人须知第3.5.</w:t>
            </w:r>
            <w:r>
              <w:rPr>
                <w:rFonts w:hint="eastAsia" w:ascii="宋体" w:hAnsi="宋体" w:eastAsia="宋体"/>
                <w:color w:val="auto"/>
                <w:szCs w:val="21"/>
                <w:highlight w:val="none"/>
                <w:lang w:val="en-US" w:eastAsia="zh-CN"/>
              </w:rPr>
              <w:t>11</w:t>
            </w:r>
            <w:r>
              <w:rPr>
                <w:rFonts w:hint="eastAsia" w:ascii="宋体" w:hAnsi="宋体"/>
                <w:color w:val="auto"/>
                <w:szCs w:val="21"/>
                <w:highlight w:val="none"/>
              </w:rPr>
              <w:t>项处理。</w:t>
            </w:r>
          </w:p>
        </w:tc>
      </w:tr>
      <w:tr w14:paraId="2A18183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461" w:hRule="atLeast"/>
        </w:trPr>
        <w:tc>
          <w:tcPr>
            <w:tcW w:w="2440" w:type="dxa"/>
            <w:gridSpan w:val="2"/>
            <w:tcBorders>
              <w:tl2br w:val="nil"/>
              <w:tr2bl w:val="nil"/>
            </w:tcBorders>
            <w:noWrap w:val="0"/>
            <w:vAlign w:val="center"/>
          </w:tcPr>
          <w:p w14:paraId="3BBCEBF1">
            <w:pPr>
              <w:pStyle w:val="9"/>
              <w:jc w:val="center"/>
              <w:rPr>
                <w:color w:val="auto"/>
                <w:highlight w:val="none"/>
              </w:rPr>
            </w:pPr>
            <w:r>
              <w:rPr>
                <w:b/>
                <w:bCs/>
                <w:color w:val="auto"/>
                <w:highlight w:val="none"/>
              </w:rPr>
              <w:t>条款号</w:t>
            </w:r>
          </w:p>
        </w:tc>
        <w:tc>
          <w:tcPr>
            <w:tcW w:w="7162" w:type="dxa"/>
            <w:gridSpan w:val="6"/>
            <w:tcBorders>
              <w:tl2br w:val="nil"/>
              <w:tr2bl w:val="nil"/>
            </w:tcBorders>
            <w:noWrap w:val="0"/>
            <w:vAlign w:val="center"/>
          </w:tcPr>
          <w:p w14:paraId="64413D65">
            <w:pPr>
              <w:pStyle w:val="9"/>
              <w:jc w:val="center"/>
              <w:rPr>
                <w:rFonts w:hint="eastAsia" w:ascii="宋体" w:hAnsi="宋体"/>
                <w:color w:val="auto"/>
                <w:szCs w:val="21"/>
                <w:highlight w:val="none"/>
              </w:rPr>
            </w:pPr>
            <w:r>
              <w:rPr>
                <w:b/>
                <w:bCs/>
                <w:color w:val="auto"/>
                <w:highlight w:val="none"/>
              </w:rPr>
              <w:t>评审因素</w:t>
            </w:r>
          </w:p>
        </w:tc>
      </w:tr>
      <w:tr w14:paraId="50CE749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879" w:hRule="atLeast"/>
        </w:trPr>
        <w:tc>
          <w:tcPr>
            <w:tcW w:w="900" w:type="dxa"/>
            <w:tcBorders>
              <w:tl2br w:val="nil"/>
              <w:tr2bl w:val="nil"/>
            </w:tcBorders>
            <w:noWrap w:val="0"/>
            <w:vAlign w:val="center"/>
          </w:tcPr>
          <w:p w14:paraId="3A8222CE">
            <w:pPr>
              <w:pStyle w:val="9"/>
              <w:jc w:val="center"/>
              <w:rPr>
                <w:color w:val="auto"/>
                <w:highlight w:val="none"/>
              </w:rPr>
            </w:pPr>
            <w:r>
              <w:rPr>
                <w:color w:val="auto"/>
                <w:highlight w:val="none"/>
              </w:rPr>
              <w:t>2.1.2</w:t>
            </w:r>
          </w:p>
        </w:tc>
        <w:tc>
          <w:tcPr>
            <w:tcW w:w="1540" w:type="dxa"/>
            <w:tcBorders>
              <w:tl2br w:val="nil"/>
              <w:tr2bl w:val="nil"/>
            </w:tcBorders>
            <w:noWrap w:val="0"/>
            <w:vAlign w:val="center"/>
          </w:tcPr>
          <w:p w14:paraId="45FB8206">
            <w:pPr>
              <w:pStyle w:val="9"/>
              <w:jc w:val="center"/>
              <w:rPr>
                <w:color w:val="auto"/>
                <w:highlight w:val="none"/>
              </w:rPr>
            </w:pPr>
            <w:r>
              <w:rPr>
                <w:color w:val="auto"/>
                <w:highlight w:val="none"/>
              </w:rPr>
              <w:t>资格评审标准</w:t>
            </w:r>
          </w:p>
        </w:tc>
        <w:tc>
          <w:tcPr>
            <w:tcW w:w="7162" w:type="dxa"/>
            <w:gridSpan w:val="6"/>
            <w:tcBorders>
              <w:tl2br w:val="nil"/>
              <w:tr2bl w:val="nil"/>
            </w:tcBorders>
            <w:noWrap w:val="0"/>
            <w:vAlign w:val="center"/>
          </w:tcPr>
          <w:p w14:paraId="42FDAD3F">
            <w:pPr>
              <w:pStyle w:val="9"/>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color w:val="auto"/>
                <w:szCs w:val="21"/>
                <w:highlight w:val="none"/>
              </w:rPr>
            </w:pPr>
            <w:r>
              <w:rPr>
                <w:rFonts w:hint="eastAsia" w:ascii="宋体" w:hAnsi="宋体"/>
                <w:color w:val="auto"/>
                <w:szCs w:val="21"/>
                <w:highlight w:val="none"/>
              </w:rPr>
              <w:t>(1)投标人具备有效的营业执照、</w:t>
            </w:r>
            <w:r>
              <w:rPr>
                <w:rFonts w:hint="eastAsia" w:ascii="宋体" w:hAnsi="宋体" w:eastAsia="宋体"/>
                <w:color w:val="auto"/>
                <w:szCs w:val="21"/>
                <w:highlight w:val="none"/>
                <w:lang w:val="en-US" w:eastAsia="zh-CN"/>
              </w:rPr>
              <w:t>组织机构代码、</w:t>
            </w:r>
            <w:r>
              <w:rPr>
                <w:rFonts w:hint="eastAsia" w:ascii="宋体" w:hAnsi="宋体"/>
                <w:color w:val="auto"/>
                <w:szCs w:val="21"/>
                <w:highlight w:val="none"/>
              </w:rPr>
              <w:t>资质证书</w:t>
            </w:r>
            <w:r>
              <w:rPr>
                <w:rFonts w:hint="eastAsia" w:ascii="宋体" w:hAnsi="宋体" w:eastAsia="Times New Roman" w:cs="Times New Roman"/>
                <w:color w:val="auto"/>
                <w:szCs w:val="21"/>
                <w:highlight w:val="none"/>
                <w:lang w:val="en-US" w:eastAsia="zh-CN"/>
              </w:rPr>
              <w:t>及</w:t>
            </w:r>
            <w:r>
              <w:rPr>
                <w:rFonts w:hint="default" w:ascii="宋体" w:hAnsi="宋体" w:eastAsia="Times New Roman" w:cs="Times New Roman"/>
                <w:color w:val="auto"/>
                <w:szCs w:val="21"/>
                <w:highlight w:val="none"/>
                <w:lang w:val="en-US" w:eastAsia="zh-CN"/>
              </w:rPr>
              <w:t>基本账户开户许可证（或银行出具的基本账户存款证明或基本存款账户信息）</w:t>
            </w:r>
            <w:r>
              <w:rPr>
                <w:rFonts w:hint="eastAsia" w:ascii="宋体" w:hAnsi="宋体"/>
                <w:color w:val="auto"/>
                <w:szCs w:val="21"/>
                <w:highlight w:val="none"/>
              </w:rPr>
              <w:t>。</w:t>
            </w:r>
          </w:p>
          <w:p w14:paraId="4263528C">
            <w:pPr>
              <w:pStyle w:val="9"/>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color w:val="auto"/>
                <w:szCs w:val="21"/>
                <w:highlight w:val="none"/>
              </w:rPr>
            </w:pPr>
            <w:r>
              <w:rPr>
                <w:rFonts w:hint="eastAsia" w:ascii="宋体" w:hAnsi="宋体"/>
                <w:color w:val="auto"/>
                <w:szCs w:val="21"/>
                <w:highlight w:val="none"/>
              </w:rPr>
              <w:t>(2)投标人的资质</w:t>
            </w:r>
            <w:r>
              <w:rPr>
                <w:rFonts w:hint="eastAsia" w:ascii="宋体" w:hAnsi="宋体" w:eastAsia="宋体"/>
                <w:color w:val="auto"/>
                <w:szCs w:val="21"/>
                <w:highlight w:val="none"/>
                <w:lang w:val="en-US" w:eastAsia="zh-CN"/>
              </w:rPr>
              <w:t>等级</w:t>
            </w:r>
            <w:r>
              <w:rPr>
                <w:rFonts w:hint="eastAsia" w:ascii="宋体" w:hAnsi="宋体"/>
                <w:color w:val="auto"/>
                <w:szCs w:val="21"/>
                <w:highlight w:val="none"/>
              </w:rPr>
              <w:t>符合招标文件规定</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lang w:val="en-US" w:eastAsia="zh-CN"/>
              </w:rPr>
              <w:t>见投标人须知附录1</w:t>
            </w:r>
            <w:r>
              <w:rPr>
                <w:rFonts w:hint="eastAsia" w:ascii="宋体" w:hAnsi="宋体" w:eastAsia="宋体"/>
                <w:color w:val="auto"/>
                <w:szCs w:val="21"/>
                <w:highlight w:val="none"/>
                <w:lang w:eastAsia="zh-CN"/>
              </w:rPr>
              <w:t>）</w:t>
            </w:r>
            <w:r>
              <w:rPr>
                <w:rFonts w:hint="eastAsia" w:ascii="宋体" w:hAnsi="宋体"/>
                <w:color w:val="auto"/>
                <w:szCs w:val="21"/>
                <w:highlight w:val="none"/>
              </w:rPr>
              <w:t>。</w:t>
            </w:r>
          </w:p>
          <w:p w14:paraId="21D00A2E">
            <w:pPr>
              <w:pStyle w:val="9"/>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color w:val="auto"/>
                <w:szCs w:val="21"/>
                <w:highlight w:val="none"/>
              </w:rPr>
            </w:pPr>
            <w:r>
              <w:rPr>
                <w:rFonts w:hint="eastAsia" w:ascii="宋体" w:hAnsi="宋体"/>
                <w:color w:val="auto"/>
                <w:szCs w:val="21"/>
                <w:highlight w:val="none"/>
              </w:rPr>
              <w:t>(3)投标人的财务状况符合招标文件规定</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lang w:val="en-US" w:eastAsia="zh-CN"/>
              </w:rPr>
              <w:t>见投标人须知附录2</w:t>
            </w:r>
            <w:r>
              <w:rPr>
                <w:rFonts w:hint="eastAsia" w:ascii="宋体" w:hAnsi="宋体" w:eastAsia="宋体"/>
                <w:color w:val="auto"/>
                <w:szCs w:val="21"/>
                <w:highlight w:val="none"/>
                <w:lang w:eastAsia="zh-CN"/>
              </w:rPr>
              <w:t>）</w:t>
            </w:r>
            <w:r>
              <w:rPr>
                <w:rFonts w:hint="eastAsia" w:ascii="宋体" w:hAnsi="宋体"/>
                <w:color w:val="auto"/>
                <w:szCs w:val="21"/>
                <w:highlight w:val="none"/>
              </w:rPr>
              <w:t>。</w:t>
            </w:r>
          </w:p>
          <w:p w14:paraId="65C390F2">
            <w:pPr>
              <w:pStyle w:val="9"/>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color w:val="auto"/>
                <w:szCs w:val="21"/>
                <w:highlight w:val="none"/>
              </w:rPr>
            </w:pPr>
            <w:r>
              <w:rPr>
                <w:rFonts w:hint="eastAsia" w:ascii="宋体" w:hAnsi="宋体"/>
                <w:color w:val="auto"/>
                <w:szCs w:val="21"/>
                <w:highlight w:val="none"/>
              </w:rPr>
              <w:t>(4)投标人的类似项目业绩符合招标文件规定</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lang w:val="en-US" w:eastAsia="zh-CN"/>
              </w:rPr>
              <w:t>见投标人须知附录3</w:t>
            </w:r>
            <w:r>
              <w:rPr>
                <w:rFonts w:hint="eastAsia" w:ascii="宋体" w:hAnsi="宋体" w:eastAsia="宋体"/>
                <w:color w:val="auto"/>
                <w:szCs w:val="21"/>
                <w:highlight w:val="none"/>
                <w:lang w:eastAsia="zh-CN"/>
              </w:rPr>
              <w:t>）</w:t>
            </w:r>
            <w:r>
              <w:rPr>
                <w:rFonts w:hint="eastAsia" w:ascii="宋体" w:hAnsi="宋体"/>
                <w:color w:val="auto"/>
                <w:szCs w:val="21"/>
                <w:highlight w:val="none"/>
              </w:rPr>
              <w:t>。</w:t>
            </w:r>
          </w:p>
          <w:p w14:paraId="444B19B9">
            <w:pPr>
              <w:pStyle w:val="9"/>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color w:val="auto"/>
                <w:szCs w:val="21"/>
                <w:highlight w:val="none"/>
              </w:rPr>
            </w:pPr>
            <w:r>
              <w:rPr>
                <w:rFonts w:hint="eastAsia" w:ascii="宋体" w:hAnsi="宋体"/>
                <w:color w:val="auto"/>
                <w:szCs w:val="21"/>
                <w:highlight w:val="none"/>
              </w:rPr>
              <w:t>(5)投标人的信誉符合招标文件规定</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lang w:val="en-US" w:eastAsia="zh-CN"/>
              </w:rPr>
              <w:t>见投标人须知附录4</w:t>
            </w:r>
            <w:r>
              <w:rPr>
                <w:rFonts w:hint="eastAsia" w:ascii="宋体" w:hAnsi="宋体" w:eastAsia="宋体"/>
                <w:color w:val="auto"/>
                <w:szCs w:val="21"/>
                <w:highlight w:val="none"/>
                <w:lang w:eastAsia="zh-CN"/>
              </w:rPr>
              <w:t>）</w:t>
            </w:r>
            <w:r>
              <w:rPr>
                <w:rFonts w:hint="eastAsia" w:ascii="宋体" w:hAnsi="宋体"/>
                <w:color w:val="auto"/>
                <w:szCs w:val="21"/>
                <w:highlight w:val="none"/>
              </w:rPr>
              <w:t>。</w:t>
            </w:r>
          </w:p>
          <w:p w14:paraId="75435097">
            <w:pPr>
              <w:pStyle w:val="9"/>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b/>
                <w:bCs/>
                <w:color w:val="auto"/>
                <w:szCs w:val="21"/>
                <w:highlight w:val="none"/>
              </w:rPr>
            </w:pPr>
            <w:r>
              <w:rPr>
                <w:rFonts w:hint="eastAsia" w:ascii="宋体" w:hAnsi="宋体"/>
                <w:color w:val="auto"/>
                <w:szCs w:val="21"/>
                <w:highlight w:val="none"/>
              </w:rPr>
              <w:t>(6)投标人的项目经理</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lang w:val="en-US" w:eastAsia="zh-CN"/>
              </w:rPr>
              <w:t>项目技术负责人和安全负责人</w:t>
            </w:r>
            <w:r>
              <w:rPr>
                <w:rFonts w:hint="eastAsia" w:ascii="宋体" w:hAnsi="宋体"/>
                <w:color w:val="auto"/>
                <w:szCs w:val="21"/>
                <w:highlight w:val="none"/>
              </w:rPr>
              <w:t>资格</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lang w:val="en-US" w:eastAsia="zh-CN"/>
              </w:rPr>
              <w:t>项目经理在岗情况</w:t>
            </w:r>
            <w:r>
              <w:rPr>
                <w:rFonts w:hint="eastAsia" w:ascii="宋体" w:hAnsi="宋体"/>
                <w:color w:val="auto"/>
                <w:szCs w:val="21"/>
                <w:highlight w:val="none"/>
              </w:rPr>
              <w:t>符合招标文件规定</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lang w:val="en-US" w:eastAsia="zh-CN"/>
              </w:rPr>
              <w:t>见投标人须知附录</w:t>
            </w:r>
            <w:r>
              <w:rPr>
                <w:rFonts w:hint="eastAsia" w:ascii="宋体" w:hAnsi="宋体" w:eastAsia="宋体" w:cs="Times New Roman"/>
                <w:color w:val="auto"/>
                <w:szCs w:val="21"/>
                <w:highlight w:val="none"/>
                <w:lang w:val="en-US" w:eastAsia="zh-CN"/>
              </w:rPr>
              <w:t>5</w:t>
            </w:r>
            <w:r>
              <w:rPr>
                <w:rFonts w:hint="eastAsia" w:ascii="宋体" w:hAnsi="宋体" w:eastAsia="宋体" w:cs="Times New Roman"/>
                <w:color w:val="auto"/>
                <w:szCs w:val="21"/>
                <w:highlight w:val="none"/>
                <w:lang w:eastAsia="zh-CN"/>
              </w:rPr>
              <w:t>）。</w:t>
            </w:r>
          </w:p>
          <w:p w14:paraId="38932130">
            <w:pPr>
              <w:pStyle w:val="9"/>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Times New Roman" w:cs="Times New Roman"/>
                <w:color w:val="auto"/>
                <w:szCs w:val="21"/>
                <w:highlight w:val="none"/>
              </w:rPr>
            </w:pPr>
            <w:r>
              <w:rPr>
                <w:rFonts w:hint="eastAsia" w:ascii="宋体" w:hAnsi="宋体" w:eastAsia="Times New Roman" w:cs="Times New Roman"/>
                <w:color w:val="auto"/>
                <w:szCs w:val="21"/>
                <w:highlight w:val="none"/>
              </w:rPr>
              <w:t>(7)其他要求符合招标文件规定。</w:t>
            </w:r>
          </w:p>
          <w:p w14:paraId="49DBB9F1">
            <w:pPr>
              <w:pStyle w:val="9"/>
              <w:keepNext w:val="0"/>
              <w:keepLines w:val="0"/>
              <w:pageBreakBefore w:val="0"/>
              <w:widowControl w:val="0"/>
              <w:kinsoku/>
              <w:wordWrap/>
              <w:overflowPunct/>
              <w:topLinePunct w:val="0"/>
              <w:autoSpaceDE/>
              <w:autoSpaceDN/>
              <w:bidi w:val="0"/>
              <w:adjustRightInd/>
              <w:snapToGrid/>
              <w:spacing w:line="340" w:lineRule="exact"/>
              <w:textAlignment w:val="auto"/>
              <w:rPr>
                <w:color w:val="auto"/>
                <w:highlight w:val="none"/>
              </w:rPr>
            </w:pPr>
            <w:r>
              <w:rPr>
                <w:rFonts w:hint="eastAsia" w:ascii="宋体" w:hAnsi="宋体" w:eastAsia="Times New Roman" w:cs="Times New Roman"/>
                <w:color w:val="auto"/>
                <w:szCs w:val="21"/>
                <w:highlight w:val="none"/>
              </w:rPr>
              <w:t>(</w:t>
            </w:r>
            <w:r>
              <w:rPr>
                <w:rFonts w:hint="eastAsia" w:ascii="宋体" w:hAnsi="宋体" w:eastAsia="宋体" w:cs="Times New Roman"/>
                <w:color w:val="auto"/>
                <w:szCs w:val="21"/>
                <w:highlight w:val="none"/>
                <w:lang w:val="en-US" w:eastAsia="zh-CN"/>
              </w:rPr>
              <w:t>8</w:t>
            </w:r>
            <w:r>
              <w:rPr>
                <w:rFonts w:hint="eastAsia" w:ascii="宋体" w:hAnsi="宋体" w:eastAsia="Times New Roman" w:cs="Times New Roman"/>
                <w:color w:val="auto"/>
                <w:szCs w:val="21"/>
                <w:highlight w:val="none"/>
              </w:rPr>
              <w:t>)</w:t>
            </w:r>
            <w:r>
              <w:rPr>
                <w:rFonts w:hint="eastAsia" w:ascii="宋体" w:hAnsi="宋体" w:eastAsia="Times New Roman" w:cs="Times New Roman"/>
                <w:color w:val="auto"/>
                <w:szCs w:val="21"/>
                <w:highlight w:val="none"/>
                <w:lang w:val="en-US" w:eastAsia="zh-CN"/>
              </w:rPr>
              <w:t>以联合体形式参与投标的，联合体各方均未再以自己名义单独或参加其他联合体在同一标段中投标；独立参与投标的，投标人未同时参加联合体在同一标段中投标。</w:t>
            </w:r>
          </w:p>
        </w:tc>
      </w:tr>
      <w:tr w14:paraId="22F0936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900" w:type="dxa"/>
            <w:tcBorders>
              <w:tl2br w:val="nil"/>
              <w:tr2bl w:val="nil"/>
            </w:tcBorders>
            <w:noWrap w:val="0"/>
            <w:vAlign w:val="center"/>
          </w:tcPr>
          <w:p w14:paraId="6A59A5F9">
            <w:pPr>
              <w:pStyle w:val="9"/>
              <w:jc w:val="center"/>
              <w:rPr>
                <w:rFonts w:hint="default" w:eastAsia="宋体"/>
                <w:color w:val="auto"/>
                <w:highlight w:val="none"/>
                <w:lang w:val="en-US" w:eastAsia="zh-CN"/>
              </w:rPr>
            </w:pPr>
            <w:r>
              <w:rPr>
                <w:rFonts w:hint="eastAsia" w:eastAsia="宋体"/>
                <w:color w:val="auto"/>
                <w:highlight w:val="none"/>
                <w:lang w:val="en-US" w:eastAsia="zh-CN"/>
              </w:rPr>
              <w:t>2.1.3</w:t>
            </w:r>
          </w:p>
        </w:tc>
        <w:tc>
          <w:tcPr>
            <w:tcW w:w="1540" w:type="dxa"/>
            <w:tcBorders>
              <w:tl2br w:val="nil"/>
              <w:tr2bl w:val="nil"/>
            </w:tcBorders>
            <w:noWrap w:val="0"/>
            <w:vAlign w:val="center"/>
          </w:tcPr>
          <w:p w14:paraId="0416445E">
            <w:pPr>
              <w:pStyle w:val="9"/>
              <w:jc w:val="center"/>
              <w:rPr>
                <w:color w:val="auto"/>
                <w:highlight w:val="none"/>
              </w:rPr>
            </w:pPr>
            <w:r>
              <w:rPr>
                <w:rFonts w:hint="eastAsia" w:eastAsia="宋体"/>
                <w:color w:val="auto"/>
                <w:highlight w:val="none"/>
                <w:lang w:val="en-US" w:eastAsia="zh-CN"/>
              </w:rPr>
              <w:t>第二信封</w:t>
            </w:r>
            <w:r>
              <w:rPr>
                <w:color w:val="auto"/>
                <w:highlight w:val="none"/>
              </w:rPr>
              <w:t>形式评审与响应性评审标准</w:t>
            </w:r>
          </w:p>
        </w:tc>
        <w:tc>
          <w:tcPr>
            <w:tcW w:w="7162" w:type="dxa"/>
            <w:gridSpan w:val="6"/>
            <w:tcBorders>
              <w:tl2br w:val="nil"/>
              <w:tr2bl w:val="nil"/>
            </w:tcBorders>
            <w:noWrap w:val="0"/>
            <w:vAlign w:val="center"/>
          </w:tcPr>
          <w:p w14:paraId="0726ED0E">
            <w:pPr>
              <w:pStyle w:val="9"/>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Times New Roman" w:cs="Times New Roman"/>
                <w:color w:val="auto"/>
                <w:szCs w:val="21"/>
                <w:highlight w:val="none"/>
              </w:rPr>
            </w:pPr>
            <w:r>
              <w:rPr>
                <w:rFonts w:hint="eastAsia" w:ascii="宋体" w:hAnsi="宋体"/>
                <w:color w:val="auto"/>
                <w:szCs w:val="21"/>
                <w:highlight w:val="none"/>
              </w:rPr>
              <w:t>(1)</w:t>
            </w:r>
            <w:r>
              <w:rPr>
                <w:rFonts w:hint="eastAsia" w:ascii="宋体" w:hAnsi="宋体" w:eastAsia="Times New Roman" w:cs="Times New Roman"/>
                <w:color w:val="auto"/>
                <w:szCs w:val="21"/>
                <w:highlight w:val="none"/>
                <w:lang w:val="en-US" w:eastAsia="zh-CN"/>
              </w:rPr>
              <w:t xml:space="preserve">投标文件第二信封按照招标文件规定的格式、内容填写，字迹清晰可辨： </w:t>
            </w:r>
          </w:p>
          <w:p w14:paraId="70DA52D7">
            <w:pPr>
              <w:pStyle w:val="9"/>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Times New Roman" w:cs="Times New Roman"/>
                <w:color w:val="auto"/>
                <w:szCs w:val="21"/>
                <w:highlight w:val="none"/>
              </w:rPr>
            </w:pPr>
            <w:r>
              <w:rPr>
                <w:rFonts w:hint="eastAsia" w:ascii="宋体" w:hAnsi="宋体" w:eastAsia="Times New Roman" w:cs="Times New Roman"/>
                <w:color w:val="auto"/>
                <w:szCs w:val="21"/>
                <w:highlight w:val="none"/>
                <w:lang w:val="en-US" w:eastAsia="zh-CN"/>
              </w:rPr>
              <w:t xml:space="preserve">a.报价函按招标文件规定填报了项目名称、补遗书编号（如有）、投标总报价（包括大写金额和小写金额），且投标人名称与第一信封投标人名称一致； </w:t>
            </w:r>
          </w:p>
          <w:p w14:paraId="3C082603">
            <w:pPr>
              <w:pStyle w:val="9"/>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Times New Roman" w:cs="Times New Roman"/>
                <w:color w:val="auto"/>
                <w:szCs w:val="21"/>
                <w:highlight w:val="none"/>
              </w:rPr>
            </w:pPr>
            <w:r>
              <w:rPr>
                <w:rFonts w:hint="eastAsia" w:ascii="宋体" w:hAnsi="宋体" w:eastAsia="Times New Roman" w:cs="Times New Roman"/>
                <w:color w:val="auto"/>
                <w:szCs w:val="21"/>
                <w:highlight w:val="none"/>
                <w:lang w:val="en-US" w:eastAsia="zh-CN"/>
              </w:rPr>
              <w:t xml:space="preserve">b.已标价工程量清单说明文字与招标文件规定一致，未进行实质性修改和删减； </w:t>
            </w:r>
          </w:p>
          <w:p w14:paraId="186367BD">
            <w:pPr>
              <w:pStyle w:val="9"/>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Times New Roman" w:cs="Times New Roman"/>
                <w:color w:val="auto"/>
                <w:szCs w:val="21"/>
                <w:highlight w:val="none"/>
              </w:rPr>
            </w:pPr>
            <w:r>
              <w:rPr>
                <w:rFonts w:hint="eastAsia" w:ascii="宋体" w:hAnsi="宋体" w:eastAsia="Times New Roman" w:cs="Times New Roman"/>
                <w:color w:val="auto"/>
                <w:szCs w:val="21"/>
                <w:highlight w:val="none"/>
                <w:lang w:val="en-US" w:eastAsia="zh-CN"/>
              </w:rPr>
              <w:t xml:space="preserve">c.投标文件组成齐全完整，内容均按规定填写。 </w:t>
            </w:r>
          </w:p>
          <w:p w14:paraId="2CF39884">
            <w:pPr>
              <w:pStyle w:val="9"/>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Times New Roman" w:cs="Times New Roman"/>
                <w:color w:val="auto"/>
                <w:szCs w:val="21"/>
                <w:highlight w:val="none"/>
              </w:rPr>
            </w:pPr>
            <w:r>
              <w:rPr>
                <w:rFonts w:hint="eastAsia" w:ascii="宋体" w:hAnsi="宋体"/>
                <w:color w:val="auto"/>
                <w:szCs w:val="21"/>
                <w:highlight w:val="none"/>
              </w:rPr>
              <w:t>(</w:t>
            </w:r>
            <w:r>
              <w:rPr>
                <w:rFonts w:hint="eastAsia" w:ascii="宋体" w:hAnsi="宋体" w:eastAsia="宋体"/>
                <w:color w:val="auto"/>
                <w:szCs w:val="21"/>
                <w:highlight w:val="none"/>
                <w:lang w:val="en-US" w:eastAsia="zh-CN"/>
              </w:rPr>
              <w:t>2</w:t>
            </w:r>
            <w:r>
              <w:rPr>
                <w:rFonts w:hint="eastAsia" w:ascii="宋体" w:hAnsi="宋体"/>
                <w:color w:val="auto"/>
                <w:szCs w:val="21"/>
                <w:highlight w:val="none"/>
              </w:rPr>
              <w:t>)</w:t>
            </w:r>
            <w:r>
              <w:rPr>
                <w:rFonts w:hint="eastAsia" w:ascii="宋体" w:hAnsi="宋体" w:eastAsia="Times New Roman" w:cs="Times New Roman"/>
                <w:color w:val="auto"/>
                <w:szCs w:val="21"/>
                <w:highlight w:val="none"/>
                <w:lang w:val="en-US" w:eastAsia="zh-CN"/>
              </w:rPr>
              <w:t xml:space="preserve">投标文件第二信封中法定代表人电子章、投标人的单位电子公章盖章齐全，符合招标文件规定。 </w:t>
            </w:r>
          </w:p>
          <w:p w14:paraId="54A73850">
            <w:pPr>
              <w:pStyle w:val="9"/>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Times New Roman" w:cs="Times New Roman"/>
                <w:color w:val="auto"/>
                <w:szCs w:val="21"/>
                <w:highlight w:val="none"/>
              </w:rPr>
            </w:pPr>
            <w:r>
              <w:rPr>
                <w:rFonts w:hint="eastAsia" w:ascii="宋体" w:hAnsi="宋体"/>
                <w:color w:val="auto"/>
                <w:szCs w:val="21"/>
                <w:highlight w:val="none"/>
              </w:rPr>
              <w:t>(</w:t>
            </w:r>
            <w:r>
              <w:rPr>
                <w:rFonts w:hint="eastAsia" w:ascii="宋体" w:hAnsi="宋体" w:eastAsia="宋体"/>
                <w:color w:val="auto"/>
                <w:szCs w:val="21"/>
                <w:highlight w:val="none"/>
                <w:lang w:val="en-US" w:eastAsia="zh-CN"/>
              </w:rPr>
              <w:t>3</w:t>
            </w:r>
            <w:r>
              <w:rPr>
                <w:rFonts w:hint="eastAsia" w:ascii="宋体" w:hAnsi="宋体"/>
                <w:color w:val="auto"/>
                <w:szCs w:val="21"/>
                <w:highlight w:val="none"/>
              </w:rPr>
              <w:t>)</w:t>
            </w:r>
            <w:r>
              <w:rPr>
                <w:rFonts w:hint="eastAsia" w:ascii="宋体" w:hAnsi="宋体" w:eastAsia="Times New Roman" w:cs="Times New Roman"/>
                <w:color w:val="auto"/>
                <w:szCs w:val="21"/>
                <w:highlight w:val="none"/>
                <w:lang w:val="en-US" w:eastAsia="zh-CN"/>
              </w:rPr>
              <w:t xml:space="preserve">投标总报价未超过招标文件设定的最高投标限价。 </w:t>
            </w:r>
          </w:p>
          <w:p w14:paraId="1FB66FE1">
            <w:pPr>
              <w:pStyle w:val="9"/>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Times New Roman" w:cs="Times New Roman"/>
                <w:color w:val="auto"/>
                <w:szCs w:val="21"/>
                <w:highlight w:val="none"/>
              </w:rPr>
            </w:pPr>
            <w:r>
              <w:rPr>
                <w:rFonts w:hint="eastAsia" w:ascii="宋体" w:hAnsi="宋体"/>
                <w:color w:val="auto"/>
                <w:szCs w:val="21"/>
                <w:highlight w:val="none"/>
              </w:rPr>
              <w:t>(</w:t>
            </w:r>
            <w:r>
              <w:rPr>
                <w:rFonts w:hint="eastAsia" w:ascii="宋体" w:hAnsi="宋体" w:eastAsia="宋体"/>
                <w:color w:val="auto"/>
                <w:szCs w:val="21"/>
                <w:highlight w:val="none"/>
                <w:lang w:val="en-US" w:eastAsia="zh-CN"/>
              </w:rPr>
              <w:t>4</w:t>
            </w:r>
            <w:r>
              <w:rPr>
                <w:rFonts w:hint="eastAsia" w:ascii="宋体" w:hAnsi="宋体"/>
                <w:color w:val="auto"/>
                <w:szCs w:val="21"/>
                <w:highlight w:val="none"/>
              </w:rPr>
              <w:t>)</w:t>
            </w:r>
            <w:r>
              <w:rPr>
                <w:rFonts w:hint="eastAsia" w:ascii="宋体" w:hAnsi="宋体" w:eastAsia="Times New Roman" w:cs="Times New Roman"/>
                <w:color w:val="auto"/>
                <w:szCs w:val="21"/>
                <w:highlight w:val="none"/>
                <w:lang w:val="en-US" w:eastAsia="zh-CN"/>
              </w:rPr>
              <w:t xml:space="preserve">投标总报价的大写金额能够确定具体数值。 </w:t>
            </w:r>
          </w:p>
          <w:p w14:paraId="4DC0FDD0">
            <w:pPr>
              <w:pStyle w:val="9"/>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Times New Roman" w:cs="Times New Roman"/>
                <w:color w:val="auto"/>
                <w:szCs w:val="21"/>
                <w:highlight w:val="none"/>
              </w:rPr>
            </w:pPr>
            <w:r>
              <w:rPr>
                <w:rFonts w:hint="eastAsia" w:ascii="宋体" w:hAnsi="宋体"/>
                <w:color w:val="auto"/>
                <w:szCs w:val="21"/>
                <w:highlight w:val="none"/>
              </w:rPr>
              <w:t>(</w:t>
            </w:r>
            <w:r>
              <w:rPr>
                <w:rFonts w:hint="eastAsia" w:ascii="宋体" w:hAnsi="宋体" w:eastAsia="宋体"/>
                <w:color w:val="auto"/>
                <w:szCs w:val="21"/>
                <w:highlight w:val="none"/>
                <w:lang w:val="en-US" w:eastAsia="zh-CN"/>
              </w:rPr>
              <w:t>5</w:t>
            </w:r>
            <w:r>
              <w:rPr>
                <w:rFonts w:hint="eastAsia" w:ascii="宋体" w:hAnsi="宋体"/>
                <w:color w:val="auto"/>
                <w:szCs w:val="21"/>
                <w:highlight w:val="none"/>
              </w:rPr>
              <w:t>)</w:t>
            </w:r>
            <w:r>
              <w:rPr>
                <w:rFonts w:hint="eastAsia" w:ascii="宋体" w:hAnsi="宋体" w:eastAsia="Times New Roman" w:cs="Times New Roman"/>
                <w:color w:val="auto"/>
                <w:szCs w:val="21"/>
                <w:highlight w:val="none"/>
                <w:lang w:val="en-US" w:eastAsia="zh-CN"/>
              </w:rPr>
              <w:t xml:space="preserve">同一投标人未提交两个以上不同的投标报价。 </w:t>
            </w:r>
          </w:p>
          <w:p w14:paraId="71B39089">
            <w:pPr>
              <w:pStyle w:val="9"/>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Times New Roman" w:cs="Times New Roman"/>
                <w:color w:val="auto"/>
                <w:szCs w:val="21"/>
                <w:highlight w:val="none"/>
              </w:rPr>
            </w:pPr>
            <w:r>
              <w:rPr>
                <w:rFonts w:hint="eastAsia" w:ascii="宋体" w:hAnsi="宋体"/>
                <w:color w:val="auto"/>
                <w:szCs w:val="21"/>
                <w:highlight w:val="none"/>
              </w:rPr>
              <w:t>(</w:t>
            </w:r>
            <w:r>
              <w:rPr>
                <w:rFonts w:hint="eastAsia" w:ascii="宋体" w:hAnsi="宋体" w:eastAsia="宋体"/>
                <w:color w:val="auto"/>
                <w:szCs w:val="21"/>
                <w:highlight w:val="none"/>
                <w:lang w:val="en-US" w:eastAsia="zh-CN"/>
              </w:rPr>
              <w:t>6</w:t>
            </w:r>
            <w:r>
              <w:rPr>
                <w:rFonts w:hint="eastAsia" w:ascii="宋体" w:hAnsi="宋体"/>
                <w:color w:val="auto"/>
                <w:szCs w:val="21"/>
                <w:highlight w:val="none"/>
              </w:rPr>
              <w:t>)</w:t>
            </w:r>
            <w:r>
              <w:rPr>
                <w:rFonts w:hint="eastAsia" w:ascii="宋体" w:hAnsi="宋体" w:eastAsia="Times New Roman" w:cs="Times New Roman"/>
                <w:color w:val="auto"/>
                <w:szCs w:val="21"/>
                <w:highlight w:val="none"/>
                <w:lang w:val="en-US" w:eastAsia="zh-CN"/>
              </w:rPr>
              <w:t>投标人未提交调价函。</w:t>
            </w:r>
          </w:p>
        </w:tc>
      </w:tr>
      <w:tr w14:paraId="142EA23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84" w:hRule="atLeast"/>
        </w:trPr>
        <w:tc>
          <w:tcPr>
            <w:tcW w:w="900" w:type="dxa"/>
            <w:tcBorders>
              <w:tl2br w:val="nil"/>
              <w:tr2bl w:val="nil"/>
            </w:tcBorders>
            <w:noWrap w:val="0"/>
            <w:vAlign w:val="center"/>
          </w:tcPr>
          <w:p w14:paraId="12CCEF5C">
            <w:pPr>
              <w:pStyle w:val="9"/>
              <w:jc w:val="center"/>
              <w:rPr>
                <w:b/>
                <w:bCs/>
                <w:color w:val="auto"/>
                <w:highlight w:val="none"/>
              </w:rPr>
            </w:pPr>
            <w:r>
              <w:rPr>
                <w:b/>
                <w:bCs/>
                <w:color w:val="auto"/>
                <w:highlight w:val="none"/>
              </w:rPr>
              <w:t>条款号</w:t>
            </w:r>
          </w:p>
        </w:tc>
        <w:tc>
          <w:tcPr>
            <w:tcW w:w="1540" w:type="dxa"/>
            <w:tcBorders>
              <w:tl2br w:val="nil"/>
              <w:tr2bl w:val="nil"/>
            </w:tcBorders>
            <w:noWrap w:val="0"/>
            <w:vAlign w:val="center"/>
          </w:tcPr>
          <w:p w14:paraId="626731E2">
            <w:pPr>
              <w:pStyle w:val="9"/>
              <w:jc w:val="center"/>
              <w:rPr>
                <w:b/>
                <w:bCs/>
                <w:color w:val="auto"/>
                <w:highlight w:val="none"/>
              </w:rPr>
            </w:pPr>
            <w:r>
              <w:rPr>
                <w:b/>
                <w:bCs/>
                <w:color w:val="auto"/>
                <w:highlight w:val="none"/>
              </w:rPr>
              <w:t>条款内容</w:t>
            </w:r>
          </w:p>
        </w:tc>
        <w:tc>
          <w:tcPr>
            <w:tcW w:w="7162" w:type="dxa"/>
            <w:gridSpan w:val="6"/>
            <w:tcBorders>
              <w:tl2br w:val="nil"/>
              <w:tr2bl w:val="nil"/>
            </w:tcBorders>
            <w:noWrap w:val="0"/>
            <w:vAlign w:val="center"/>
          </w:tcPr>
          <w:p w14:paraId="69259D9B">
            <w:pPr>
              <w:pStyle w:val="9"/>
              <w:spacing w:line="340" w:lineRule="exact"/>
              <w:jc w:val="center"/>
              <w:rPr>
                <w:b/>
                <w:bCs/>
                <w:color w:val="auto"/>
                <w:highlight w:val="none"/>
              </w:rPr>
            </w:pPr>
            <w:r>
              <w:rPr>
                <w:b/>
                <w:bCs/>
                <w:color w:val="auto"/>
                <w:highlight w:val="none"/>
              </w:rPr>
              <w:t>编列内容</w:t>
            </w:r>
          </w:p>
        </w:tc>
      </w:tr>
      <w:tr w14:paraId="4841E2D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6" w:hRule="atLeast"/>
        </w:trPr>
        <w:tc>
          <w:tcPr>
            <w:tcW w:w="900" w:type="dxa"/>
            <w:tcBorders>
              <w:tl2br w:val="nil"/>
              <w:tr2bl w:val="nil"/>
            </w:tcBorders>
            <w:noWrap w:val="0"/>
            <w:vAlign w:val="center"/>
          </w:tcPr>
          <w:p w14:paraId="7EDCE22D">
            <w:pPr>
              <w:pStyle w:val="9"/>
              <w:spacing w:line="300" w:lineRule="exact"/>
              <w:jc w:val="center"/>
              <w:rPr>
                <w:color w:val="auto"/>
                <w:highlight w:val="none"/>
              </w:rPr>
            </w:pPr>
            <w:r>
              <w:rPr>
                <w:rFonts w:hint="eastAsia"/>
                <w:color w:val="auto"/>
                <w:highlight w:val="none"/>
              </w:rPr>
              <w:t>2.2.1</w:t>
            </w:r>
          </w:p>
        </w:tc>
        <w:tc>
          <w:tcPr>
            <w:tcW w:w="1540" w:type="dxa"/>
            <w:tcBorders>
              <w:tl2br w:val="nil"/>
              <w:tr2bl w:val="nil"/>
            </w:tcBorders>
            <w:noWrap w:val="0"/>
            <w:vAlign w:val="center"/>
          </w:tcPr>
          <w:p w14:paraId="2AB9B467">
            <w:pPr>
              <w:pStyle w:val="9"/>
              <w:spacing w:line="300" w:lineRule="exact"/>
              <w:jc w:val="center"/>
              <w:rPr>
                <w:rFonts w:hint="eastAsia"/>
                <w:color w:val="auto"/>
                <w:szCs w:val="21"/>
                <w:highlight w:val="none"/>
              </w:rPr>
            </w:pPr>
            <w:r>
              <w:rPr>
                <w:rFonts w:hint="eastAsia"/>
                <w:color w:val="auto"/>
                <w:szCs w:val="21"/>
                <w:highlight w:val="none"/>
              </w:rPr>
              <w:t>分 值 构 成</w:t>
            </w:r>
          </w:p>
          <w:p w14:paraId="7D998A19">
            <w:pPr>
              <w:pStyle w:val="9"/>
              <w:spacing w:line="300" w:lineRule="exact"/>
              <w:jc w:val="center"/>
              <w:rPr>
                <w:color w:val="auto"/>
                <w:szCs w:val="21"/>
                <w:highlight w:val="none"/>
              </w:rPr>
            </w:pPr>
            <w:r>
              <w:rPr>
                <w:rFonts w:hint="eastAsia"/>
                <w:color w:val="auto"/>
                <w:szCs w:val="21"/>
                <w:highlight w:val="none"/>
              </w:rPr>
              <w:t>（总分100分）</w:t>
            </w:r>
          </w:p>
        </w:tc>
        <w:tc>
          <w:tcPr>
            <w:tcW w:w="7162" w:type="dxa"/>
            <w:gridSpan w:val="6"/>
            <w:tcBorders>
              <w:tl2br w:val="nil"/>
              <w:tr2bl w:val="nil"/>
            </w:tcBorders>
            <w:noWrap w:val="0"/>
            <w:vAlign w:val="center"/>
          </w:tcPr>
          <w:p w14:paraId="518F3D33">
            <w:pPr>
              <w:keepNext w:val="0"/>
              <w:keepLines w:val="0"/>
              <w:pageBreakBefore w:val="0"/>
              <w:widowControl/>
              <w:suppressLineNumbers w:val="0"/>
              <w:kinsoku/>
              <w:wordWrap/>
              <w:overflowPunct/>
              <w:topLinePunct w:val="0"/>
              <w:autoSpaceDE/>
              <w:autoSpaceDN/>
              <w:bidi w:val="0"/>
              <w:adjustRightInd/>
              <w:snapToGrid/>
              <w:spacing w:line="340" w:lineRule="exact"/>
              <w:jc w:val="left"/>
              <w:textAlignment w:val="auto"/>
              <w:rPr>
                <w:rFonts w:hint="eastAsia" w:ascii="Times New Roman" w:hAnsi="Times New Roman" w:eastAsia="宋体" w:cs="Times New Roman"/>
                <w:b/>
                <w:bCs/>
                <w:color w:val="auto"/>
                <w:highlight w:val="none"/>
                <w:lang w:val="en-US" w:eastAsia="zh-CN"/>
              </w:rPr>
            </w:pPr>
            <w:r>
              <w:rPr>
                <w:rFonts w:hint="eastAsia" w:eastAsia="宋体"/>
                <w:b/>
                <w:bCs/>
                <w:color w:val="auto"/>
                <w:highlight w:val="none"/>
                <w:lang w:val="en-US" w:eastAsia="zh-CN"/>
              </w:rPr>
              <w:t>第一</w:t>
            </w:r>
            <w:r>
              <w:rPr>
                <w:rFonts w:hint="eastAsia" w:ascii="Times New Roman" w:hAnsi="Times New Roman" w:eastAsia="宋体" w:cs="Times New Roman"/>
                <w:b/>
                <w:bCs/>
                <w:color w:val="auto"/>
                <w:highlight w:val="none"/>
                <w:lang w:val="en-US" w:eastAsia="zh-CN"/>
              </w:rPr>
              <w:t>信封（商务及养护工程作业方案）评分分值构成：</w:t>
            </w:r>
          </w:p>
          <w:p w14:paraId="4FEAC342">
            <w:pPr>
              <w:keepNext w:val="0"/>
              <w:keepLines w:val="0"/>
              <w:pageBreakBefore w:val="0"/>
              <w:widowControl/>
              <w:suppressLineNumbers w:val="0"/>
              <w:kinsoku/>
              <w:wordWrap/>
              <w:overflowPunct/>
              <w:topLinePunct w:val="0"/>
              <w:autoSpaceDE/>
              <w:autoSpaceDN/>
              <w:bidi w:val="0"/>
              <w:adjustRightInd/>
              <w:snapToGrid/>
              <w:spacing w:line="340" w:lineRule="exact"/>
              <w:jc w:val="left"/>
              <w:textAlignment w:val="auto"/>
              <w:rPr>
                <w:rFonts w:hint="default" w:ascii="Times New Roman" w:hAnsi="Times New Roman" w:eastAsia="宋体" w:cs="Times New Roman"/>
                <w:color w:val="auto"/>
                <w:highlight w:val="none"/>
                <w:u w:val="none"/>
                <w:lang w:val="en-US" w:eastAsia="zh-CN"/>
              </w:rPr>
            </w:pPr>
            <w:r>
              <w:rPr>
                <w:rFonts w:hint="eastAsia" w:ascii="Times New Roman" w:hAnsi="Times New Roman" w:eastAsia="宋体" w:cs="Times New Roman"/>
                <w:color w:val="auto"/>
                <w:highlight w:val="none"/>
                <w:lang w:val="en-US" w:eastAsia="zh-CN"/>
              </w:rPr>
              <w:t>养护工程作业方案：</w:t>
            </w:r>
            <w:r>
              <w:rPr>
                <w:rFonts w:hint="eastAsia" w:ascii="Times New Roman" w:hAnsi="Times New Roman" w:eastAsia="宋体" w:cs="Times New Roman"/>
                <w:color w:val="auto"/>
                <w:highlight w:val="none"/>
                <w:u w:val="none"/>
                <w:lang w:val="en-US" w:eastAsia="zh-CN"/>
              </w:rPr>
              <w:t>12分</w:t>
            </w:r>
          </w:p>
          <w:p w14:paraId="001A879C">
            <w:pPr>
              <w:keepNext w:val="0"/>
              <w:keepLines w:val="0"/>
              <w:pageBreakBefore w:val="0"/>
              <w:widowControl/>
              <w:suppressLineNumbers w:val="0"/>
              <w:kinsoku/>
              <w:wordWrap/>
              <w:overflowPunct/>
              <w:topLinePunct w:val="0"/>
              <w:autoSpaceDE/>
              <w:autoSpaceDN/>
              <w:bidi w:val="0"/>
              <w:adjustRightInd/>
              <w:snapToGrid/>
              <w:spacing w:line="340" w:lineRule="exact"/>
              <w:jc w:val="left"/>
              <w:textAlignment w:val="auto"/>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企业资质与信誉：</w:t>
            </w:r>
            <w:r>
              <w:rPr>
                <w:rFonts w:hint="eastAsia" w:cs="Times New Roman"/>
                <w:color w:val="auto"/>
                <w:highlight w:val="none"/>
                <w:lang w:val="en-US" w:eastAsia="zh-CN"/>
              </w:rPr>
              <w:t>2</w:t>
            </w:r>
            <w:r>
              <w:rPr>
                <w:rFonts w:hint="eastAsia" w:ascii="Times New Roman" w:hAnsi="Times New Roman" w:eastAsia="宋体" w:cs="Times New Roman"/>
                <w:color w:val="auto"/>
                <w:highlight w:val="none"/>
                <w:lang w:val="en-US" w:eastAsia="zh-CN"/>
              </w:rPr>
              <w:t>分</w:t>
            </w:r>
          </w:p>
          <w:p w14:paraId="6A49A562">
            <w:pPr>
              <w:keepNext w:val="0"/>
              <w:keepLines w:val="0"/>
              <w:pageBreakBefore w:val="0"/>
              <w:widowControl/>
              <w:suppressLineNumbers w:val="0"/>
              <w:kinsoku/>
              <w:wordWrap/>
              <w:overflowPunct/>
              <w:topLinePunct w:val="0"/>
              <w:autoSpaceDE/>
              <w:autoSpaceDN/>
              <w:bidi w:val="0"/>
              <w:adjustRightInd/>
              <w:snapToGrid/>
              <w:spacing w:line="340" w:lineRule="exact"/>
              <w:jc w:val="left"/>
              <w:textAlignment w:val="auto"/>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其他因素：</w:t>
            </w:r>
            <w:r>
              <w:rPr>
                <w:rFonts w:hint="eastAsia" w:cs="Times New Roman"/>
                <w:color w:val="auto"/>
                <w:highlight w:val="none"/>
                <w:lang w:val="en-US" w:eastAsia="zh-CN"/>
              </w:rPr>
              <w:t>1</w:t>
            </w:r>
            <w:r>
              <w:rPr>
                <w:rFonts w:hint="eastAsia" w:ascii="Times New Roman" w:hAnsi="Times New Roman" w:eastAsia="宋体" w:cs="Times New Roman"/>
                <w:color w:val="auto"/>
                <w:highlight w:val="none"/>
                <w:lang w:val="en-US" w:eastAsia="zh-CN"/>
              </w:rPr>
              <w:t>分</w:t>
            </w:r>
          </w:p>
          <w:p w14:paraId="06D17A2F">
            <w:pPr>
              <w:keepNext w:val="0"/>
              <w:keepLines w:val="0"/>
              <w:pageBreakBefore w:val="0"/>
              <w:widowControl/>
              <w:suppressLineNumbers w:val="0"/>
              <w:kinsoku/>
              <w:wordWrap/>
              <w:overflowPunct/>
              <w:topLinePunct w:val="0"/>
              <w:autoSpaceDE/>
              <w:autoSpaceDN/>
              <w:bidi w:val="0"/>
              <w:adjustRightInd/>
              <w:snapToGrid/>
              <w:spacing w:line="340" w:lineRule="exact"/>
              <w:jc w:val="left"/>
              <w:textAlignment w:val="auto"/>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t>第二信封（报价文件）评分分值构成：</w:t>
            </w:r>
          </w:p>
          <w:p w14:paraId="7A9BF579">
            <w:pPr>
              <w:keepNext w:val="0"/>
              <w:keepLines w:val="0"/>
              <w:pageBreakBefore w:val="0"/>
              <w:widowControl/>
              <w:suppressLineNumbers w:val="0"/>
              <w:kinsoku/>
              <w:wordWrap/>
              <w:overflowPunct/>
              <w:topLinePunct w:val="0"/>
              <w:autoSpaceDE/>
              <w:autoSpaceDN/>
              <w:bidi w:val="0"/>
              <w:adjustRightInd/>
              <w:snapToGrid/>
              <w:spacing w:line="340" w:lineRule="exact"/>
              <w:jc w:val="left"/>
              <w:textAlignment w:val="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评标报价：85分</w:t>
            </w:r>
          </w:p>
          <w:p w14:paraId="739779CD">
            <w:pPr>
              <w:keepNext w:val="0"/>
              <w:keepLines w:val="0"/>
              <w:pageBreakBefore w:val="0"/>
              <w:widowControl/>
              <w:suppressLineNumbers w:val="0"/>
              <w:kinsoku/>
              <w:wordWrap/>
              <w:overflowPunct/>
              <w:topLinePunct w:val="0"/>
              <w:autoSpaceDE/>
              <w:autoSpaceDN/>
              <w:bidi w:val="0"/>
              <w:adjustRightInd/>
              <w:snapToGrid/>
              <w:spacing w:line="340" w:lineRule="exact"/>
              <w:jc w:val="left"/>
              <w:textAlignment w:val="auto"/>
              <w:rPr>
                <w:rFonts w:hint="eastAsia" w:ascii="Times New Roman" w:hAnsi="Times New Roman" w:eastAsia="宋体" w:cs="Times New Roman"/>
                <w:color w:val="auto"/>
                <w:highlight w:val="none"/>
                <w:lang w:val="en-US" w:eastAsia="zh-CN"/>
              </w:rPr>
            </w:pPr>
            <w:r>
              <w:rPr>
                <w:rFonts w:hint="eastAsia"/>
                <w:b/>
                <w:bCs/>
                <w:color w:val="auto"/>
                <w:highlight w:val="none"/>
                <w:lang w:val="en-US" w:eastAsia="zh-CN"/>
              </w:rPr>
              <w:t>评审要求：</w:t>
            </w:r>
            <w:r>
              <w:rPr>
                <w:rFonts w:hint="eastAsia"/>
                <w:color w:val="auto"/>
                <w:highlight w:val="none"/>
              </w:rPr>
              <w:t>企业信誉</w:t>
            </w:r>
            <w:r>
              <w:rPr>
                <w:rFonts w:hint="eastAsia"/>
                <w:color w:val="auto"/>
                <w:highlight w:val="none"/>
                <w:lang w:eastAsia="zh-CN"/>
              </w:rPr>
              <w:t>、</w:t>
            </w:r>
            <w:r>
              <w:rPr>
                <w:rFonts w:hint="eastAsia"/>
                <w:color w:val="auto"/>
                <w:highlight w:val="none"/>
              </w:rPr>
              <w:t>其他因素</w:t>
            </w:r>
            <w:r>
              <w:rPr>
                <w:rFonts w:hint="eastAsia"/>
                <w:color w:val="auto"/>
                <w:highlight w:val="none"/>
                <w:lang w:val="en-US" w:eastAsia="zh-CN"/>
              </w:rPr>
              <w:t>及评标价</w:t>
            </w:r>
            <w:r>
              <w:rPr>
                <w:rFonts w:hint="eastAsia"/>
                <w:color w:val="auto"/>
                <w:highlight w:val="none"/>
              </w:rPr>
              <w:t>由评标委员会统一打分；养护工程作业方案由各评委单独打分（养护工程作业方案最终得分为各评标委员会有效打分的平均值，评委单独打分值保留一位小数，计算结果保留两位小数）。</w:t>
            </w:r>
          </w:p>
        </w:tc>
      </w:tr>
      <w:tr w14:paraId="71E8825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988" w:hRule="atLeast"/>
        </w:trPr>
        <w:tc>
          <w:tcPr>
            <w:tcW w:w="900" w:type="dxa"/>
            <w:tcBorders>
              <w:tl2br w:val="nil"/>
              <w:tr2bl w:val="nil"/>
            </w:tcBorders>
            <w:noWrap w:val="0"/>
            <w:vAlign w:val="center"/>
          </w:tcPr>
          <w:p w14:paraId="3914BD55">
            <w:pPr>
              <w:pStyle w:val="9"/>
              <w:spacing w:line="300" w:lineRule="exact"/>
              <w:jc w:val="center"/>
              <w:rPr>
                <w:color w:val="auto"/>
                <w:szCs w:val="24"/>
                <w:highlight w:val="none"/>
              </w:rPr>
            </w:pPr>
            <w:r>
              <w:rPr>
                <w:color w:val="auto"/>
                <w:highlight w:val="none"/>
              </w:rPr>
              <w:t>2.2.2</w:t>
            </w:r>
          </w:p>
        </w:tc>
        <w:tc>
          <w:tcPr>
            <w:tcW w:w="1540" w:type="dxa"/>
            <w:tcBorders>
              <w:tl2br w:val="nil"/>
              <w:tr2bl w:val="nil"/>
            </w:tcBorders>
            <w:noWrap w:val="0"/>
            <w:vAlign w:val="center"/>
          </w:tcPr>
          <w:p w14:paraId="04809064">
            <w:pPr>
              <w:pStyle w:val="9"/>
              <w:spacing w:line="300" w:lineRule="exact"/>
              <w:jc w:val="center"/>
              <w:rPr>
                <w:rFonts w:hint="eastAsia"/>
                <w:color w:val="auto"/>
                <w:szCs w:val="21"/>
                <w:highlight w:val="none"/>
              </w:rPr>
            </w:pPr>
            <w:r>
              <w:rPr>
                <w:rFonts w:hint="eastAsia"/>
                <w:color w:val="auto"/>
                <w:szCs w:val="21"/>
                <w:highlight w:val="none"/>
              </w:rPr>
              <w:t>评标基准价</w:t>
            </w:r>
          </w:p>
          <w:p w14:paraId="4FFEADB0">
            <w:pPr>
              <w:pStyle w:val="9"/>
              <w:spacing w:line="300" w:lineRule="exact"/>
              <w:jc w:val="center"/>
              <w:rPr>
                <w:color w:val="auto"/>
                <w:szCs w:val="21"/>
                <w:highlight w:val="none"/>
              </w:rPr>
            </w:pPr>
            <w:r>
              <w:rPr>
                <w:rFonts w:hint="eastAsia"/>
                <w:color w:val="auto"/>
                <w:szCs w:val="21"/>
                <w:highlight w:val="none"/>
              </w:rPr>
              <w:t>计算方法</w:t>
            </w:r>
          </w:p>
        </w:tc>
        <w:tc>
          <w:tcPr>
            <w:tcW w:w="7162" w:type="dxa"/>
            <w:gridSpan w:val="6"/>
            <w:tcBorders>
              <w:tl2br w:val="nil"/>
              <w:tr2bl w:val="nil"/>
            </w:tcBorders>
            <w:noWrap w:val="0"/>
            <w:vAlign w:val="center"/>
          </w:tcPr>
          <w:p w14:paraId="2F136874">
            <w:pPr>
              <w:pStyle w:val="9"/>
              <w:keepNext w:val="0"/>
              <w:keepLines w:val="0"/>
              <w:pageBreakBefore w:val="0"/>
              <w:widowControl w:val="0"/>
              <w:kinsoku/>
              <w:wordWrap/>
              <w:overflowPunct/>
              <w:topLinePunct w:val="0"/>
              <w:autoSpaceDE/>
              <w:autoSpaceDN/>
              <w:bidi w:val="0"/>
              <w:adjustRightInd/>
              <w:snapToGrid/>
              <w:spacing w:line="340" w:lineRule="exact"/>
              <w:textAlignment w:val="auto"/>
              <w:rPr>
                <w:rFonts w:ascii="宋体" w:hAnsi="宋体"/>
                <w:color w:val="auto"/>
                <w:szCs w:val="21"/>
                <w:highlight w:val="none"/>
              </w:rPr>
            </w:pPr>
            <w:r>
              <w:rPr>
                <w:rFonts w:hint="eastAsia" w:ascii="宋体" w:hAnsi="宋体"/>
                <w:color w:val="auto"/>
                <w:szCs w:val="21"/>
                <w:highlight w:val="none"/>
              </w:rPr>
              <w:t>评标基准价的计算：</w:t>
            </w:r>
          </w:p>
          <w:p w14:paraId="4C632B4E">
            <w:pPr>
              <w:pStyle w:val="9"/>
              <w:keepNext w:val="0"/>
              <w:keepLines w:val="0"/>
              <w:pageBreakBefore w:val="0"/>
              <w:widowControl w:val="0"/>
              <w:kinsoku/>
              <w:wordWrap/>
              <w:overflowPunct/>
              <w:topLinePunct w:val="0"/>
              <w:autoSpaceDE/>
              <w:autoSpaceDN/>
              <w:bidi w:val="0"/>
              <w:adjustRightInd/>
              <w:snapToGrid/>
              <w:spacing w:line="340" w:lineRule="exact"/>
              <w:ind w:firstLine="420" w:firstLineChars="200"/>
              <w:textAlignment w:val="auto"/>
              <w:rPr>
                <w:rFonts w:hint="eastAsia" w:ascii="宋体" w:hAnsi="宋体"/>
                <w:color w:val="auto"/>
                <w:szCs w:val="21"/>
                <w:highlight w:val="none"/>
              </w:rPr>
            </w:pPr>
            <w:r>
              <w:rPr>
                <w:rFonts w:hint="eastAsia" w:ascii="宋体" w:hAnsi="宋体"/>
                <w:color w:val="auto"/>
                <w:szCs w:val="21"/>
                <w:highlight w:val="none"/>
              </w:rPr>
              <w:t>评标基准价由评标委员会计算、复核并签字确认。除计算差错外，确认后的评标基准价在本次招标期间保持不变。计算差错，仅限于以下两种情况：（1）纯算术性四则运算差错；（2）未按约定的计算方法，多计或少计投标人报价。由于评标差错，导致否决投标错误，重新评标纠正等其他情况，不属于计算差错。</w:t>
            </w:r>
          </w:p>
        </w:tc>
      </w:tr>
      <w:tr w14:paraId="1521E85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421" w:hRule="atLeast"/>
        </w:trPr>
        <w:tc>
          <w:tcPr>
            <w:tcW w:w="900" w:type="dxa"/>
            <w:tcBorders>
              <w:tl2br w:val="nil"/>
              <w:tr2bl w:val="nil"/>
            </w:tcBorders>
            <w:noWrap w:val="0"/>
            <w:vAlign w:val="center"/>
          </w:tcPr>
          <w:p w14:paraId="0CEDBCBF">
            <w:pPr>
              <w:pStyle w:val="9"/>
              <w:jc w:val="center"/>
              <w:rPr>
                <w:color w:val="auto"/>
                <w:highlight w:val="none"/>
              </w:rPr>
            </w:pPr>
            <w:r>
              <w:rPr>
                <w:b/>
                <w:bCs/>
                <w:color w:val="auto"/>
                <w:highlight w:val="none"/>
              </w:rPr>
              <w:t>条款号</w:t>
            </w:r>
          </w:p>
        </w:tc>
        <w:tc>
          <w:tcPr>
            <w:tcW w:w="1540" w:type="dxa"/>
            <w:tcBorders>
              <w:tl2br w:val="nil"/>
              <w:tr2bl w:val="nil"/>
            </w:tcBorders>
            <w:noWrap w:val="0"/>
            <w:vAlign w:val="center"/>
          </w:tcPr>
          <w:p w14:paraId="1E90FA24">
            <w:pPr>
              <w:pStyle w:val="9"/>
              <w:jc w:val="center"/>
              <w:rPr>
                <w:color w:val="auto"/>
                <w:szCs w:val="21"/>
                <w:highlight w:val="none"/>
              </w:rPr>
            </w:pPr>
            <w:r>
              <w:rPr>
                <w:b/>
                <w:bCs/>
                <w:color w:val="auto"/>
                <w:highlight w:val="none"/>
              </w:rPr>
              <w:t>条款内容</w:t>
            </w:r>
          </w:p>
        </w:tc>
        <w:tc>
          <w:tcPr>
            <w:tcW w:w="7162" w:type="dxa"/>
            <w:gridSpan w:val="6"/>
            <w:tcBorders>
              <w:tl2br w:val="nil"/>
              <w:tr2bl w:val="nil"/>
            </w:tcBorders>
            <w:noWrap w:val="0"/>
            <w:vAlign w:val="center"/>
          </w:tcPr>
          <w:p w14:paraId="18583FA0">
            <w:pPr>
              <w:pStyle w:val="9"/>
              <w:spacing w:line="340" w:lineRule="exact"/>
              <w:jc w:val="center"/>
              <w:rPr>
                <w:color w:val="auto"/>
                <w:szCs w:val="21"/>
                <w:highlight w:val="none"/>
              </w:rPr>
            </w:pPr>
            <w:r>
              <w:rPr>
                <w:b/>
                <w:bCs/>
                <w:color w:val="auto"/>
                <w:highlight w:val="none"/>
              </w:rPr>
              <w:t>编列内容</w:t>
            </w:r>
          </w:p>
        </w:tc>
      </w:tr>
      <w:tr w14:paraId="67097FE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654" w:hRule="atLeast"/>
        </w:trPr>
        <w:tc>
          <w:tcPr>
            <w:tcW w:w="900" w:type="dxa"/>
            <w:tcBorders>
              <w:tl2br w:val="nil"/>
              <w:tr2bl w:val="nil"/>
            </w:tcBorders>
            <w:noWrap w:val="0"/>
            <w:vAlign w:val="center"/>
          </w:tcPr>
          <w:p w14:paraId="215CCA7D">
            <w:pPr>
              <w:pStyle w:val="9"/>
              <w:spacing w:line="300" w:lineRule="exact"/>
              <w:jc w:val="center"/>
              <w:rPr>
                <w:color w:val="auto"/>
                <w:highlight w:val="none"/>
              </w:rPr>
            </w:pPr>
            <w:bookmarkStart w:id="114" w:name="_Hlk17992385"/>
            <w:r>
              <w:rPr>
                <w:color w:val="auto"/>
                <w:highlight w:val="none"/>
              </w:rPr>
              <w:t>2.2.2</w:t>
            </w:r>
          </w:p>
        </w:tc>
        <w:tc>
          <w:tcPr>
            <w:tcW w:w="1540" w:type="dxa"/>
            <w:tcBorders>
              <w:tl2br w:val="nil"/>
              <w:tr2bl w:val="nil"/>
            </w:tcBorders>
            <w:noWrap w:val="0"/>
            <w:vAlign w:val="center"/>
          </w:tcPr>
          <w:p w14:paraId="6E0BE3E8">
            <w:pPr>
              <w:pStyle w:val="9"/>
              <w:spacing w:line="300" w:lineRule="exact"/>
              <w:jc w:val="center"/>
              <w:rPr>
                <w:rFonts w:hint="eastAsia"/>
                <w:color w:val="auto"/>
                <w:szCs w:val="21"/>
                <w:highlight w:val="none"/>
              </w:rPr>
            </w:pPr>
            <w:r>
              <w:rPr>
                <w:rFonts w:hint="eastAsia"/>
                <w:color w:val="auto"/>
                <w:szCs w:val="21"/>
                <w:highlight w:val="none"/>
              </w:rPr>
              <w:t>评标基准价</w:t>
            </w:r>
          </w:p>
          <w:p w14:paraId="17876989">
            <w:pPr>
              <w:pStyle w:val="9"/>
              <w:spacing w:line="300" w:lineRule="exact"/>
              <w:jc w:val="center"/>
              <w:rPr>
                <w:color w:val="auto"/>
                <w:szCs w:val="21"/>
                <w:highlight w:val="none"/>
              </w:rPr>
            </w:pPr>
            <w:r>
              <w:rPr>
                <w:rFonts w:hint="eastAsia"/>
                <w:color w:val="auto"/>
                <w:szCs w:val="21"/>
                <w:highlight w:val="none"/>
              </w:rPr>
              <w:t>计算方法</w:t>
            </w:r>
          </w:p>
        </w:tc>
        <w:tc>
          <w:tcPr>
            <w:tcW w:w="7162" w:type="dxa"/>
            <w:gridSpan w:val="6"/>
            <w:tcBorders>
              <w:tl2br w:val="nil"/>
              <w:tr2bl w:val="nil"/>
            </w:tcBorders>
            <w:noWrap w:val="0"/>
            <w:vAlign w:val="center"/>
          </w:tcPr>
          <w:p w14:paraId="53688EA4">
            <w:pPr>
              <w:pStyle w:val="9"/>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color w:val="auto"/>
                <w:szCs w:val="21"/>
                <w:highlight w:val="none"/>
              </w:rPr>
            </w:pPr>
            <w:r>
              <w:rPr>
                <w:rFonts w:hint="eastAsia" w:ascii="宋体" w:hAnsi="宋体"/>
                <w:color w:val="auto"/>
                <w:szCs w:val="21"/>
                <w:highlight w:val="none"/>
              </w:rPr>
              <w:t>(1)评标价的确定：</w:t>
            </w:r>
          </w:p>
          <w:p w14:paraId="6B9EF9B9">
            <w:pPr>
              <w:pStyle w:val="9"/>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color w:val="auto"/>
                <w:szCs w:val="21"/>
                <w:highlight w:val="none"/>
              </w:rPr>
            </w:pPr>
            <w:r>
              <w:rPr>
                <w:rFonts w:hint="eastAsia" w:ascii="宋体" w:hAnsi="宋体"/>
                <w:color w:val="auto"/>
                <w:szCs w:val="21"/>
                <w:highlight w:val="none"/>
              </w:rPr>
              <w:t>评标价=报价函</w:t>
            </w:r>
            <w:r>
              <w:rPr>
                <w:rFonts w:hint="eastAsia" w:ascii="宋体" w:hAnsi="宋体" w:eastAsia="宋体"/>
                <w:color w:val="auto"/>
                <w:szCs w:val="21"/>
                <w:highlight w:val="none"/>
                <w:lang w:val="en-US" w:eastAsia="zh-CN"/>
              </w:rPr>
              <w:t>中</w:t>
            </w:r>
            <w:r>
              <w:rPr>
                <w:rFonts w:hint="eastAsia" w:ascii="宋体" w:hAnsi="宋体"/>
                <w:color w:val="auto"/>
                <w:szCs w:val="21"/>
                <w:highlight w:val="none"/>
              </w:rPr>
              <w:t>的文字报价</w:t>
            </w:r>
          </w:p>
          <w:p w14:paraId="5FC28C8E">
            <w:pPr>
              <w:pStyle w:val="9"/>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Times New Roman" w:cs="Times New Roman"/>
                <w:color w:val="auto"/>
                <w:szCs w:val="21"/>
                <w:highlight w:val="none"/>
              </w:rPr>
            </w:pPr>
            <w:r>
              <w:rPr>
                <w:rFonts w:hint="eastAsia" w:ascii="宋体" w:hAnsi="宋体" w:eastAsia="Times New Roman" w:cs="Times New Roman"/>
                <w:color w:val="auto"/>
                <w:szCs w:val="21"/>
                <w:highlight w:val="none"/>
              </w:rPr>
              <w:t>(2)评标基准价的确定：</w:t>
            </w:r>
          </w:p>
          <w:p w14:paraId="3CE9F3E1">
            <w:pPr>
              <w:pStyle w:val="9"/>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Times New Roman" w:cs="Times New Roman"/>
                <w:color w:val="auto"/>
                <w:szCs w:val="21"/>
                <w:highlight w:val="none"/>
              </w:rPr>
            </w:pPr>
            <w:r>
              <w:rPr>
                <w:rFonts w:hint="eastAsia" w:ascii="宋体" w:hAnsi="宋体" w:eastAsia="Times New Roman" w:cs="Times New Roman"/>
                <w:color w:val="auto"/>
                <w:szCs w:val="21"/>
                <w:highlight w:val="none"/>
                <w:lang w:val="en-US" w:eastAsia="zh-CN"/>
              </w:rPr>
              <w:t xml:space="preserve">C＝（A×K＋B×（1－K））（100－i）/100 </w:t>
            </w:r>
          </w:p>
          <w:p w14:paraId="7B269274">
            <w:pPr>
              <w:pStyle w:val="9"/>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color w:val="auto"/>
                <w:szCs w:val="21"/>
                <w:highlight w:val="none"/>
              </w:rPr>
            </w:pPr>
            <w:r>
              <w:rPr>
                <w:rFonts w:hint="eastAsia" w:ascii="宋体" w:hAnsi="宋体"/>
                <w:color w:val="auto"/>
                <w:szCs w:val="21"/>
                <w:highlight w:val="none"/>
              </w:rPr>
              <w:t>式中：</w:t>
            </w:r>
            <w:r>
              <w:rPr>
                <w:rFonts w:hint="eastAsia" w:ascii="宋体" w:hAnsi="宋体" w:eastAsia="宋体"/>
                <w:color w:val="auto"/>
                <w:szCs w:val="21"/>
                <w:highlight w:val="none"/>
                <w:lang w:val="en-US" w:eastAsia="zh-CN"/>
              </w:rPr>
              <w:t>C</w:t>
            </w:r>
            <w:r>
              <w:rPr>
                <w:rFonts w:hint="eastAsia" w:ascii="宋体" w:hAnsi="宋体"/>
                <w:color w:val="auto"/>
                <w:szCs w:val="21"/>
                <w:highlight w:val="none"/>
              </w:rPr>
              <w:t>为评标基准价；</w:t>
            </w:r>
          </w:p>
          <w:p w14:paraId="5BCC1CD4">
            <w:pPr>
              <w:pStyle w:val="9"/>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olor w:val="auto"/>
                <w:szCs w:val="21"/>
                <w:highlight w:val="none"/>
                <w:lang w:val="en-US" w:eastAsia="zh-CN"/>
              </w:rPr>
            </w:pPr>
            <w:r>
              <w:rPr>
                <w:rFonts w:hint="eastAsia" w:ascii="宋体" w:hAnsi="宋体"/>
                <w:color w:val="auto"/>
                <w:szCs w:val="21"/>
                <w:highlight w:val="none"/>
              </w:rPr>
              <w:t>A为</w:t>
            </w:r>
            <w:r>
              <w:rPr>
                <w:rFonts w:hint="eastAsia" w:ascii="宋体" w:hAnsi="宋体" w:eastAsia="宋体"/>
                <w:color w:val="auto"/>
                <w:szCs w:val="21"/>
                <w:highlight w:val="none"/>
                <w:lang w:val="en-US" w:eastAsia="zh-CN"/>
              </w:rPr>
              <w:t>招标人的最高投标限价。以工程量清单预算再乘以随机抽取的调整系数（从0.97、0.98、0.99三值中，</w:t>
            </w:r>
            <w:r>
              <w:rPr>
                <w:rFonts w:hint="eastAsia" w:ascii="宋体" w:hAnsi="宋体" w:eastAsia="Times New Roman" w:cs="Times New Roman"/>
                <w:color w:val="auto"/>
                <w:szCs w:val="21"/>
                <w:highlight w:val="none"/>
                <w:lang w:val="en-US" w:eastAsia="zh-CN"/>
              </w:rPr>
              <w:t>开标时随机抽取一个值</w:t>
            </w:r>
            <w:r>
              <w:rPr>
                <w:rFonts w:hint="eastAsia" w:ascii="宋体" w:hAnsi="宋体" w:eastAsia="宋体"/>
                <w:color w:val="auto"/>
                <w:szCs w:val="21"/>
                <w:highlight w:val="none"/>
                <w:lang w:val="en-US" w:eastAsia="zh-CN"/>
              </w:rPr>
              <w:t>）来确定。</w:t>
            </w:r>
          </w:p>
          <w:p w14:paraId="1BA10B77">
            <w:pPr>
              <w:pStyle w:val="9"/>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Times New Roman" w:cs="Times New Roman"/>
                <w:color w:val="auto"/>
                <w:szCs w:val="21"/>
                <w:highlight w:val="none"/>
              </w:rPr>
            </w:pPr>
            <w:r>
              <w:rPr>
                <w:rFonts w:hint="eastAsia" w:ascii="宋体" w:hAnsi="宋体" w:eastAsia="Times New Roman" w:cs="Times New Roman"/>
                <w:color w:val="auto"/>
                <w:szCs w:val="21"/>
                <w:highlight w:val="none"/>
                <w:lang w:val="en-US" w:eastAsia="zh-CN"/>
              </w:rPr>
              <w:t xml:space="preserve">K 为复合系数（从 0.30、0.35、0.40三值中，开标时随机抽取一个值）； </w:t>
            </w:r>
          </w:p>
          <w:p w14:paraId="4BE7F770">
            <w:pPr>
              <w:pStyle w:val="9"/>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i 为下浮系数（从 0.5、1、1.5三值中，开标时随机抽取一个值）；</w:t>
            </w:r>
          </w:p>
          <w:p w14:paraId="5FCABC5E">
            <w:pPr>
              <w:pStyle w:val="9"/>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olor w:val="auto"/>
                <w:szCs w:val="21"/>
                <w:highlight w:val="none"/>
                <w:lang w:val="en-US" w:eastAsia="zh-CN"/>
              </w:rPr>
              <w:t>B</w:t>
            </w:r>
            <w:r>
              <w:rPr>
                <w:rFonts w:hint="eastAsia" w:ascii="宋体" w:hAnsi="宋体" w:eastAsia="宋体" w:cs="Times New Roman"/>
                <w:color w:val="auto"/>
                <w:kern w:val="2"/>
                <w:sz w:val="21"/>
                <w:szCs w:val="21"/>
                <w:highlight w:val="none"/>
                <w:lang w:val="en-US" w:eastAsia="zh-CN" w:bidi="ar-SA"/>
              </w:rPr>
              <w:t xml:space="preserve">值：如所有通过第一信封评审的投标人数量在15家及以上的，B值计算方案在第二信封开标时在下述三种方案中随机抽取；如所有通过第一信封评审的投标人数量在15 家以下的，B值计算方案在第二信封开标时在下述方案二、方案三中随机抽取；B值计算方案在第二信封开标时抽取确定后，在本次招标期间保持不变（不再由于评标差错、导致否决投标错误、重新评标纠正等情况导致通过第一信封评审及第二信封初步评审的投标人数量发生变化而重新抽取）。 </w:t>
            </w:r>
          </w:p>
          <w:p w14:paraId="7D7264E6">
            <w:pPr>
              <w:keepNext w:val="0"/>
              <w:keepLines w:val="0"/>
              <w:pageBreakBefore w:val="0"/>
              <w:widowControl/>
              <w:suppressLineNumbers w:val="0"/>
              <w:kinsoku/>
              <w:wordWrap/>
              <w:overflowPunct/>
              <w:topLinePunct w:val="0"/>
              <w:autoSpaceDE/>
              <w:autoSpaceDN/>
              <w:bidi w:val="0"/>
              <w:adjustRightInd/>
              <w:snapToGrid/>
              <w:spacing w:line="280" w:lineRule="exact"/>
              <w:ind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 xml:space="preserve">a．B 值计算方案一 </w:t>
            </w:r>
          </w:p>
          <w:p w14:paraId="3C271688">
            <w:pPr>
              <w:keepNext w:val="0"/>
              <w:keepLines w:val="0"/>
              <w:pageBreakBefore w:val="0"/>
              <w:widowControl/>
              <w:suppressLineNumbers w:val="0"/>
              <w:kinsoku/>
              <w:wordWrap/>
              <w:overflowPunct/>
              <w:topLinePunct w:val="0"/>
              <w:autoSpaceDE/>
              <w:autoSpaceDN/>
              <w:bidi w:val="0"/>
              <w:adjustRightInd/>
              <w:snapToGrid/>
              <w:spacing w:line="280" w:lineRule="exact"/>
              <w:ind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所有通过第一信封评审及第二信封初步评审的投标人评标价，根据下述区段计算区段平均值（区段内各投标人评标价的算术平均值），再将计算得出的区段平均值进行加权平均，得出的投标人评标价二次平均值即为 B 值。</w:t>
            </w:r>
          </w:p>
          <w:tbl>
            <w:tblPr>
              <w:tblStyle w:val="24"/>
              <w:tblW w:w="69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33"/>
              <w:gridCol w:w="1267"/>
              <w:gridCol w:w="2717"/>
            </w:tblGrid>
            <w:tr w14:paraId="6C7B4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33" w:type="dxa"/>
                  <w:noWrap w:val="0"/>
                  <w:vAlign w:val="center"/>
                </w:tcPr>
                <w:p w14:paraId="7C75A943">
                  <w:pPr>
                    <w:pStyle w:val="9"/>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区段</w:t>
                  </w:r>
                </w:p>
              </w:tc>
              <w:tc>
                <w:tcPr>
                  <w:tcW w:w="1267" w:type="dxa"/>
                  <w:noWrap w:val="0"/>
                  <w:vAlign w:val="center"/>
                </w:tcPr>
                <w:p w14:paraId="235BD236">
                  <w:pPr>
                    <w:pStyle w:val="9"/>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区段平均值</w:t>
                  </w:r>
                </w:p>
              </w:tc>
              <w:tc>
                <w:tcPr>
                  <w:tcW w:w="2717" w:type="dxa"/>
                  <w:noWrap w:val="0"/>
                  <w:vAlign w:val="center"/>
                </w:tcPr>
                <w:p w14:paraId="526F7CD9">
                  <w:pPr>
                    <w:pStyle w:val="9"/>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二次平均值</w:t>
                  </w:r>
                </w:p>
              </w:tc>
            </w:tr>
            <w:tr w14:paraId="57016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33" w:type="dxa"/>
                  <w:noWrap w:val="0"/>
                  <w:vAlign w:val="center"/>
                </w:tcPr>
                <w:p w14:paraId="6572ED93">
                  <w:pPr>
                    <w:pStyle w:val="9"/>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b/>
                      <w:bCs/>
                      <w:color w:val="auto"/>
                      <w:sz w:val="18"/>
                      <w:szCs w:val="18"/>
                      <w:highlight w:val="none"/>
                      <w:vertAlign w:val="baseline"/>
                      <w:lang w:val="en-US" w:eastAsia="zh-CN"/>
                    </w:rPr>
                  </w:pPr>
                  <w:r>
                    <w:rPr>
                      <w:rFonts w:hint="eastAsia" w:ascii="宋体" w:hAnsi="宋体" w:eastAsia="宋体" w:cs="宋体"/>
                      <w:b/>
                      <w:bCs/>
                      <w:color w:val="auto"/>
                      <w:sz w:val="18"/>
                      <w:szCs w:val="18"/>
                      <w:highlight w:val="none"/>
                      <w:vertAlign w:val="baseline"/>
                      <w:lang w:val="en-US" w:eastAsia="zh-CN"/>
                    </w:rPr>
                    <w:t>A*0.97﹤投标人评标价≦A</w:t>
                  </w:r>
                </w:p>
              </w:tc>
              <w:tc>
                <w:tcPr>
                  <w:tcW w:w="1267" w:type="dxa"/>
                  <w:noWrap w:val="0"/>
                  <w:vAlign w:val="center"/>
                </w:tcPr>
                <w:p w14:paraId="165BBC9C">
                  <w:pPr>
                    <w:pStyle w:val="9"/>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b/>
                      <w:bCs/>
                      <w:color w:val="auto"/>
                      <w:sz w:val="18"/>
                      <w:szCs w:val="18"/>
                      <w:highlight w:val="none"/>
                      <w:vertAlign w:val="baseline"/>
                      <w:lang w:val="en-US" w:eastAsia="zh-CN"/>
                    </w:rPr>
                  </w:pPr>
                  <w:r>
                    <w:rPr>
                      <w:rFonts w:hint="eastAsia" w:ascii="宋体" w:hAnsi="宋体" w:eastAsia="宋体" w:cs="宋体"/>
                      <w:b/>
                      <w:bCs/>
                      <w:color w:val="auto"/>
                      <w:sz w:val="18"/>
                      <w:szCs w:val="18"/>
                      <w:highlight w:val="none"/>
                      <w:vertAlign w:val="baseline"/>
                      <w:lang w:val="en-US" w:eastAsia="zh-CN"/>
                    </w:rPr>
                    <w:t>A1</w:t>
                  </w:r>
                </w:p>
              </w:tc>
              <w:tc>
                <w:tcPr>
                  <w:tcW w:w="2717" w:type="dxa"/>
                  <w:vMerge w:val="restart"/>
                  <w:noWrap w:val="0"/>
                  <w:vAlign w:val="center"/>
                </w:tcPr>
                <w:p w14:paraId="12F6602E">
                  <w:pPr>
                    <w:keepNext w:val="0"/>
                    <w:keepLines w:val="0"/>
                    <w:widowControl/>
                    <w:suppressLineNumbers w:val="0"/>
                    <w:jc w:val="left"/>
                    <w:rPr>
                      <w:rFonts w:ascii="Times New Roman" w:hAnsi="Times New Roman"/>
                      <w:color w:val="auto"/>
                      <w:highlight w:val="none"/>
                    </w:rPr>
                  </w:pPr>
                  <w:r>
                    <w:rPr>
                      <w:rFonts w:hint="eastAsia" w:ascii="宋体" w:hAnsi="宋体" w:eastAsia="宋体" w:cs="宋体"/>
                      <w:color w:val="auto"/>
                      <w:kern w:val="0"/>
                      <w:sz w:val="18"/>
                      <w:szCs w:val="18"/>
                      <w:highlight w:val="none"/>
                      <w:lang w:val="en-US" w:eastAsia="zh-CN" w:bidi="ar"/>
                    </w:rPr>
                    <w:t xml:space="preserve">B为A1～A10的加权平均值（A1 和A10 权重为0.1，A8 和 A9 权重为0.3，其余权重为1.0）。 </w:t>
                  </w:r>
                </w:p>
                <w:p w14:paraId="3F411AA5">
                  <w:pPr>
                    <w:keepNext w:val="0"/>
                    <w:keepLines w:val="0"/>
                    <w:widowControl/>
                    <w:suppressLineNumbers w:val="0"/>
                    <w:jc w:val="left"/>
                    <w:rPr>
                      <w:rFonts w:ascii="Times New Roman" w:hAnsi="Times New Roman"/>
                      <w:color w:val="auto"/>
                      <w:highlight w:val="none"/>
                    </w:rPr>
                  </w:pPr>
                  <w:r>
                    <w:rPr>
                      <w:rFonts w:hint="eastAsia" w:ascii="宋体" w:hAnsi="宋体" w:eastAsia="宋体" w:cs="宋体"/>
                      <w:color w:val="auto"/>
                      <w:kern w:val="0"/>
                      <w:sz w:val="18"/>
                      <w:szCs w:val="18"/>
                      <w:highlight w:val="none"/>
                      <w:lang w:val="en-US" w:eastAsia="zh-CN" w:bidi="ar"/>
                    </w:rPr>
                    <w:t xml:space="preserve">若某区段无投标人评标价，则该区段不计区段平均值。 </w:t>
                  </w:r>
                </w:p>
                <w:p w14:paraId="62BFB41D">
                  <w:pPr>
                    <w:pStyle w:val="9"/>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auto"/>
                      <w:sz w:val="18"/>
                      <w:szCs w:val="18"/>
                      <w:highlight w:val="none"/>
                      <w:vertAlign w:val="baseline"/>
                      <w:lang w:val="en-US" w:eastAsia="zh-CN"/>
                    </w:rPr>
                  </w:pPr>
                </w:p>
              </w:tc>
            </w:tr>
            <w:tr w14:paraId="3BB43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33" w:type="dxa"/>
                  <w:noWrap w:val="0"/>
                  <w:vAlign w:val="center"/>
                </w:tcPr>
                <w:p w14:paraId="2E7B72A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b/>
                      <w:bCs/>
                      <w:color w:val="auto"/>
                      <w:sz w:val="18"/>
                      <w:szCs w:val="18"/>
                      <w:highlight w:val="none"/>
                      <w:vertAlign w:val="baseline"/>
                      <w:lang w:val="en-US" w:eastAsia="zh-CN"/>
                    </w:rPr>
                  </w:pPr>
                  <w:r>
                    <w:rPr>
                      <w:rFonts w:hint="eastAsia" w:ascii="宋体" w:hAnsi="宋体" w:eastAsia="宋体" w:cs="宋体"/>
                      <w:b/>
                      <w:bCs/>
                      <w:color w:val="auto"/>
                      <w:sz w:val="18"/>
                      <w:szCs w:val="18"/>
                      <w:highlight w:val="none"/>
                      <w:vertAlign w:val="baseline"/>
                      <w:lang w:val="en-US" w:eastAsia="zh-CN"/>
                    </w:rPr>
                    <w:t>A*0.95﹤投标人评标价≦A*0.97</w:t>
                  </w:r>
                </w:p>
              </w:tc>
              <w:tc>
                <w:tcPr>
                  <w:tcW w:w="1267" w:type="dxa"/>
                  <w:noWrap w:val="0"/>
                  <w:vAlign w:val="center"/>
                </w:tcPr>
                <w:p w14:paraId="2BBF2F9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b/>
                      <w:bCs/>
                      <w:color w:val="auto"/>
                      <w:sz w:val="18"/>
                      <w:szCs w:val="18"/>
                      <w:highlight w:val="none"/>
                      <w:vertAlign w:val="baseline"/>
                      <w:lang w:val="en-US" w:eastAsia="zh-CN"/>
                    </w:rPr>
                  </w:pPr>
                  <w:r>
                    <w:rPr>
                      <w:rFonts w:hint="eastAsia" w:ascii="宋体" w:hAnsi="宋体" w:eastAsia="宋体" w:cs="宋体"/>
                      <w:b/>
                      <w:bCs/>
                      <w:color w:val="auto"/>
                      <w:sz w:val="18"/>
                      <w:szCs w:val="18"/>
                      <w:highlight w:val="none"/>
                      <w:vertAlign w:val="baseline"/>
                      <w:lang w:val="en-US" w:eastAsia="zh-CN"/>
                    </w:rPr>
                    <w:t>A2</w:t>
                  </w:r>
                </w:p>
              </w:tc>
              <w:tc>
                <w:tcPr>
                  <w:tcW w:w="2717" w:type="dxa"/>
                  <w:vMerge w:val="continue"/>
                  <w:noWrap w:val="0"/>
                  <w:vAlign w:val="center"/>
                </w:tcPr>
                <w:p w14:paraId="5FA0C75A">
                  <w:pPr>
                    <w:pStyle w:val="9"/>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auto"/>
                      <w:sz w:val="18"/>
                      <w:szCs w:val="18"/>
                      <w:highlight w:val="none"/>
                      <w:vertAlign w:val="baseline"/>
                      <w:lang w:val="en-US" w:eastAsia="zh-CN"/>
                    </w:rPr>
                  </w:pPr>
                </w:p>
              </w:tc>
            </w:tr>
            <w:tr w14:paraId="749FD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33" w:type="dxa"/>
                  <w:noWrap w:val="0"/>
                  <w:vAlign w:val="center"/>
                </w:tcPr>
                <w:p w14:paraId="6911D7C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b/>
                      <w:bCs/>
                      <w:color w:val="auto"/>
                      <w:sz w:val="18"/>
                      <w:szCs w:val="18"/>
                      <w:highlight w:val="none"/>
                      <w:vertAlign w:val="baseline"/>
                      <w:lang w:val="en-US" w:eastAsia="zh-CN"/>
                    </w:rPr>
                  </w:pPr>
                  <w:r>
                    <w:rPr>
                      <w:rFonts w:hint="eastAsia" w:ascii="宋体" w:hAnsi="宋体" w:eastAsia="宋体" w:cs="宋体"/>
                      <w:b/>
                      <w:bCs/>
                      <w:color w:val="auto"/>
                      <w:sz w:val="18"/>
                      <w:szCs w:val="18"/>
                      <w:highlight w:val="none"/>
                      <w:vertAlign w:val="baseline"/>
                      <w:lang w:val="en-US" w:eastAsia="zh-CN"/>
                    </w:rPr>
                    <w:t>A*0.93﹤投标人评标价≦A*0.95</w:t>
                  </w:r>
                </w:p>
              </w:tc>
              <w:tc>
                <w:tcPr>
                  <w:tcW w:w="1267" w:type="dxa"/>
                  <w:noWrap w:val="0"/>
                  <w:vAlign w:val="center"/>
                </w:tcPr>
                <w:p w14:paraId="1FE2A81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b/>
                      <w:bCs/>
                      <w:color w:val="auto"/>
                      <w:sz w:val="18"/>
                      <w:szCs w:val="18"/>
                      <w:highlight w:val="none"/>
                      <w:vertAlign w:val="baseline"/>
                      <w:lang w:val="en-US" w:eastAsia="zh-CN"/>
                    </w:rPr>
                  </w:pPr>
                  <w:r>
                    <w:rPr>
                      <w:rFonts w:hint="eastAsia" w:ascii="宋体" w:hAnsi="宋体" w:eastAsia="宋体" w:cs="宋体"/>
                      <w:b/>
                      <w:bCs/>
                      <w:color w:val="auto"/>
                      <w:sz w:val="18"/>
                      <w:szCs w:val="18"/>
                      <w:highlight w:val="none"/>
                      <w:vertAlign w:val="baseline"/>
                      <w:lang w:val="en-US" w:eastAsia="zh-CN"/>
                    </w:rPr>
                    <w:t>A3</w:t>
                  </w:r>
                </w:p>
              </w:tc>
              <w:tc>
                <w:tcPr>
                  <w:tcW w:w="2717" w:type="dxa"/>
                  <w:vMerge w:val="continue"/>
                  <w:noWrap w:val="0"/>
                  <w:vAlign w:val="center"/>
                </w:tcPr>
                <w:p w14:paraId="553B9F13">
                  <w:pPr>
                    <w:pStyle w:val="9"/>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auto"/>
                      <w:sz w:val="18"/>
                      <w:szCs w:val="18"/>
                      <w:highlight w:val="none"/>
                      <w:vertAlign w:val="baseline"/>
                      <w:lang w:val="en-US" w:eastAsia="zh-CN"/>
                    </w:rPr>
                  </w:pPr>
                </w:p>
              </w:tc>
            </w:tr>
            <w:tr w14:paraId="41E9C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33" w:type="dxa"/>
                  <w:noWrap w:val="0"/>
                  <w:vAlign w:val="center"/>
                </w:tcPr>
                <w:p w14:paraId="31D389A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b/>
                      <w:bCs/>
                      <w:color w:val="auto"/>
                      <w:sz w:val="18"/>
                      <w:szCs w:val="18"/>
                      <w:highlight w:val="none"/>
                      <w:vertAlign w:val="baseline"/>
                      <w:lang w:val="en-US" w:eastAsia="zh-CN"/>
                    </w:rPr>
                  </w:pPr>
                  <w:r>
                    <w:rPr>
                      <w:rFonts w:hint="eastAsia" w:ascii="宋体" w:hAnsi="宋体" w:eastAsia="宋体" w:cs="宋体"/>
                      <w:b/>
                      <w:bCs/>
                      <w:color w:val="auto"/>
                      <w:sz w:val="18"/>
                      <w:szCs w:val="18"/>
                      <w:highlight w:val="none"/>
                      <w:vertAlign w:val="baseline"/>
                      <w:lang w:val="en-US" w:eastAsia="zh-CN"/>
                    </w:rPr>
                    <w:t>A*0.91﹤投标人评标价≦A*0.93</w:t>
                  </w:r>
                </w:p>
              </w:tc>
              <w:tc>
                <w:tcPr>
                  <w:tcW w:w="1267" w:type="dxa"/>
                  <w:noWrap w:val="0"/>
                  <w:vAlign w:val="center"/>
                </w:tcPr>
                <w:p w14:paraId="0C09568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b/>
                      <w:bCs/>
                      <w:color w:val="auto"/>
                      <w:sz w:val="18"/>
                      <w:szCs w:val="18"/>
                      <w:highlight w:val="none"/>
                      <w:vertAlign w:val="baseline"/>
                      <w:lang w:val="en-US" w:eastAsia="zh-CN"/>
                    </w:rPr>
                  </w:pPr>
                  <w:r>
                    <w:rPr>
                      <w:rFonts w:hint="eastAsia" w:ascii="宋体" w:hAnsi="宋体" w:eastAsia="宋体" w:cs="宋体"/>
                      <w:b/>
                      <w:bCs/>
                      <w:color w:val="auto"/>
                      <w:sz w:val="18"/>
                      <w:szCs w:val="18"/>
                      <w:highlight w:val="none"/>
                      <w:vertAlign w:val="baseline"/>
                      <w:lang w:val="en-US" w:eastAsia="zh-CN"/>
                    </w:rPr>
                    <w:t>A4</w:t>
                  </w:r>
                </w:p>
              </w:tc>
              <w:tc>
                <w:tcPr>
                  <w:tcW w:w="2717" w:type="dxa"/>
                  <w:vMerge w:val="continue"/>
                  <w:noWrap w:val="0"/>
                  <w:vAlign w:val="center"/>
                </w:tcPr>
                <w:p w14:paraId="7E560191">
                  <w:pPr>
                    <w:pStyle w:val="9"/>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auto"/>
                      <w:sz w:val="18"/>
                      <w:szCs w:val="18"/>
                      <w:highlight w:val="none"/>
                      <w:vertAlign w:val="baseline"/>
                      <w:lang w:val="en-US" w:eastAsia="zh-CN"/>
                    </w:rPr>
                  </w:pPr>
                </w:p>
              </w:tc>
            </w:tr>
            <w:tr w14:paraId="09836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33" w:type="dxa"/>
                  <w:noWrap w:val="0"/>
                  <w:vAlign w:val="center"/>
                </w:tcPr>
                <w:p w14:paraId="38E6E19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b/>
                      <w:bCs/>
                      <w:color w:val="auto"/>
                      <w:sz w:val="18"/>
                      <w:szCs w:val="18"/>
                      <w:highlight w:val="none"/>
                      <w:vertAlign w:val="baseline"/>
                      <w:lang w:val="en-US" w:eastAsia="zh-CN"/>
                    </w:rPr>
                  </w:pPr>
                  <w:r>
                    <w:rPr>
                      <w:rFonts w:hint="eastAsia" w:ascii="宋体" w:hAnsi="宋体" w:eastAsia="宋体" w:cs="宋体"/>
                      <w:b/>
                      <w:bCs/>
                      <w:color w:val="auto"/>
                      <w:sz w:val="18"/>
                      <w:szCs w:val="18"/>
                      <w:highlight w:val="none"/>
                      <w:vertAlign w:val="baseline"/>
                      <w:lang w:val="en-US" w:eastAsia="zh-CN"/>
                    </w:rPr>
                    <w:t>A*0.89﹤投标人评标价≦A*0.91</w:t>
                  </w:r>
                </w:p>
              </w:tc>
              <w:tc>
                <w:tcPr>
                  <w:tcW w:w="1267" w:type="dxa"/>
                  <w:noWrap w:val="0"/>
                  <w:vAlign w:val="center"/>
                </w:tcPr>
                <w:p w14:paraId="72DE51D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b/>
                      <w:bCs/>
                      <w:color w:val="auto"/>
                      <w:sz w:val="18"/>
                      <w:szCs w:val="18"/>
                      <w:highlight w:val="none"/>
                      <w:vertAlign w:val="baseline"/>
                      <w:lang w:val="en-US" w:eastAsia="zh-CN"/>
                    </w:rPr>
                  </w:pPr>
                  <w:r>
                    <w:rPr>
                      <w:rFonts w:hint="eastAsia" w:ascii="宋体" w:hAnsi="宋体" w:eastAsia="宋体" w:cs="宋体"/>
                      <w:b/>
                      <w:bCs/>
                      <w:color w:val="auto"/>
                      <w:sz w:val="18"/>
                      <w:szCs w:val="18"/>
                      <w:highlight w:val="none"/>
                      <w:vertAlign w:val="baseline"/>
                      <w:lang w:val="en-US" w:eastAsia="zh-CN"/>
                    </w:rPr>
                    <w:t>A5</w:t>
                  </w:r>
                </w:p>
              </w:tc>
              <w:tc>
                <w:tcPr>
                  <w:tcW w:w="2717" w:type="dxa"/>
                  <w:vMerge w:val="continue"/>
                  <w:noWrap w:val="0"/>
                  <w:vAlign w:val="center"/>
                </w:tcPr>
                <w:p w14:paraId="79C60C6A">
                  <w:pPr>
                    <w:pStyle w:val="9"/>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auto"/>
                      <w:sz w:val="18"/>
                      <w:szCs w:val="18"/>
                      <w:highlight w:val="none"/>
                      <w:vertAlign w:val="baseline"/>
                      <w:lang w:val="en-US" w:eastAsia="zh-CN"/>
                    </w:rPr>
                  </w:pPr>
                </w:p>
              </w:tc>
            </w:tr>
            <w:tr w14:paraId="08DED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33" w:type="dxa"/>
                  <w:noWrap w:val="0"/>
                  <w:vAlign w:val="center"/>
                </w:tcPr>
                <w:p w14:paraId="7D27663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b/>
                      <w:bCs/>
                      <w:color w:val="auto"/>
                      <w:sz w:val="18"/>
                      <w:szCs w:val="18"/>
                      <w:highlight w:val="none"/>
                      <w:vertAlign w:val="baseline"/>
                      <w:lang w:val="en-US" w:eastAsia="zh-CN"/>
                    </w:rPr>
                  </w:pPr>
                  <w:r>
                    <w:rPr>
                      <w:rFonts w:hint="eastAsia" w:ascii="宋体" w:hAnsi="宋体" w:eastAsia="宋体" w:cs="宋体"/>
                      <w:b/>
                      <w:bCs/>
                      <w:color w:val="auto"/>
                      <w:sz w:val="18"/>
                      <w:szCs w:val="18"/>
                      <w:highlight w:val="none"/>
                      <w:vertAlign w:val="baseline"/>
                      <w:lang w:val="en-US" w:eastAsia="zh-CN"/>
                    </w:rPr>
                    <w:t>A*0.87﹤投标人评标价≦A*0.89</w:t>
                  </w:r>
                </w:p>
              </w:tc>
              <w:tc>
                <w:tcPr>
                  <w:tcW w:w="1267" w:type="dxa"/>
                  <w:noWrap w:val="0"/>
                  <w:vAlign w:val="center"/>
                </w:tcPr>
                <w:p w14:paraId="6741A68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b/>
                      <w:bCs/>
                      <w:color w:val="auto"/>
                      <w:sz w:val="18"/>
                      <w:szCs w:val="18"/>
                      <w:highlight w:val="none"/>
                      <w:vertAlign w:val="baseline"/>
                      <w:lang w:val="en-US" w:eastAsia="zh-CN"/>
                    </w:rPr>
                  </w:pPr>
                  <w:r>
                    <w:rPr>
                      <w:rFonts w:hint="eastAsia" w:ascii="宋体" w:hAnsi="宋体" w:eastAsia="宋体" w:cs="宋体"/>
                      <w:b/>
                      <w:bCs/>
                      <w:color w:val="auto"/>
                      <w:sz w:val="18"/>
                      <w:szCs w:val="18"/>
                      <w:highlight w:val="none"/>
                      <w:vertAlign w:val="baseline"/>
                      <w:lang w:val="en-US" w:eastAsia="zh-CN"/>
                    </w:rPr>
                    <w:t>A6</w:t>
                  </w:r>
                </w:p>
              </w:tc>
              <w:tc>
                <w:tcPr>
                  <w:tcW w:w="2717" w:type="dxa"/>
                  <w:vMerge w:val="continue"/>
                  <w:noWrap w:val="0"/>
                  <w:vAlign w:val="center"/>
                </w:tcPr>
                <w:p w14:paraId="607F553F">
                  <w:pPr>
                    <w:pStyle w:val="9"/>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auto"/>
                      <w:sz w:val="18"/>
                      <w:szCs w:val="18"/>
                      <w:highlight w:val="none"/>
                      <w:vertAlign w:val="baseline"/>
                      <w:lang w:val="en-US" w:eastAsia="zh-CN"/>
                    </w:rPr>
                  </w:pPr>
                </w:p>
              </w:tc>
            </w:tr>
            <w:tr w14:paraId="6C175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33" w:type="dxa"/>
                  <w:noWrap w:val="0"/>
                  <w:vAlign w:val="center"/>
                </w:tcPr>
                <w:p w14:paraId="758947C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b/>
                      <w:bCs/>
                      <w:color w:val="auto"/>
                      <w:sz w:val="18"/>
                      <w:szCs w:val="18"/>
                      <w:highlight w:val="none"/>
                      <w:vertAlign w:val="baseline"/>
                      <w:lang w:val="en-US" w:eastAsia="zh-CN"/>
                    </w:rPr>
                  </w:pPr>
                  <w:r>
                    <w:rPr>
                      <w:rFonts w:hint="eastAsia" w:ascii="宋体" w:hAnsi="宋体" w:eastAsia="宋体" w:cs="宋体"/>
                      <w:b/>
                      <w:bCs/>
                      <w:color w:val="auto"/>
                      <w:sz w:val="18"/>
                      <w:szCs w:val="18"/>
                      <w:highlight w:val="none"/>
                      <w:vertAlign w:val="baseline"/>
                      <w:lang w:val="en-US" w:eastAsia="zh-CN"/>
                    </w:rPr>
                    <w:t>A*0.85﹤投标人评标价≦A*0.87</w:t>
                  </w:r>
                </w:p>
              </w:tc>
              <w:tc>
                <w:tcPr>
                  <w:tcW w:w="1267" w:type="dxa"/>
                  <w:noWrap w:val="0"/>
                  <w:vAlign w:val="center"/>
                </w:tcPr>
                <w:p w14:paraId="2D6D66F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b/>
                      <w:bCs/>
                      <w:color w:val="auto"/>
                      <w:sz w:val="18"/>
                      <w:szCs w:val="18"/>
                      <w:highlight w:val="none"/>
                      <w:vertAlign w:val="baseline"/>
                      <w:lang w:val="en-US" w:eastAsia="zh-CN"/>
                    </w:rPr>
                  </w:pPr>
                  <w:r>
                    <w:rPr>
                      <w:rFonts w:hint="eastAsia" w:ascii="宋体" w:hAnsi="宋体" w:eastAsia="宋体" w:cs="宋体"/>
                      <w:b/>
                      <w:bCs/>
                      <w:color w:val="auto"/>
                      <w:sz w:val="18"/>
                      <w:szCs w:val="18"/>
                      <w:highlight w:val="none"/>
                      <w:vertAlign w:val="baseline"/>
                      <w:lang w:val="en-US" w:eastAsia="zh-CN"/>
                    </w:rPr>
                    <w:t>A7</w:t>
                  </w:r>
                </w:p>
              </w:tc>
              <w:tc>
                <w:tcPr>
                  <w:tcW w:w="2717" w:type="dxa"/>
                  <w:vMerge w:val="continue"/>
                  <w:noWrap w:val="0"/>
                  <w:vAlign w:val="center"/>
                </w:tcPr>
                <w:p w14:paraId="48DF0F9D">
                  <w:pPr>
                    <w:pStyle w:val="9"/>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auto"/>
                      <w:sz w:val="18"/>
                      <w:szCs w:val="18"/>
                      <w:highlight w:val="none"/>
                      <w:vertAlign w:val="baseline"/>
                      <w:lang w:val="en-US" w:eastAsia="zh-CN"/>
                    </w:rPr>
                  </w:pPr>
                </w:p>
              </w:tc>
            </w:tr>
            <w:tr w14:paraId="005C9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33" w:type="dxa"/>
                  <w:noWrap w:val="0"/>
                  <w:vAlign w:val="center"/>
                </w:tcPr>
                <w:p w14:paraId="55965D4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b/>
                      <w:bCs/>
                      <w:color w:val="auto"/>
                      <w:sz w:val="18"/>
                      <w:szCs w:val="18"/>
                      <w:highlight w:val="none"/>
                      <w:vertAlign w:val="baseline"/>
                      <w:lang w:val="en-US" w:eastAsia="zh-CN"/>
                    </w:rPr>
                  </w:pPr>
                  <w:r>
                    <w:rPr>
                      <w:rFonts w:hint="eastAsia" w:ascii="宋体" w:hAnsi="宋体" w:eastAsia="宋体" w:cs="宋体"/>
                      <w:b/>
                      <w:bCs/>
                      <w:color w:val="auto"/>
                      <w:sz w:val="18"/>
                      <w:szCs w:val="18"/>
                      <w:highlight w:val="none"/>
                      <w:vertAlign w:val="baseline"/>
                      <w:lang w:val="en-US" w:eastAsia="zh-CN"/>
                    </w:rPr>
                    <w:t>A*0.83﹤投标人评标价≦A*0.85</w:t>
                  </w:r>
                </w:p>
              </w:tc>
              <w:tc>
                <w:tcPr>
                  <w:tcW w:w="1267" w:type="dxa"/>
                  <w:noWrap w:val="0"/>
                  <w:vAlign w:val="center"/>
                </w:tcPr>
                <w:p w14:paraId="4F83EDE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b/>
                      <w:bCs/>
                      <w:color w:val="auto"/>
                      <w:sz w:val="18"/>
                      <w:szCs w:val="18"/>
                      <w:highlight w:val="none"/>
                      <w:vertAlign w:val="baseline"/>
                      <w:lang w:val="en-US" w:eastAsia="zh-CN"/>
                    </w:rPr>
                  </w:pPr>
                  <w:r>
                    <w:rPr>
                      <w:rFonts w:hint="eastAsia" w:ascii="宋体" w:hAnsi="宋体" w:eastAsia="宋体" w:cs="宋体"/>
                      <w:b/>
                      <w:bCs/>
                      <w:color w:val="auto"/>
                      <w:sz w:val="18"/>
                      <w:szCs w:val="18"/>
                      <w:highlight w:val="none"/>
                      <w:vertAlign w:val="baseline"/>
                      <w:lang w:val="en-US" w:eastAsia="zh-CN"/>
                    </w:rPr>
                    <w:t>A8</w:t>
                  </w:r>
                </w:p>
              </w:tc>
              <w:tc>
                <w:tcPr>
                  <w:tcW w:w="2717" w:type="dxa"/>
                  <w:vMerge w:val="continue"/>
                  <w:noWrap w:val="0"/>
                  <w:vAlign w:val="center"/>
                </w:tcPr>
                <w:p w14:paraId="3526A6E5">
                  <w:pPr>
                    <w:pStyle w:val="9"/>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auto"/>
                      <w:sz w:val="18"/>
                      <w:szCs w:val="18"/>
                      <w:highlight w:val="none"/>
                      <w:vertAlign w:val="baseline"/>
                      <w:lang w:val="en-US" w:eastAsia="zh-CN"/>
                    </w:rPr>
                  </w:pPr>
                </w:p>
              </w:tc>
            </w:tr>
            <w:tr w14:paraId="57AE5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33" w:type="dxa"/>
                  <w:noWrap w:val="0"/>
                  <w:vAlign w:val="center"/>
                </w:tcPr>
                <w:p w14:paraId="4A4354A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b/>
                      <w:bCs/>
                      <w:color w:val="auto"/>
                      <w:sz w:val="18"/>
                      <w:szCs w:val="18"/>
                      <w:highlight w:val="none"/>
                      <w:vertAlign w:val="baseline"/>
                      <w:lang w:val="en-US" w:eastAsia="zh-CN"/>
                    </w:rPr>
                  </w:pPr>
                  <w:r>
                    <w:rPr>
                      <w:rFonts w:hint="eastAsia" w:ascii="宋体" w:hAnsi="宋体" w:eastAsia="宋体" w:cs="宋体"/>
                      <w:b/>
                      <w:bCs/>
                      <w:color w:val="auto"/>
                      <w:sz w:val="18"/>
                      <w:szCs w:val="18"/>
                      <w:highlight w:val="none"/>
                      <w:vertAlign w:val="baseline"/>
                      <w:lang w:val="en-US" w:eastAsia="zh-CN"/>
                    </w:rPr>
                    <w:t>A*0.80﹤投标人评标价≦A*0.83</w:t>
                  </w:r>
                </w:p>
              </w:tc>
              <w:tc>
                <w:tcPr>
                  <w:tcW w:w="1267" w:type="dxa"/>
                  <w:noWrap w:val="0"/>
                  <w:vAlign w:val="center"/>
                </w:tcPr>
                <w:p w14:paraId="6ACC2F5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b/>
                      <w:bCs/>
                      <w:color w:val="auto"/>
                      <w:sz w:val="18"/>
                      <w:szCs w:val="18"/>
                      <w:highlight w:val="none"/>
                      <w:vertAlign w:val="baseline"/>
                      <w:lang w:val="en-US" w:eastAsia="zh-CN"/>
                    </w:rPr>
                  </w:pPr>
                  <w:r>
                    <w:rPr>
                      <w:rFonts w:hint="eastAsia" w:ascii="宋体" w:hAnsi="宋体" w:eastAsia="宋体" w:cs="宋体"/>
                      <w:b/>
                      <w:bCs/>
                      <w:color w:val="auto"/>
                      <w:sz w:val="18"/>
                      <w:szCs w:val="18"/>
                      <w:highlight w:val="none"/>
                      <w:vertAlign w:val="baseline"/>
                      <w:lang w:val="en-US" w:eastAsia="zh-CN"/>
                    </w:rPr>
                    <w:t>A9</w:t>
                  </w:r>
                </w:p>
              </w:tc>
              <w:tc>
                <w:tcPr>
                  <w:tcW w:w="2717" w:type="dxa"/>
                  <w:vMerge w:val="continue"/>
                  <w:noWrap w:val="0"/>
                  <w:vAlign w:val="center"/>
                </w:tcPr>
                <w:p w14:paraId="0DFAB88D">
                  <w:pPr>
                    <w:pStyle w:val="9"/>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auto"/>
                      <w:sz w:val="18"/>
                      <w:szCs w:val="18"/>
                      <w:highlight w:val="none"/>
                      <w:vertAlign w:val="baseline"/>
                      <w:lang w:val="en-US" w:eastAsia="zh-CN"/>
                    </w:rPr>
                  </w:pPr>
                </w:p>
              </w:tc>
            </w:tr>
            <w:tr w14:paraId="6168F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33" w:type="dxa"/>
                  <w:noWrap w:val="0"/>
                  <w:vAlign w:val="center"/>
                </w:tcPr>
                <w:p w14:paraId="159B006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b/>
                      <w:bCs/>
                      <w:color w:val="auto"/>
                      <w:sz w:val="18"/>
                      <w:szCs w:val="18"/>
                      <w:highlight w:val="none"/>
                      <w:vertAlign w:val="baseline"/>
                      <w:lang w:val="en-US" w:eastAsia="zh-CN"/>
                    </w:rPr>
                  </w:pPr>
                  <w:r>
                    <w:rPr>
                      <w:rFonts w:hint="eastAsia" w:ascii="宋体" w:hAnsi="宋体" w:eastAsia="宋体" w:cs="宋体"/>
                      <w:b/>
                      <w:bCs/>
                      <w:color w:val="auto"/>
                      <w:sz w:val="18"/>
                      <w:szCs w:val="18"/>
                      <w:highlight w:val="none"/>
                      <w:vertAlign w:val="baseline"/>
                      <w:lang w:val="en-US" w:eastAsia="zh-CN"/>
                    </w:rPr>
                    <w:t>投标人评标价≦A*0.80</w:t>
                  </w:r>
                </w:p>
              </w:tc>
              <w:tc>
                <w:tcPr>
                  <w:tcW w:w="1267" w:type="dxa"/>
                  <w:noWrap w:val="0"/>
                  <w:vAlign w:val="center"/>
                </w:tcPr>
                <w:p w14:paraId="664305E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b/>
                      <w:bCs/>
                      <w:color w:val="auto"/>
                      <w:sz w:val="18"/>
                      <w:szCs w:val="18"/>
                      <w:highlight w:val="none"/>
                      <w:vertAlign w:val="baseline"/>
                      <w:lang w:val="en-US" w:eastAsia="zh-CN"/>
                    </w:rPr>
                  </w:pPr>
                  <w:r>
                    <w:rPr>
                      <w:rFonts w:hint="eastAsia" w:ascii="宋体" w:hAnsi="宋体" w:eastAsia="宋体" w:cs="宋体"/>
                      <w:b/>
                      <w:bCs/>
                      <w:color w:val="auto"/>
                      <w:sz w:val="18"/>
                      <w:szCs w:val="18"/>
                      <w:highlight w:val="none"/>
                      <w:vertAlign w:val="baseline"/>
                      <w:lang w:val="en-US" w:eastAsia="zh-CN"/>
                    </w:rPr>
                    <w:t>A10</w:t>
                  </w:r>
                </w:p>
              </w:tc>
              <w:tc>
                <w:tcPr>
                  <w:tcW w:w="2717" w:type="dxa"/>
                  <w:vMerge w:val="continue"/>
                  <w:noWrap w:val="0"/>
                  <w:vAlign w:val="center"/>
                </w:tcPr>
                <w:p w14:paraId="6798B85A">
                  <w:pPr>
                    <w:pStyle w:val="9"/>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b/>
                      <w:bCs/>
                      <w:color w:val="auto"/>
                      <w:sz w:val="18"/>
                      <w:szCs w:val="18"/>
                      <w:highlight w:val="none"/>
                      <w:vertAlign w:val="baseline"/>
                      <w:lang w:val="en-US" w:eastAsia="zh-CN"/>
                    </w:rPr>
                  </w:pPr>
                </w:p>
              </w:tc>
            </w:tr>
          </w:tbl>
          <w:p w14:paraId="0C9AF750">
            <w:pPr>
              <w:keepNext w:val="0"/>
              <w:keepLines w:val="0"/>
              <w:pageBreakBefore w:val="0"/>
              <w:widowControl/>
              <w:suppressLineNumbers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 xml:space="preserve">b．B 值计算方案二： </w:t>
            </w:r>
          </w:p>
          <w:p w14:paraId="0EEF7E27">
            <w:pPr>
              <w:keepNext w:val="0"/>
              <w:keepLines w:val="0"/>
              <w:pageBreakBefore w:val="0"/>
              <w:widowControl/>
              <w:suppressLineNumbers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 xml:space="preserve">所有通过第一信封评审及第二信封初步评审的投标人评标价，根据下述区 </w:t>
            </w:r>
          </w:p>
          <w:p w14:paraId="68382C3A">
            <w:pPr>
              <w:keepNext w:val="0"/>
              <w:keepLines w:val="0"/>
              <w:pageBreakBefore w:val="0"/>
              <w:widowControl/>
              <w:suppressLineNumbers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 xml:space="preserve">段计算区段平均值（区段内各投标人评标价的算术平均值），再将计算得出的 </w:t>
            </w:r>
          </w:p>
          <w:p w14:paraId="2B99B6B9">
            <w:pPr>
              <w:keepNext w:val="0"/>
              <w:keepLines w:val="0"/>
              <w:pageBreakBefore w:val="0"/>
              <w:widowControl/>
              <w:suppressLineNumbers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 xml:space="preserve">区段平均值进行加权平均，得出的投标人评标价二次平均值即为 B 值。 </w:t>
            </w:r>
          </w:p>
          <w:tbl>
            <w:tblPr>
              <w:tblStyle w:val="24"/>
              <w:tblW w:w="69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39"/>
              <w:gridCol w:w="1275"/>
              <w:gridCol w:w="2706"/>
            </w:tblGrid>
            <w:tr w14:paraId="65FA4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39" w:type="dxa"/>
                  <w:noWrap w:val="0"/>
                  <w:vAlign w:val="center"/>
                </w:tcPr>
                <w:p w14:paraId="50CF66AE">
                  <w:pPr>
                    <w:pStyle w:val="9"/>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区段</w:t>
                  </w:r>
                </w:p>
              </w:tc>
              <w:tc>
                <w:tcPr>
                  <w:tcW w:w="1275" w:type="dxa"/>
                  <w:noWrap w:val="0"/>
                  <w:vAlign w:val="center"/>
                </w:tcPr>
                <w:p w14:paraId="55219E30">
                  <w:pPr>
                    <w:pStyle w:val="9"/>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区段平均值</w:t>
                  </w:r>
                </w:p>
              </w:tc>
              <w:tc>
                <w:tcPr>
                  <w:tcW w:w="2706" w:type="dxa"/>
                  <w:noWrap w:val="0"/>
                  <w:vAlign w:val="center"/>
                </w:tcPr>
                <w:p w14:paraId="5B48B070">
                  <w:pPr>
                    <w:pStyle w:val="9"/>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t>二次平均值</w:t>
                  </w:r>
                </w:p>
              </w:tc>
            </w:tr>
            <w:tr w14:paraId="4F27B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2939" w:type="dxa"/>
                  <w:noWrap w:val="0"/>
                  <w:vAlign w:val="center"/>
                </w:tcPr>
                <w:p w14:paraId="750CF56E">
                  <w:pPr>
                    <w:pStyle w:val="9"/>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b/>
                      <w:bCs/>
                      <w:color w:val="auto"/>
                      <w:sz w:val="18"/>
                      <w:szCs w:val="18"/>
                      <w:highlight w:val="none"/>
                      <w:vertAlign w:val="baseline"/>
                      <w:lang w:val="en-US" w:eastAsia="zh-CN"/>
                    </w:rPr>
                  </w:pPr>
                  <w:r>
                    <w:rPr>
                      <w:rFonts w:hint="eastAsia" w:ascii="宋体" w:hAnsi="宋体" w:eastAsia="宋体" w:cs="宋体"/>
                      <w:b/>
                      <w:bCs/>
                      <w:color w:val="auto"/>
                      <w:sz w:val="18"/>
                      <w:szCs w:val="18"/>
                      <w:highlight w:val="none"/>
                      <w:vertAlign w:val="baseline"/>
                      <w:lang w:val="en-US" w:eastAsia="zh-CN"/>
                    </w:rPr>
                    <w:t>A*0.97﹤投标人评标价≦A</w:t>
                  </w:r>
                </w:p>
              </w:tc>
              <w:tc>
                <w:tcPr>
                  <w:tcW w:w="1275" w:type="dxa"/>
                  <w:noWrap w:val="0"/>
                  <w:vAlign w:val="center"/>
                </w:tcPr>
                <w:p w14:paraId="17B560C2">
                  <w:pPr>
                    <w:pStyle w:val="9"/>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b/>
                      <w:bCs/>
                      <w:color w:val="auto"/>
                      <w:sz w:val="18"/>
                      <w:szCs w:val="18"/>
                      <w:highlight w:val="none"/>
                      <w:vertAlign w:val="baseline"/>
                      <w:lang w:val="en-US" w:eastAsia="zh-CN"/>
                    </w:rPr>
                  </w:pPr>
                  <w:r>
                    <w:rPr>
                      <w:rFonts w:hint="eastAsia" w:ascii="宋体" w:hAnsi="宋体" w:eastAsia="宋体" w:cs="宋体"/>
                      <w:b/>
                      <w:bCs/>
                      <w:color w:val="auto"/>
                      <w:sz w:val="18"/>
                      <w:szCs w:val="18"/>
                      <w:highlight w:val="none"/>
                      <w:vertAlign w:val="baseline"/>
                      <w:lang w:val="en-US" w:eastAsia="zh-CN"/>
                    </w:rPr>
                    <w:t>A1</w:t>
                  </w:r>
                </w:p>
              </w:tc>
              <w:tc>
                <w:tcPr>
                  <w:tcW w:w="2706" w:type="dxa"/>
                  <w:vMerge w:val="restart"/>
                  <w:noWrap w:val="0"/>
                  <w:vAlign w:val="center"/>
                </w:tcPr>
                <w:p w14:paraId="060BC90D">
                  <w:pPr>
                    <w:keepNext w:val="0"/>
                    <w:keepLines w:val="0"/>
                    <w:pageBreakBefore w:val="0"/>
                    <w:widowControl/>
                    <w:suppressLineNumbers w:val="0"/>
                    <w:kinsoku/>
                    <w:wordWrap/>
                    <w:overflowPunct/>
                    <w:topLinePunct w:val="0"/>
                    <w:autoSpaceDE/>
                    <w:autoSpaceDN/>
                    <w:bidi w:val="0"/>
                    <w:adjustRightInd/>
                    <w:snapToGrid/>
                    <w:spacing w:line="260" w:lineRule="exact"/>
                    <w:jc w:val="left"/>
                    <w:textAlignment w:val="auto"/>
                    <w:rPr>
                      <w:rFonts w:ascii="Times New Roman" w:hAnsi="Times New Roman"/>
                      <w:color w:val="auto"/>
                      <w:highlight w:val="none"/>
                    </w:rPr>
                  </w:pPr>
                  <w:r>
                    <w:rPr>
                      <w:rFonts w:hint="eastAsia" w:ascii="宋体" w:hAnsi="宋体" w:eastAsia="宋体" w:cs="宋体"/>
                      <w:color w:val="auto"/>
                      <w:kern w:val="0"/>
                      <w:sz w:val="18"/>
                      <w:szCs w:val="18"/>
                      <w:highlight w:val="none"/>
                      <w:lang w:val="en-US" w:eastAsia="zh-CN" w:bidi="ar"/>
                    </w:rPr>
                    <w:t xml:space="preserve">B为A1～A3的加权平均值（A1 权重为0.3，A2权重为1，A3权重为0.1）。 </w:t>
                  </w:r>
                </w:p>
                <w:p w14:paraId="7D721455">
                  <w:pPr>
                    <w:keepNext w:val="0"/>
                    <w:keepLines w:val="0"/>
                    <w:pageBreakBefore w:val="0"/>
                    <w:widowControl/>
                    <w:suppressLineNumbers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kern w:val="0"/>
                      <w:sz w:val="18"/>
                      <w:szCs w:val="18"/>
                      <w:highlight w:val="none"/>
                      <w:lang w:val="en-US" w:eastAsia="zh-CN" w:bidi="ar"/>
                    </w:rPr>
                    <w:t xml:space="preserve">若某区段无投标人评标价，则该区段不计区段平均值。 </w:t>
                  </w:r>
                </w:p>
              </w:tc>
            </w:tr>
            <w:tr w14:paraId="1FB04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2939" w:type="dxa"/>
                  <w:noWrap w:val="0"/>
                  <w:vAlign w:val="center"/>
                </w:tcPr>
                <w:p w14:paraId="6BBA575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b/>
                      <w:bCs/>
                      <w:color w:val="auto"/>
                      <w:sz w:val="18"/>
                      <w:szCs w:val="18"/>
                      <w:highlight w:val="none"/>
                      <w:vertAlign w:val="baseline"/>
                      <w:lang w:val="en-US" w:eastAsia="zh-CN"/>
                    </w:rPr>
                  </w:pPr>
                  <w:r>
                    <w:rPr>
                      <w:rFonts w:hint="eastAsia" w:ascii="宋体" w:hAnsi="宋体" w:eastAsia="宋体" w:cs="宋体"/>
                      <w:b/>
                      <w:bCs/>
                      <w:color w:val="auto"/>
                      <w:sz w:val="18"/>
                      <w:szCs w:val="18"/>
                      <w:highlight w:val="none"/>
                      <w:vertAlign w:val="baseline"/>
                      <w:lang w:val="en-US" w:eastAsia="zh-CN"/>
                    </w:rPr>
                    <w:t>A*0.80﹤投标人评标价≦A*0.97</w:t>
                  </w:r>
                </w:p>
              </w:tc>
              <w:tc>
                <w:tcPr>
                  <w:tcW w:w="1275" w:type="dxa"/>
                  <w:noWrap w:val="0"/>
                  <w:vAlign w:val="center"/>
                </w:tcPr>
                <w:p w14:paraId="3EFB132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b/>
                      <w:bCs/>
                      <w:color w:val="auto"/>
                      <w:sz w:val="18"/>
                      <w:szCs w:val="18"/>
                      <w:highlight w:val="none"/>
                      <w:vertAlign w:val="baseline"/>
                      <w:lang w:val="en-US" w:eastAsia="zh-CN"/>
                    </w:rPr>
                  </w:pPr>
                  <w:r>
                    <w:rPr>
                      <w:rFonts w:hint="eastAsia" w:ascii="宋体" w:hAnsi="宋体" w:eastAsia="宋体" w:cs="宋体"/>
                      <w:b/>
                      <w:bCs/>
                      <w:color w:val="auto"/>
                      <w:sz w:val="18"/>
                      <w:szCs w:val="18"/>
                      <w:highlight w:val="none"/>
                      <w:vertAlign w:val="baseline"/>
                      <w:lang w:val="en-US" w:eastAsia="zh-CN"/>
                    </w:rPr>
                    <w:t>A2</w:t>
                  </w:r>
                </w:p>
              </w:tc>
              <w:tc>
                <w:tcPr>
                  <w:tcW w:w="2706" w:type="dxa"/>
                  <w:vMerge w:val="continue"/>
                  <w:noWrap w:val="0"/>
                  <w:vAlign w:val="center"/>
                </w:tcPr>
                <w:p w14:paraId="60B023CF">
                  <w:pPr>
                    <w:pStyle w:val="9"/>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auto"/>
                      <w:sz w:val="18"/>
                      <w:szCs w:val="18"/>
                      <w:highlight w:val="none"/>
                      <w:vertAlign w:val="baseline"/>
                      <w:lang w:val="en-US" w:eastAsia="zh-CN"/>
                    </w:rPr>
                  </w:pPr>
                </w:p>
              </w:tc>
            </w:tr>
            <w:tr w14:paraId="0D5F0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jc w:val="center"/>
              </w:trPr>
              <w:tc>
                <w:tcPr>
                  <w:tcW w:w="2939" w:type="dxa"/>
                  <w:noWrap w:val="0"/>
                  <w:vAlign w:val="center"/>
                </w:tcPr>
                <w:p w14:paraId="0EF1993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b/>
                      <w:bCs/>
                      <w:color w:val="auto"/>
                      <w:sz w:val="18"/>
                      <w:szCs w:val="18"/>
                      <w:highlight w:val="none"/>
                      <w:vertAlign w:val="baseline"/>
                      <w:lang w:val="en-US" w:eastAsia="zh-CN"/>
                    </w:rPr>
                  </w:pPr>
                  <w:r>
                    <w:rPr>
                      <w:rFonts w:hint="eastAsia" w:ascii="宋体" w:hAnsi="宋体" w:eastAsia="宋体" w:cs="宋体"/>
                      <w:b/>
                      <w:bCs/>
                      <w:color w:val="auto"/>
                      <w:sz w:val="18"/>
                      <w:szCs w:val="18"/>
                      <w:highlight w:val="none"/>
                      <w:vertAlign w:val="baseline"/>
                      <w:lang w:val="en-US" w:eastAsia="zh-CN"/>
                    </w:rPr>
                    <w:t>投标人评标价≦A*0.80</w:t>
                  </w:r>
                </w:p>
              </w:tc>
              <w:tc>
                <w:tcPr>
                  <w:tcW w:w="1275" w:type="dxa"/>
                  <w:noWrap w:val="0"/>
                  <w:vAlign w:val="center"/>
                </w:tcPr>
                <w:p w14:paraId="547BB69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b/>
                      <w:bCs/>
                      <w:color w:val="auto"/>
                      <w:sz w:val="18"/>
                      <w:szCs w:val="18"/>
                      <w:highlight w:val="none"/>
                      <w:vertAlign w:val="baseline"/>
                      <w:lang w:val="en-US" w:eastAsia="zh-CN"/>
                    </w:rPr>
                  </w:pPr>
                  <w:r>
                    <w:rPr>
                      <w:rFonts w:hint="eastAsia" w:ascii="宋体" w:hAnsi="宋体" w:eastAsia="宋体" w:cs="宋体"/>
                      <w:b/>
                      <w:bCs/>
                      <w:color w:val="auto"/>
                      <w:sz w:val="18"/>
                      <w:szCs w:val="18"/>
                      <w:highlight w:val="none"/>
                      <w:vertAlign w:val="baseline"/>
                      <w:lang w:val="en-US" w:eastAsia="zh-CN"/>
                    </w:rPr>
                    <w:t>A3</w:t>
                  </w:r>
                </w:p>
              </w:tc>
              <w:tc>
                <w:tcPr>
                  <w:tcW w:w="2706" w:type="dxa"/>
                  <w:vMerge w:val="continue"/>
                  <w:noWrap w:val="0"/>
                  <w:vAlign w:val="center"/>
                </w:tcPr>
                <w:p w14:paraId="054D0335">
                  <w:pPr>
                    <w:pStyle w:val="9"/>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b/>
                      <w:bCs/>
                      <w:color w:val="auto"/>
                      <w:sz w:val="18"/>
                      <w:szCs w:val="18"/>
                      <w:highlight w:val="none"/>
                      <w:vertAlign w:val="baseline"/>
                      <w:lang w:val="en-US" w:eastAsia="zh-CN"/>
                    </w:rPr>
                  </w:pPr>
                </w:p>
              </w:tc>
            </w:tr>
          </w:tbl>
          <w:p w14:paraId="35914237">
            <w:pPr>
              <w:keepNext w:val="0"/>
              <w:keepLines w:val="0"/>
              <w:pageBreakBefore w:val="0"/>
              <w:widowControl/>
              <w:suppressLineNumbers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 xml:space="preserve">c．B 值计算方案三： </w:t>
            </w:r>
          </w:p>
          <w:p w14:paraId="060B7885">
            <w:pPr>
              <w:pStyle w:val="9"/>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color w:val="auto"/>
                <w:szCs w:val="21"/>
                <w:highlight w:val="none"/>
              </w:rPr>
            </w:pPr>
            <w:r>
              <w:rPr>
                <w:rFonts w:hint="eastAsia" w:ascii="宋体" w:hAnsi="宋体" w:eastAsia="宋体" w:cs="Times New Roman"/>
                <w:color w:val="auto"/>
                <w:kern w:val="2"/>
                <w:sz w:val="21"/>
                <w:szCs w:val="21"/>
                <w:highlight w:val="none"/>
                <w:lang w:val="en-US" w:eastAsia="zh-CN" w:bidi="ar-SA"/>
              </w:rPr>
              <w:t>B为所有通过第一信封评审及第二信封初步评审的投标人评标价（不含高于最高投标限价和低于最高投标限价 80％的报价）的算术平均值。</w:t>
            </w:r>
          </w:p>
        </w:tc>
      </w:tr>
      <w:tr w14:paraId="6B6955F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c>
          <w:tcPr>
            <w:tcW w:w="900" w:type="dxa"/>
            <w:tcBorders>
              <w:tl2br w:val="nil"/>
              <w:tr2bl w:val="nil"/>
            </w:tcBorders>
            <w:noWrap w:val="0"/>
            <w:vAlign w:val="center"/>
          </w:tcPr>
          <w:p w14:paraId="5B2D0E31">
            <w:pPr>
              <w:pStyle w:val="9"/>
              <w:spacing w:line="300" w:lineRule="exact"/>
              <w:jc w:val="center"/>
              <w:rPr>
                <w:rFonts w:ascii="Times New Roman" w:hAnsi="Times New Roman" w:eastAsia="Times New Roman"/>
                <w:color w:val="auto"/>
                <w:kern w:val="2"/>
                <w:sz w:val="21"/>
                <w:szCs w:val="22"/>
                <w:highlight w:val="none"/>
                <w:lang w:val="en-US" w:eastAsia="zh-CN" w:bidi="ar-SA"/>
              </w:rPr>
            </w:pPr>
            <w:r>
              <w:rPr>
                <w:color w:val="auto"/>
                <w:highlight w:val="none"/>
              </w:rPr>
              <w:t>2.2.3</w:t>
            </w:r>
          </w:p>
        </w:tc>
        <w:tc>
          <w:tcPr>
            <w:tcW w:w="1540" w:type="dxa"/>
            <w:tcBorders>
              <w:tl2br w:val="nil"/>
              <w:tr2bl w:val="nil"/>
            </w:tcBorders>
            <w:noWrap w:val="0"/>
            <w:vAlign w:val="center"/>
          </w:tcPr>
          <w:p w14:paraId="28E9D671">
            <w:pPr>
              <w:pStyle w:val="9"/>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ascii="Times New Roman" w:hAnsi="Times New Roman" w:eastAsia="Times New Roman"/>
                <w:color w:val="auto"/>
                <w:kern w:val="2"/>
                <w:sz w:val="21"/>
                <w:szCs w:val="21"/>
                <w:highlight w:val="none"/>
                <w:lang w:val="en-US" w:eastAsia="zh-CN" w:bidi="ar-SA"/>
              </w:rPr>
            </w:pPr>
            <w:r>
              <w:rPr>
                <w:color w:val="auto"/>
                <w:szCs w:val="21"/>
                <w:highlight w:val="none"/>
              </w:rPr>
              <w:t>评标价的偏差率计算公式</w:t>
            </w:r>
          </w:p>
        </w:tc>
        <w:tc>
          <w:tcPr>
            <w:tcW w:w="7162" w:type="dxa"/>
            <w:gridSpan w:val="6"/>
            <w:tcBorders>
              <w:tl2br w:val="nil"/>
              <w:tr2bl w:val="nil"/>
            </w:tcBorders>
            <w:noWrap w:val="0"/>
            <w:vAlign w:val="center"/>
          </w:tcPr>
          <w:p w14:paraId="3C233972">
            <w:pPr>
              <w:pStyle w:val="9"/>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ascii="Times New Roman" w:hAnsi="Times New Roman" w:eastAsia="Times New Roman"/>
                <w:color w:val="auto"/>
                <w:kern w:val="2"/>
                <w:sz w:val="21"/>
                <w:szCs w:val="21"/>
                <w:highlight w:val="none"/>
                <w:lang w:val="en-US" w:eastAsia="zh-CN" w:bidi="ar-SA"/>
              </w:rPr>
            </w:pPr>
            <w:r>
              <w:rPr>
                <w:color w:val="auto"/>
                <w:szCs w:val="21"/>
                <w:highlight w:val="none"/>
              </w:rPr>
              <w:t>偏差率=100%×（投标人评标价一评标基准价）／评标基准价</w:t>
            </w:r>
          </w:p>
        </w:tc>
      </w:tr>
      <w:tr w14:paraId="6D6321A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60" w:hRule="atLeast"/>
        </w:trPr>
        <w:tc>
          <w:tcPr>
            <w:tcW w:w="3311" w:type="dxa"/>
            <w:gridSpan w:val="3"/>
            <w:tcBorders>
              <w:tl2br w:val="nil"/>
              <w:tr2bl w:val="nil"/>
            </w:tcBorders>
            <w:noWrap w:val="0"/>
            <w:vAlign w:val="center"/>
          </w:tcPr>
          <w:p w14:paraId="26696D04">
            <w:pPr>
              <w:pStyle w:val="9"/>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eastAsia="宋体"/>
                <w:b/>
                <w:bCs/>
                <w:color w:val="auto"/>
                <w:szCs w:val="21"/>
                <w:highlight w:val="none"/>
                <w:lang w:val="en-US" w:eastAsia="zh-CN"/>
              </w:rPr>
            </w:pPr>
            <w:r>
              <w:rPr>
                <w:rFonts w:hint="eastAsia" w:eastAsia="宋体"/>
                <w:b/>
                <w:bCs/>
                <w:color w:val="auto"/>
                <w:szCs w:val="21"/>
                <w:highlight w:val="none"/>
                <w:lang w:val="en-US" w:eastAsia="zh-CN"/>
              </w:rPr>
              <w:t>评分因素与分值</w:t>
            </w:r>
          </w:p>
        </w:tc>
        <w:tc>
          <w:tcPr>
            <w:tcW w:w="6291" w:type="dxa"/>
            <w:gridSpan w:val="5"/>
            <w:vMerge w:val="restart"/>
            <w:tcBorders>
              <w:tl2br w:val="nil"/>
              <w:tr2bl w:val="nil"/>
            </w:tcBorders>
            <w:noWrap w:val="0"/>
            <w:vAlign w:val="center"/>
          </w:tcPr>
          <w:p w14:paraId="28E86F9A">
            <w:pPr>
              <w:pStyle w:val="9"/>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eastAsia="宋体"/>
                <w:b/>
                <w:bCs/>
                <w:color w:val="auto"/>
                <w:szCs w:val="21"/>
                <w:highlight w:val="none"/>
                <w:lang w:val="en-US" w:eastAsia="zh-CN"/>
              </w:rPr>
            </w:pPr>
            <w:r>
              <w:rPr>
                <w:rFonts w:hint="eastAsia" w:eastAsia="宋体"/>
                <w:b/>
                <w:bCs/>
                <w:color w:val="auto"/>
                <w:szCs w:val="21"/>
                <w:highlight w:val="none"/>
                <w:lang w:val="en-US" w:eastAsia="zh-CN"/>
              </w:rPr>
              <w:t>评分标准</w:t>
            </w:r>
          </w:p>
        </w:tc>
      </w:tr>
      <w:tr w14:paraId="0E3366F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421" w:hRule="atLeast"/>
        </w:trPr>
        <w:tc>
          <w:tcPr>
            <w:tcW w:w="900" w:type="dxa"/>
            <w:tcBorders>
              <w:tl2br w:val="nil"/>
              <w:tr2bl w:val="nil"/>
            </w:tcBorders>
            <w:noWrap w:val="0"/>
            <w:vAlign w:val="center"/>
          </w:tcPr>
          <w:p w14:paraId="08880F70">
            <w:pPr>
              <w:pStyle w:val="9"/>
              <w:spacing w:line="300" w:lineRule="exact"/>
              <w:jc w:val="center"/>
              <w:rPr>
                <w:rFonts w:hint="eastAsia" w:eastAsia="宋体"/>
                <w:b/>
                <w:bCs/>
                <w:color w:val="auto"/>
                <w:highlight w:val="none"/>
                <w:lang w:val="en-US" w:eastAsia="zh-CN"/>
              </w:rPr>
            </w:pPr>
            <w:r>
              <w:rPr>
                <w:rFonts w:hint="eastAsia" w:eastAsia="宋体"/>
                <w:b/>
                <w:bCs/>
                <w:color w:val="auto"/>
                <w:highlight w:val="none"/>
                <w:lang w:val="en-US" w:eastAsia="zh-CN"/>
              </w:rPr>
              <w:t>条款号</w:t>
            </w:r>
          </w:p>
        </w:tc>
        <w:tc>
          <w:tcPr>
            <w:tcW w:w="1540" w:type="dxa"/>
            <w:tcBorders>
              <w:tl2br w:val="nil"/>
              <w:tr2bl w:val="nil"/>
            </w:tcBorders>
            <w:noWrap w:val="0"/>
            <w:vAlign w:val="center"/>
          </w:tcPr>
          <w:p w14:paraId="47EBD78D">
            <w:pPr>
              <w:pStyle w:val="9"/>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eastAsia="宋体"/>
                <w:b/>
                <w:bCs/>
                <w:color w:val="auto"/>
                <w:szCs w:val="21"/>
                <w:highlight w:val="none"/>
                <w:lang w:val="en-US" w:eastAsia="zh-CN"/>
              </w:rPr>
            </w:pPr>
            <w:r>
              <w:rPr>
                <w:rFonts w:hint="eastAsia" w:eastAsia="宋体"/>
                <w:b/>
                <w:bCs/>
                <w:color w:val="auto"/>
                <w:szCs w:val="21"/>
                <w:highlight w:val="none"/>
                <w:lang w:val="en-US" w:eastAsia="zh-CN"/>
              </w:rPr>
              <w:t>评分因素</w:t>
            </w:r>
          </w:p>
        </w:tc>
        <w:tc>
          <w:tcPr>
            <w:tcW w:w="871" w:type="dxa"/>
            <w:tcBorders>
              <w:tl2br w:val="nil"/>
              <w:tr2bl w:val="nil"/>
            </w:tcBorders>
            <w:noWrap w:val="0"/>
            <w:vAlign w:val="center"/>
          </w:tcPr>
          <w:p w14:paraId="78801A3D">
            <w:pPr>
              <w:pStyle w:val="9"/>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eastAsia="宋体"/>
                <w:b/>
                <w:bCs/>
                <w:color w:val="auto"/>
                <w:szCs w:val="21"/>
                <w:highlight w:val="none"/>
                <w:lang w:val="en-US" w:eastAsia="zh-CN"/>
              </w:rPr>
            </w:pPr>
            <w:r>
              <w:rPr>
                <w:rFonts w:hint="eastAsia" w:eastAsia="宋体"/>
                <w:b/>
                <w:bCs/>
                <w:color w:val="auto"/>
                <w:szCs w:val="21"/>
                <w:highlight w:val="none"/>
                <w:lang w:val="en-US" w:eastAsia="zh-CN"/>
              </w:rPr>
              <w:t>分值</w:t>
            </w:r>
          </w:p>
        </w:tc>
        <w:tc>
          <w:tcPr>
            <w:tcW w:w="6291" w:type="dxa"/>
            <w:gridSpan w:val="5"/>
            <w:vMerge w:val="continue"/>
            <w:tcBorders>
              <w:tl2br w:val="nil"/>
              <w:tr2bl w:val="nil"/>
            </w:tcBorders>
            <w:noWrap w:val="0"/>
            <w:vAlign w:val="center"/>
          </w:tcPr>
          <w:p w14:paraId="729847BD">
            <w:pPr>
              <w:pStyle w:val="9"/>
              <w:keepNext w:val="0"/>
              <w:keepLines w:val="0"/>
              <w:pageBreakBefore w:val="0"/>
              <w:widowControl w:val="0"/>
              <w:kinsoku/>
              <w:wordWrap/>
              <w:overflowPunct/>
              <w:topLinePunct w:val="0"/>
              <w:autoSpaceDE/>
              <w:autoSpaceDN/>
              <w:bidi w:val="0"/>
              <w:adjustRightInd/>
              <w:snapToGrid/>
              <w:spacing w:line="260" w:lineRule="exact"/>
              <w:jc w:val="left"/>
              <w:textAlignment w:val="auto"/>
              <w:rPr>
                <w:b/>
                <w:bCs/>
                <w:color w:val="auto"/>
                <w:szCs w:val="21"/>
                <w:highlight w:val="none"/>
              </w:rPr>
            </w:pPr>
          </w:p>
        </w:tc>
      </w:tr>
      <w:tr w14:paraId="42A6489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494" w:hRule="atLeast"/>
        </w:trPr>
        <w:tc>
          <w:tcPr>
            <w:tcW w:w="900" w:type="dxa"/>
            <w:tcBorders>
              <w:tl2br w:val="nil"/>
              <w:tr2bl w:val="nil"/>
            </w:tcBorders>
            <w:noWrap w:val="0"/>
            <w:vAlign w:val="center"/>
          </w:tcPr>
          <w:p w14:paraId="1323E713">
            <w:pPr>
              <w:pStyle w:val="9"/>
              <w:spacing w:line="300" w:lineRule="exact"/>
              <w:jc w:val="center"/>
              <w:rPr>
                <w:rFonts w:hint="eastAsia" w:ascii="Times New Roman" w:hAnsi="Times New Roman" w:eastAsia="Times New Roman"/>
                <w:b w:val="0"/>
                <w:bCs w:val="0"/>
                <w:color w:val="auto"/>
                <w:kern w:val="2"/>
                <w:sz w:val="21"/>
                <w:szCs w:val="22"/>
                <w:highlight w:val="none"/>
                <w:lang w:val="en-US" w:eastAsia="zh-CN" w:bidi="ar-SA"/>
              </w:rPr>
            </w:pPr>
            <w:r>
              <w:rPr>
                <w:b w:val="0"/>
                <w:bCs w:val="0"/>
                <w:color w:val="auto"/>
                <w:highlight w:val="none"/>
              </w:rPr>
              <w:t>2.2.4（</w:t>
            </w:r>
            <w:r>
              <w:rPr>
                <w:rFonts w:hint="eastAsia"/>
                <w:b w:val="0"/>
                <w:bCs w:val="0"/>
                <w:color w:val="auto"/>
                <w:highlight w:val="none"/>
              </w:rPr>
              <w:t>1</w:t>
            </w:r>
            <w:r>
              <w:rPr>
                <w:b w:val="0"/>
                <w:bCs w:val="0"/>
                <w:color w:val="auto"/>
                <w:highlight w:val="none"/>
              </w:rPr>
              <w:t>）</w:t>
            </w:r>
          </w:p>
        </w:tc>
        <w:tc>
          <w:tcPr>
            <w:tcW w:w="1540" w:type="dxa"/>
            <w:tcBorders>
              <w:tl2br w:val="nil"/>
              <w:tr2bl w:val="nil"/>
            </w:tcBorders>
            <w:noWrap w:val="0"/>
            <w:vAlign w:val="center"/>
          </w:tcPr>
          <w:p w14:paraId="3846DB73">
            <w:pPr>
              <w:pStyle w:val="9"/>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b w:val="0"/>
                <w:bCs w:val="0"/>
                <w:color w:val="auto"/>
                <w:kern w:val="2"/>
                <w:sz w:val="21"/>
                <w:szCs w:val="21"/>
                <w:highlight w:val="none"/>
                <w:lang w:val="en-US" w:eastAsia="zh-CN" w:bidi="ar-SA"/>
              </w:rPr>
            </w:pPr>
            <w:r>
              <w:rPr>
                <w:rFonts w:hint="eastAsia" w:eastAsia="宋体"/>
                <w:b w:val="0"/>
                <w:bCs w:val="0"/>
                <w:color w:val="auto"/>
                <w:szCs w:val="21"/>
                <w:highlight w:val="none"/>
                <w:lang w:val="en-US" w:eastAsia="zh-CN"/>
              </w:rPr>
              <w:t>评标价</w:t>
            </w:r>
          </w:p>
        </w:tc>
        <w:tc>
          <w:tcPr>
            <w:tcW w:w="871" w:type="dxa"/>
            <w:tcBorders>
              <w:tl2br w:val="nil"/>
              <w:tr2bl w:val="nil"/>
            </w:tcBorders>
            <w:noWrap w:val="0"/>
            <w:vAlign w:val="center"/>
          </w:tcPr>
          <w:p w14:paraId="134764AE">
            <w:pPr>
              <w:pStyle w:val="9"/>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eastAsia="宋体"/>
                <w:b w:val="0"/>
                <w:bCs w:val="0"/>
                <w:color w:val="auto"/>
                <w:szCs w:val="21"/>
                <w:highlight w:val="none"/>
                <w:lang w:val="en-US" w:eastAsia="zh-CN"/>
              </w:rPr>
            </w:pPr>
            <w:r>
              <w:rPr>
                <w:rFonts w:hint="eastAsia" w:eastAsia="宋体"/>
                <w:b w:val="0"/>
                <w:bCs w:val="0"/>
                <w:color w:val="auto"/>
                <w:szCs w:val="21"/>
                <w:highlight w:val="none"/>
                <w:lang w:val="en-US" w:eastAsia="zh-CN"/>
              </w:rPr>
              <w:t>85分</w:t>
            </w:r>
          </w:p>
        </w:tc>
        <w:tc>
          <w:tcPr>
            <w:tcW w:w="6291" w:type="dxa"/>
            <w:gridSpan w:val="5"/>
            <w:tcBorders>
              <w:tl2br w:val="nil"/>
              <w:tr2bl w:val="nil"/>
            </w:tcBorders>
            <w:noWrap w:val="0"/>
            <w:vAlign w:val="center"/>
          </w:tcPr>
          <w:p w14:paraId="4C0D95C7">
            <w:pPr>
              <w:pStyle w:val="9"/>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eastAsia="宋体"/>
                <w:color w:val="auto"/>
                <w:szCs w:val="21"/>
                <w:highlight w:val="none"/>
                <w:lang w:eastAsia="zh-CN"/>
              </w:rPr>
            </w:pPr>
            <w:r>
              <w:rPr>
                <w:rFonts w:hint="eastAsia"/>
                <w:color w:val="auto"/>
                <w:szCs w:val="21"/>
                <w:highlight w:val="none"/>
              </w:rPr>
              <w:t>投标人评标价得分的计算（保留两位小数）</w:t>
            </w:r>
            <w:r>
              <w:rPr>
                <w:rFonts w:hint="eastAsia" w:eastAsia="宋体"/>
                <w:color w:val="auto"/>
                <w:szCs w:val="21"/>
                <w:highlight w:val="none"/>
                <w:lang w:eastAsia="zh-CN"/>
              </w:rPr>
              <w:t>：</w:t>
            </w:r>
          </w:p>
          <w:p w14:paraId="69AA8512">
            <w:pPr>
              <w:pStyle w:val="9"/>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eastAsia="宋体"/>
                <w:color w:val="auto"/>
                <w:szCs w:val="21"/>
                <w:highlight w:val="none"/>
                <w:lang w:eastAsia="zh-CN"/>
              </w:rPr>
            </w:pPr>
            <w:r>
              <w:rPr>
                <w:rFonts w:hint="eastAsia"/>
                <w:color w:val="auto"/>
                <w:szCs w:val="21"/>
                <w:highlight w:val="none"/>
              </w:rPr>
              <w:t>（1）投标人的评标价＞评标基准价</w:t>
            </w:r>
            <w:r>
              <w:rPr>
                <w:rFonts w:hint="eastAsia" w:eastAsia="宋体"/>
                <w:color w:val="auto"/>
                <w:szCs w:val="21"/>
                <w:highlight w:val="none"/>
                <w:lang w:val="en-US" w:eastAsia="zh-CN"/>
              </w:rPr>
              <w:t>的</w:t>
            </w:r>
            <w:r>
              <w:rPr>
                <w:rFonts w:hint="eastAsia" w:eastAsia="宋体"/>
                <w:color w:val="auto"/>
                <w:szCs w:val="21"/>
                <w:highlight w:val="none"/>
                <w:lang w:eastAsia="zh-CN"/>
              </w:rPr>
              <w:t>：</w:t>
            </w:r>
          </w:p>
          <w:p w14:paraId="009E902F">
            <w:pPr>
              <w:pStyle w:val="9"/>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color w:val="auto"/>
                <w:szCs w:val="21"/>
                <w:highlight w:val="none"/>
              </w:rPr>
            </w:pPr>
            <w:r>
              <w:rPr>
                <w:rFonts w:hint="eastAsia"/>
                <w:color w:val="auto"/>
                <w:szCs w:val="21"/>
                <w:highlight w:val="none"/>
              </w:rPr>
              <w:t>评标价得分=</w:t>
            </w:r>
            <w:r>
              <w:rPr>
                <w:rFonts w:hint="eastAsia" w:eastAsia="宋体"/>
                <w:color w:val="auto"/>
                <w:szCs w:val="21"/>
                <w:highlight w:val="none"/>
                <w:lang w:val="en-US" w:eastAsia="zh-CN"/>
              </w:rPr>
              <w:t>85</w:t>
            </w:r>
            <w:r>
              <w:rPr>
                <w:rFonts w:hint="eastAsia"/>
                <w:color w:val="auto"/>
                <w:szCs w:val="21"/>
                <w:highlight w:val="none"/>
              </w:rPr>
              <w:t>－偏差率×100×E</w:t>
            </w:r>
            <w:r>
              <w:rPr>
                <w:rFonts w:hint="eastAsia"/>
                <w:color w:val="auto"/>
                <w:szCs w:val="21"/>
                <w:highlight w:val="none"/>
                <w:vertAlign w:val="subscript"/>
              </w:rPr>
              <w:t xml:space="preserve"> 1</w:t>
            </w:r>
          </w:p>
          <w:p w14:paraId="21356CDD">
            <w:pPr>
              <w:pStyle w:val="9"/>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eastAsia="宋体"/>
                <w:color w:val="auto"/>
                <w:szCs w:val="21"/>
                <w:highlight w:val="none"/>
                <w:lang w:val="en-US" w:eastAsia="zh-CN"/>
              </w:rPr>
            </w:pPr>
            <w:r>
              <w:rPr>
                <w:rFonts w:hint="eastAsia"/>
                <w:color w:val="auto"/>
                <w:szCs w:val="21"/>
                <w:highlight w:val="none"/>
              </w:rPr>
              <w:t>（2）投标人的评标价≤评标基准价</w:t>
            </w:r>
            <w:r>
              <w:rPr>
                <w:rFonts w:hint="eastAsia" w:eastAsia="宋体"/>
                <w:color w:val="auto"/>
                <w:szCs w:val="21"/>
                <w:highlight w:val="none"/>
                <w:lang w:val="en-US" w:eastAsia="zh-CN"/>
              </w:rPr>
              <w:t>的：</w:t>
            </w:r>
          </w:p>
          <w:p w14:paraId="431C0B38">
            <w:pPr>
              <w:pStyle w:val="9"/>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color w:val="auto"/>
                <w:szCs w:val="21"/>
                <w:highlight w:val="none"/>
              </w:rPr>
            </w:pPr>
            <w:r>
              <w:rPr>
                <w:rFonts w:hint="eastAsia"/>
                <w:color w:val="auto"/>
                <w:szCs w:val="21"/>
                <w:highlight w:val="none"/>
              </w:rPr>
              <w:t>评标价得分=</w:t>
            </w:r>
            <w:r>
              <w:rPr>
                <w:rFonts w:hint="eastAsia" w:eastAsia="宋体"/>
                <w:color w:val="auto"/>
                <w:szCs w:val="21"/>
                <w:highlight w:val="none"/>
                <w:lang w:val="en-US" w:eastAsia="zh-CN"/>
              </w:rPr>
              <w:t>85</w:t>
            </w:r>
            <w:r>
              <w:rPr>
                <w:rFonts w:hint="eastAsia"/>
                <w:color w:val="auto"/>
                <w:szCs w:val="21"/>
                <w:highlight w:val="none"/>
              </w:rPr>
              <w:t>＋偏差率×100×E</w:t>
            </w:r>
            <w:r>
              <w:rPr>
                <w:rFonts w:hint="eastAsia"/>
                <w:color w:val="auto"/>
                <w:szCs w:val="21"/>
                <w:highlight w:val="none"/>
                <w:vertAlign w:val="subscript"/>
              </w:rPr>
              <w:t xml:space="preserve"> 2</w:t>
            </w:r>
          </w:p>
          <w:p w14:paraId="6601ABD0">
            <w:pPr>
              <w:pStyle w:val="9"/>
              <w:keepNext w:val="0"/>
              <w:keepLines w:val="0"/>
              <w:pageBreakBefore w:val="0"/>
              <w:widowControl w:val="0"/>
              <w:kinsoku/>
              <w:wordWrap/>
              <w:overflowPunct/>
              <w:topLinePunct w:val="0"/>
              <w:autoSpaceDE/>
              <w:autoSpaceDN/>
              <w:bidi w:val="0"/>
              <w:adjustRightInd/>
              <w:snapToGrid/>
              <w:spacing w:line="280" w:lineRule="exact"/>
              <w:jc w:val="left"/>
              <w:textAlignment w:val="auto"/>
              <w:rPr>
                <w:b/>
                <w:bCs/>
                <w:color w:val="auto"/>
                <w:szCs w:val="21"/>
                <w:highlight w:val="none"/>
              </w:rPr>
            </w:pPr>
            <w:r>
              <w:rPr>
                <w:rFonts w:hint="eastAsia"/>
                <w:color w:val="auto"/>
                <w:szCs w:val="21"/>
                <w:highlight w:val="none"/>
              </w:rPr>
              <w:t>其中：E</w:t>
            </w:r>
            <w:r>
              <w:rPr>
                <w:rFonts w:hint="eastAsia"/>
                <w:color w:val="auto"/>
                <w:szCs w:val="21"/>
                <w:highlight w:val="none"/>
                <w:vertAlign w:val="subscript"/>
              </w:rPr>
              <w:t xml:space="preserve"> 1 </w:t>
            </w:r>
            <w:r>
              <w:rPr>
                <w:rFonts w:hint="eastAsia"/>
                <w:color w:val="auto"/>
                <w:szCs w:val="21"/>
                <w:highlight w:val="none"/>
              </w:rPr>
              <w:t>=0.5；E</w:t>
            </w:r>
            <w:r>
              <w:rPr>
                <w:rFonts w:hint="eastAsia"/>
                <w:color w:val="auto"/>
                <w:szCs w:val="21"/>
                <w:highlight w:val="none"/>
                <w:vertAlign w:val="subscript"/>
              </w:rPr>
              <w:t xml:space="preserve"> 2 </w:t>
            </w:r>
            <w:r>
              <w:rPr>
                <w:rFonts w:hint="eastAsia"/>
                <w:color w:val="auto"/>
                <w:szCs w:val="21"/>
                <w:highlight w:val="none"/>
              </w:rPr>
              <w:t>=0.</w:t>
            </w:r>
            <w:r>
              <w:rPr>
                <w:rFonts w:hint="eastAsia" w:eastAsia="宋体"/>
                <w:color w:val="auto"/>
                <w:szCs w:val="21"/>
                <w:highlight w:val="none"/>
                <w:lang w:val="en-US" w:eastAsia="zh-CN"/>
              </w:rPr>
              <w:t>3</w:t>
            </w:r>
            <w:r>
              <w:rPr>
                <w:rFonts w:hint="eastAsia"/>
                <w:color w:val="auto"/>
                <w:szCs w:val="21"/>
                <w:highlight w:val="none"/>
              </w:rPr>
              <w:t>。</w:t>
            </w:r>
          </w:p>
        </w:tc>
      </w:tr>
      <w:tr w14:paraId="2F3C127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494" w:hRule="atLeast"/>
        </w:trPr>
        <w:tc>
          <w:tcPr>
            <w:tcW w:w="900" w:type="dxa"/>
            <w:vMerge w:val="restart"/>
            <w:tcBorders>
              <w:tl2br w:val="nil"/>
              <w:tr2bl w:val="nil"/>
            </w:tcBorders>
            <w:noWrap w:val="0"/>
            <w:vAlign w:val="center"/>
          </w:tcPr>
          <w:p w14:paraId="03D76D7D">
            <w:pPr>
              <w:pStyle w:val="9"/>
              <w:spacing w:line="300" w:lineRule="exact"/>
              <w:jc w:val="center"/>
              <w:rPr>
                <w:rFonts w:hint="eastAsia" w:eastAsia="宋体"/>
                <w:b w:val="0"/>
                <w:bCs w:val="0"/>
                <w:color w:val="auto"/>
                <w:highlight w:val="none"/>
                <w:lang w:val="en-US" w:eastAsia="zh-CN"/>
              </w:rPr>
            </w:pPr>
            <w:r>
              <w:rPr>
                <w:rFonts w:hint="eastAsia" w:eastAsia="宋体"/>
                <w:b w:val="0"/>
                <w:bCs w:val="0"/>
                <w:color w:val="auto"/>
                <w:highlight w:val="none"/>
                <w:lang w:val="en-US" w:eastAsia="zh-CN"/>
              </w:rPr>
              <w:t>2.2.4（2）</w:t>
            </w:r>
          </w:p>
        </w:tc>
        <w:tc>
          <w:tcPr>
            <w:tcW w:w="1540" w:type="dxa"/>
            <w:vMerge w:val="restart"/>
            <w:tcBorders>
              <w:tl2br w:val="nil"/>
              <w:tr2bl w:val="nil"/>
            </w:tcBorders>
            <w:noWrap w:val="0"/>
            <w:vAlign w:val="center"/>
          </w:tcPr>
          <w:p w14:paraId="6958A169">
            <w:pPr>
              <w:pStyle w:val="9"/>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eastAsia="宋体"/>
                <w:b w:val="0"/>
                <w:bCs w:val="0"/>
                <w:color w:val="auto"/>
                <w:szCs w:val="21"/>
                <w:highlight w:val="none"/>
                <w:lang w:val="en-US" w:eastAsia="zh-CN"/>
              </w:rPr>
            </w:pPr>
            <w:r>
              <w:rPr>
                <w:rFonts w:hint="eastAsia" w:eastAsia="宋体"/>
                <w:b w:val="0"/>
                <w:bCs w:val="0"/>
                <w:color w:val="auto"/>
                <w:szCs w:val="21"/>
                <w:highlight w:val="none"/>
                <w:lang w:val="en-US" w:eastAsia="zh-CN"/>
              </w:rPr>
              <w:t>养护工程</w:t>
            </w:r>
          </w:p>
          <w:p w14:paraId="0EBEDEBA">
            <w:pPr>
              <w:pStyle w:val="9"/>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eastAsia="宋体"/>
                <w:b w:val="0"/>
                <w:bCs w:val="0"/>
                <w:color w:val="auto"/>
                <w:szCs w:val="21"/>
                <w:highlight w:val="none"/>
                <w:lang w:val="en-US" w:eastAsia="zh-CN"/>
              </w:rPr>
            </w:pPr>
            <w:r>
              <w:rPr>
                <w:rFonts w:hint="eastAsia" w:eastAsia="宋体"/>
                <w:b w:val="0"/>
                <w:bCs w:val="0"/>
                <w:color w:val="auto"/>
                <w:szCs w:val="21"/>
                <w:highlight w:val="none"/>
                <w:lang w:val="en-US" w:eastAsia="zh-CN"/>
              </w:rPr>
              <w:t>作业方案</w:t>
            </w:r>
          </w:p>
        </w:tc>
        <w:tc>
          <w:tcPr>
            <w:tcW w:w="871" w:type="dxa"/>
            <w:vMerge w:val="restart"/>
            <w:tcBorders>
              <w:tl2br w:val="nil"/>
              <w:tr2bl w:val="nil"/>
            </w:tcBorders>
            <w:noWrap w:val="0"/>
            <w:vAlign w:val="center"/>
          </w:tcPr>
          <w:p w14:paraId="0AAE2047">
            <w:pPr>
              <w:pStyle w:val="9"/>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eastAsia="宋体"/>
                <w:b w:val="0"/>
                <w:bCs w:val="0"/>
                <w:color w:val="auto"/>
                <w:szCs w:val="21"/>
                <w:highlight w:val="none"/>
                <w:lang w:val="en-US" w:eastAsia="zh-CN"/>
              </w:rPr>
            </w:pPr>
            <w:r>
              <w:rPr>
                <w:rFonts w:hint="eastAsia" w:eastAsia="宋体"/>
                <w:b w:val="0"/>
                <w:bCs w:val="0"/>
                <w:color w:val="auto"/>
                <w:szCs w:val="21"/>
                <w:highlight w:val="none"/>
                <w:lang w:val="en-US" w:eastAsia="zh-CN"/>
              </w:rPr>
              <w:t>12分</w:t>
            </w:r>
          </w:p>
        </w:tc>
        <w:tc>
          <w:tcPr>
            <w:tcW w:w="1221" w:type="dxa"/>
            <w:gridSpan w:val="2"/>
            <w:tcBorders>
              <w:tl2br w:val="nil"/>
              <w:tr2bl w:val="nil"/>
            </w:tcBorders>
            <w:noWrap w:val="0"/>
            <w:vAlign w:val="center"/>
          </w:tcPr>
          <w:p w14:paraId="329D448F">
            <w:pPr>
              <w:spacing w:line="30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施工组织及现场布置</w:t>
            </w:r>
          </w:p>
        </w:tc>
        <w:tc>
          <w:tcPr>
            <w:tcW w:w="1215" w:type="dxa"/>
            <w:gridSpan w:val="2"/>
            <w:tcBorders>
              <w:tl2br w:val="nil"/>
              <w:tr2bl w:val="nil"/>
            </w:tcBorders>
            <w:noWrap w:val="0"/>
            <w:vAlign w:val="center"/>
          </w:tcPr>
          <w:p w14:paraId="44F55C9A">
            <w:pPr>
              <w:spacing w:line="30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u w:val="single"/>
                <w:lang w:val="en-US" w:eastAsia="zh-CN"/>
              </w:rPr>
              <w:t>1.2</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rPr>
              <w:t>分</w:t>
            </w:r>
          </w:p>
        </w:tc>
        <w:tc>
          <w:tcPr>
            <w:tcW w:w="3855" w:type="dxa"/>
            <w:tcBorders>
              <w:tl2br w:val="nil"/>
              <w:tr2bl w:val="nil"/>
            </w:tcBorders>
            <w:noWrap w:val="0"/>
            <w:vAlign w:val="center"/>
          </w:tcPr>
          <w:p w14:paraId="7C5D590F">
            <w:pPr>
              <w:spacing w:line="280" w:lineRule="exac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视施工组织及现场布置、水平优劣打分，一般的得基本分</w:t>
            </w:r>
            <w:r>
              <w:rPr>
                <w:rFonts w:hint="eastAsia" w:ascii="宋体" w:hAnsi="宋体" w:eastAsia="宋体" w:cs="宋体"/>
                <w:color w:val="auto"/>
                <w:sz w:val="21"/>
                <w:szCs w:val="21"/>
                <w:highlight w:val="none"/>
                <w:u w:val="single"/>
                <w:lang w:val="en-US" w:eastAsia="zh-CN"/>
              </w:rPr>
              <w:t>1.2～1.4分，较好的得1.5～1.7分，好的得1.8～2.0分。</w:t>
            </w:r>
          </w:p>
        </w:tc>
      </w:tr>
      <w:tr w14:paraId="7CA00EB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494" w:hRule="atLeast"/>
        </w:trPr>
        <w:tc>
          <w:tcPr>
            <w:tcW w:w="900" w:type="dxa"/>
            <w:vMerge w:val="continue"/>
            <w:tcBorders>
              <w:tl2br w:val="nil"/>
              <w:tr2bl w:val="nil"/>
            </w:tcBorders>
            <w:noWrap w:val="0"/>
            <w:vAlign w:val="center"/>
          </w:tcPr>
          <w:p w14:paraId="40683301">
            <w:pPr>
              <w:pStyle w:val="9"/>
              <w:spacing w:line="300" w:lineRule="exact"/>
              <w:jc w:val="center"/>
              <w:rPr>
                <w:rFonts w:hint="eastAsia" w:eastAsia="宋体"/>
                <w:b w:val="0"/>
                <w:bCs w:val="0"/>
                <w:color w:val="auto"/>
                <w:highlight w:val="none"/>
                <w:lang w:val="en-US" w:eastAsia="zh-CN"/>
              </w:rPr>
            </w:pPr>
          </w:p>
        </w:tc>
        <w:tc>
          <w:tcPr>
            <w:tcW w:w="1540" w:type="dxa"/>
            <w:vMerge w:val="continue"/>
            <w:tcBorders>
              <w:tl2br w:val="nil"/>
              <w:tr2bl w:val="nil"/>
            </w:tcBorders>
            <w:noWrap w:val="0"/>
            <w:vAlign w:val="center"/>
          </w:tcPr>
          <w:p w14:paraId="40A1586F">
            <w:pPr>
              <w:pStyle w:val="9"/>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eastAsia="宋体"/>
                <w:b w:val="0"/>
                <w:bCs w:val="0"/>
                <w:color w:val="auto"/>
                <w:szCs w:val="21"/>
                <w:highlight w:val="none"/>
                <w:lang w:val="en-US" w:eastAsia="zh-CN"/>
              </w:rPr>
            </w:pPr>
          </w:p>
        </w:tc>
        <w:tc>
          <w:tcPr>
            <w:tcW w:w="871" w:type="dxa"/>
            <w:vMerge w:val="continue"/>
            <w:tcBorders>
              <w:tl2br w:val="nil"/>
              <w:tr2bl w:val="nil"/>
            </w:tcBorders>
            <w:noWrap w:val="0"/>
            <w:vAlign w:val="center"/>
          </w:tcPr>
          <w:p w14:paraId="25E0ECE5">
            <w:pPr>
              <w:pStyle w:val="9"/>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eastAsia="宋体"/>
                <w:b w:val="0"/>
                <w:bCs w:val="0"/>
                <w:color w:val="auto"/>
                <w:szCs w:val="21"/>
                <w:highlight w:val="none"/>
                <w:lang w:val="en-US" w:eastAsia="zh-CN"/>
              </w:rPr>
            </w:pPr>
          </w:p>
        </w:tc>
        <w:tc>
          <w:tcPr>
            <w:tcW w:w="1221" w:type="dxa"/>
            <w:gridSpan w:val="2"/>
            <w:tcBorders>
              <w:tl2br w:val="nil"/>
              <w:tr2bl w:val="nil"/>
            </w:tcBorders>
            <w:noWrap w:val="0"/>
            <w:vAlign w:val="center"/>
          </w:tcPr>
          <w:p w14:paraId="0DCAAD7A">
            <w:pPr>
              <w:spacing w:line="30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技术人员配置及劳动力安排</w:t>
            </w:r>
          </w:p>
        </w:tc>
        <w:tc>
          <w:tcPr>
            <w:tcW w:w="1215" w:type="dxa"/>
            <w:gridSpan w:val="2"/>
            <w:tcBorders>
              <w:tl2br w:val="nil"/>
              <w:tr2bl w:val="nil"/>
            </w:tcBorders>
            <w:noWrap w:val="0"/>
            <w:vAlign w:val="center"/>
          </w:tcPr>
          <w:p w14:paraId="71C9BE4B">
            <w:pPr>
              <w:spacing w:line="30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u w:val="single"/>
                <w:lang w:val="en-US" w:eastAsia="zh-CN"/>
              </w:rPr>
              <w:t>1.</w:t>
            </w:r>
            <w:r>
              <w:rPr>
                <w:rFonts w:hint="eastAsia" w:ascii="宋体" w:hAnsi="宋体" w:cs="宋体"/>
                <w:color w:val="auto"/>
                <w:sz w:val="21"/>
                <w:szCs w:val="21"/>
                <w:highlight w:val="none"/>
                <w:u w:val="single"/>
                <w:lang w:val="en-US" w:eastAsia="zh-CN"/>
              </w:rPr>
              <w:t>2</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u w:val="single"/>
                <w:lang w:val="en-US" w:eastAsia="zh-CN"/>
              </w:rPr>
              <w:t>2</w:t>
            </w:r>
            <w:r>
              <w:rPr>
                <w:rFonts w:hint="eastAsia" w:ascii="宋体" w:hAnsi="宋体" w:eastAsia="宋体" w:cs="宋体"/>
                <w:color w:val="auto"/>
                <w:sz w:val="21"/>
                <w:szCs w:val="21"/>
                <w:highlight w:val="none"/>
              </w:rPr>
              <w:t>分</w:t>
            </w:r>
          </w:p>
        </w:tc>
        <w:tc>
          <w:tcPr>
            <w:tcW w:w="3855" w:type="dxa"/>
            <w:tcBorders>
              <w:tl2br w:val="nil"/>
              <w:tr2bl w:val="nil"/>
            </w:tcBorders>
            <w:noWrap w:val="0"/>
            <w:vAlign w:val="center"/>
          </w:tcPr>
          <w:p w14:paraId="285EB955">
            <w:pPr>
              <w:spacing w:line="280" w:lineRule="exac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视技术人员资历和经验优劣打分，一般的得基本分</w:t>
            </w:r>
            <w:r>
              <w:rPr>
                <w:rFonts w:hint="eastAsia" w:ascii="宋体" w:hAnsi="宋体" w:eastAsia="宋体" w:cs="宋体"/>
                <w:color w:val="auto"/>
                <w:sz w:val="21"/>
                <w:szCs w:val="21"/>
                <w:highlight w:val="none"/>
                <w:u w:val="single"/>
                <w:lang w:val="en-US" w:eastAsia="zh-CN"/>
              </w:rPr>
              <w:t>1.2</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lang w:val="en-US" w:eastAsia="zh-CN"/>
              </w:rPr>
              <w:t>1.4</w:t>
            </w:r>
            <w:r>
              <w:rPr>
                <w:rFonts w:hint="eastAsia" w:ascii="宋体" w:hAnsi="宋体" w:eastAsia="宋体" w:cs="宋体"/>
                <w:color w:val="auto"/>
                <w:sz w:val="21"/>
                <w:szCs w:val="21"/>
                <w:highlight w:val="none"/>
              </w:rPr>
              <w:t>分，较好的得</w:t>
            </w:r>
            <w:r>
              <w:rPr>
                <w:rFonts w:hint="eastAsia" w:ascii="宋体" w:hAnsi="宋体" w:eastAsia="宋体" w:cs="宋体"/>
                <w:color w:val="auto"/>
                <w:sz w:val="21"/>
                <w:szCs w:val="21"/>
                <w:highlight w:val="none"/>
                <w:u w:val="single"/>
                <w:lang w:val="en-US" w:eastAsia="zh-CN"/>
              </w:rPr>
              <w:t>1.5</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lang w:val="en-US" w:eastAsia="zh-CN"/>
              </w:rPr>
              <w:t>1.7</w:t>
            </w:r>
            <w:r>
              <w:rPr>
                <w:rFonts w:hint="eastAsia" w:ascii="宋体" w:hAnsi="宋体" w:eastAsia="宋体" w:cs="宋体"/>
                <w:color w:val="auto"/>
                <w:sz w:val="21"/>
                <w:szCs w:val="21"/>
                <w:highlight w:val="none"/>
              </w:rPr>
              <w:t>分，好的得</w:t>
            </w:r>
            <w:r>
              <w:rPr>
                <w:rFonts w:hint="eastAsia" w:ascii="宋体" w:hAnsi="宋体" w:eastAsia="宋体" w:cs="宋体"/>
                <w:color w:val="auto"/>
                <w:sz w:val="21"/>
                <w:szCs w:val="21"/>
                <w:highlight w:val="none"/>
                <w:u w:val="single"/>
                <w:lang w:val="en-US" w:eastAsia="zh-CN"/>
              </w:rPr>
              <w:t>1.8</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lang w:val="en-US" w:eastAsia="zh-CN"/>
              </w:rPr>
              <w:t>2.0</w:t>
            </w:r>
            <w:r>
              <w:rPr>
                <w:rFonts w:hint="eastAsia" w:ascii="宋体" w:hAnsi="宋体" w:eastAsia="宋体" w:cs="宋体"/>
                <w:color w:val="auto"/>
                <w:sz w:val="21"/>
                <w:szCs w:val="21"/>
                <w:highlight w:val="none"/>
              </w:rPr>
              <w:t>分。</w:t>
            </w:r>
          </w:p>
        </w:tc>
      </w:tr>
      <w:tr w14:paraId="40BF12E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494" w:hRule="atLeast"/>
        </w:trPr>
        <w:tc>
          <w:tcPr>
            <w:tcW w:w="900" w:type="dxa"/>
            <w:vMerge w:val="continue"/>
            <w:tcBorders>
              <w:tl2br w:val="nil"/>
              <w:tr2bl w:val="nil"/>
            </w:tcBorders>
            <w:noWrap w:val="0"/>
            <w:vAlign w:val="center"/>
          </w:tcPr>
          <w:p w14:paraId="5344B114">
            <w:pPr>
              <w:pStyle w:val="9"/>
              <w:spacing w:line="300" w:lineRule="exact"/>
              <w:jc w:val="center"/>
              <w:rPr>
                <w:rFonts w:hint="eastAsia" w:eastAsia="宋体"/>
                <w:b w:val="0"/>
                <w:bCs w:val="0"/>
                <w:color w:val="auto"/>
                <w:highlight w:val="none"/>
                <w:lang w:val="en-US" w:eastAsia="zh-CN"/>
              </w:rPr>
            </w:pPr>
          </w:p>
        </w:tc>
        <w:tc>
          <w:tcPr>
            <w:tcW w:w="1540" w:type="dxa"/>
            <w:vMerge w:val="continue"/>
            <w:tcBorders>
              <w:tl2br w:val="nil"/>
              <w:tr2bl w:val="nil"/>
            </w:tcBorders>
            <w:noWrap w:val="0"/>
            <w:vAlign w:val="center"/>
          </w:tcPr>
          <w:p w14:paraId="4971A04A">
            <w:pPr>
              <w:pStyle w:val="9"/>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eastAsia="宋体"/>
                <w:b w:val="0"/>
                <w:bCs w:val="0"/>
                <w:color w:val="auto"/>
                <w:szCs w:val="21"/>
                <w:highlight w:val="none"/>
                <w:lang w:val="en-US" w:eastAsia="zh-CN"/>
              </w:rPr>
            </w:pPr>
          </w:p>
        </w:tc>
        <w:tc>
          <w:tcPr>
            <w:tcW w:w="871" w:type="dxa"/>
            <w:vMerge w:val="continue"/>
            <w:tcBorders>
              <w:tl2br w:val="nil"/>
              <w:tr2bl w:val="nil"/>
            </w:tcBorders>
            <w:noWrap w:val="0"/>
            <w:vAlign w:val="center"/>
          </w:tcPr>
          <w:p w14:paraId="2C325603">
            <w:pPr>
              <w:pStyle w:val="9"/>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eastAsia="宋体"/>
                <w:b w:val="0"/>
                <w:bCs w:val="0"/>
                <w:color w:val="auto"/>
                <w:szCs w:val="21"/>
                <w:highlight w:val="none"/>
                <w:lang w:val="en-US" w:eastAsia="zh-CN"/>
              </w:rPr>
            </w:pPr>
          </w:p>
        </w:tc>
        <w:tc>
          <w:tcPr>
            <w:tcW w:w="1221" w:type="dxa"/>
            <w:gridSpan w:val="2"/>
            <w:tcBorders>
              <w:tl2br w:val="nil"/>
              <w:tr2bl w:val="nil"/>
            </w:tcBorders>
            <w:noWrap w:val="0"/>
            <w:vAlign w:val="center"/>
          </w:tcPr>
          <w:p w14:paraId="10A97B02">
            <w:pPr>
              <w:spacing w:line="30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养护设备配置（包括质量检测设备）</w:t>
            </w:r>
          </w:p>
        </w:tc>
        <w:tc>
          <w:tcPr>
            <w:tcW w:w="1215" w:type="dxa"/>
            <w:gridSpan w:val="2"/>
            <w:tcBorders>
              <w:tl2br w:val="nil"/>
              <w:tr2bl w:val="nil"/>
            </w:tcBorders>
            <w:noWrap w:val="0"/>
            <w:vAlign w:val="center"/>
          </w:tcPr>
          <w:p w14:paraId="79D1F271">
            <w:pPr>
              <w:spacing w:line="30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u w:val="single"/>
                <w:lang w:val="en-US" w:eastAsia="zh-CN"/>
              </w:rPr>
              <w:t>1.</w:t>
            </w:r>
            <w:r>
              <w:rPr>
                <w:rFonts w:hint="eastAsia" w:ascii="宋体" w:hAnsi="宋体" w:cs="宋体"/>
                <w:color w:val="auto"/>
                <w:sz w:val="21"/>
                <w:szCs w:val="21"/>
                <w:highlight w:val="none"/>
                <w:u w:val="single"/>
                <w:lang w:val="en-US" w:eastAsia="zh-CN"/>
              </w:rPr>
              <w:t>2</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u w:val="single"/>
                <w:lang w:val="en-US" w:eastAsia="zh-CN"/>
              </w:rPr>
              <w:t>2</w:t>
            </w:r>
            <w:r>
              <w:rPr>
                <w:rFonts w:hint="eastAsia" w:ascii="宋体" w:hAnsi="宋体" w:eastAsia="宋体" w:cs="宋体"/>
                <w:color w:val="auto"/>
                <w:sz w:val="21"/>
                <w:szCs w:val="21"/>
                <w:highlight w:val="none"/>
              </w:rPr>
              <w:t>分</w:t>
            </w:r>
          </w:p>
        </w:tc>
        <w:tc>
          <w:tcPr>
            <w:tcW w:w="3855" w:type="dxa"/>
            <w:tcBorders>
              <w:tl2br w:val="nil"/>
              <w:tr2bl w:val="nil"/>
            </w:tcBorders>
            <w:noWrap w:val="0"/>
            <w:vAlign w:val="center"/>
          </w:tcPr>
          <w:p w14:paraId="4274B13D">
            <w:pPr>
              <w:spacing w:line="280" w:lineRule="exac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视养护设备配置、功能优劣</w:t>
            </w:r>
            <w:r>
              <w:rPr>
                <w:rFonts w:hint="eastAsia" w:ascii="宋体" w:hAnsi="宋体" w:cs="宋体"/>
                <w:color w:val="auto"/>
                <w:sz w:val="21"/>
                <w:szCs w:val="21"/>
                <w:highlight w:val="none"/>
                <w:lang w:eastAsia="zh-CN"/>
              </w:rPr>
              <w:t>（</w:t>
            </w:r>
            <w:r>
              <w:rPr>
                <w:rFonts w:hint="eastAsia" w:ascii="Times New Roman" w:hAnsi="Times New Roman" w:eastAsia="宋体" w:cs="Times New Roman"/>
                <w:color w:val="auto"/>
                <w:szCs w:val="21"/>
                <w:highlight w:val="none"/>
                <w:lang w:val="en-US" w:eastAsia="zh-CN"/>
              </w:rPr>
              <w:t>按招标文件第四章第三节合同附件格式中的</w:t>
            </w:r>
            <w:r>
              <w:rPr>
                <w:rFonts w:hint="eastAsia" w:cs="Times New Roman"/>
                <w:color w:val="auto"/>
                <w:szCs w:val="21"/>
                <w:highlight w:val="none"/>
                <w:lang w:val="en-US" w:eastAsia="zh-CN"/>
              </w:rPr>
              <w:t>“</w:t>
            </w:r>
            <w:r>
              <w:rPr>
                <w:rFonts w:hint="eastAsia" w:ascii="Times New Roman" w:hAnsi="Times New Roman" w:eastAsia="宋体" w:cs="Times New Roman"/>
                <w:color w:val="auto"/>
                <w:szCs w:val="21"/>
                <w:highlight w:val="none"/>
                <w:lang w:val="en-US" w:eastAsia="zh-CN"/>
              </w:rPr>
              <w:t>附件五主要机械设备和试验检测设备最低要求”提供用于本项目主要设备的相关证明材料</w:t>
            </w:r>
            <w:r>
              <w:rPr>
                <w:rFonts w:hint="eastAsia" w:cs="Times New Roman"/>
                <w:color w:val="auto"/>
                <w:szCs w:val="21"/>
                <w:highlight w:val="none"/>
                <w:lang w:val="en-US" w:eastAsia="zh-CN"/>
              </w:rPr>
              <w:t>，</w:t>
            </w:r>
            <w:r>
              <w:rPr>
                <w:rFonts w:hint="eastAsia" w:ascii="Times New Roman" w:hAnsi="Times New Roman" w:eastAsia="宋体" w:cs="Times New Roman"/>
                <w:color w:val="auto"/>
                <w:szCs w:val="21"/>
                <w:highlight w:val="none"/>
                <w:lang w:val="en-US" w:eastAsia="zh-CN"/>
              </w:rPr>
              <w:t>如：沥青拌合楼型号、具体位置描述、自有购买发票或租赁协议等证明材料、其他设备的购买发票或租赁协议等</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打分，一般的得基本分</w:t>
            </w:r>
            <w:r>
              <w:rPr>
                <w:rFonts w:hint="eastAsia" w:ascii="宋体" w:hAnsi="宋体" w:eastAsia="宋体" w:cs="宋体"/>
                <w:color w:val="auto"/>
                <w:sz w:val="21"/>
                <w:szCs w:val="21"/>
                <w:highlight w:val="none"/>
                <w:u w:val="single"/>
                <w:lang w:val="en-US" w:eastAsia="zh-CN"/>
              </w:rPr>
              <w:t>1.2</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lang w:val="en-US" w:eastAsia="zh-CN"/>
              </w:rPr>
              <w:t>1.4</w:t>
            </w:r>
            <w:r>
              <w:rPr>
                <w:rFonts w:hint="eastAsia" w:ascii="宋体" w:hAnsi="宋体" w:eastAsia="宋体" w:cs="宋体"/>
                <w:color w:val="auto"/>
                <w:sz w:val="21"/>
                <w:szCs w:val="21"/>
                <w:highlight w:val="none"/>
              </w:rPr>
              <w:t>分，较好的得</w:t>
            </w:r>
            <w:r>
              <w:rPr>
                <w:rFonts w:hint="eastAsia" w:ascii="宋体" w:hAnsi="宋体" w:eastAsia="宋体" w:cs="宋体"/>
                <w:color w:val="auto"/>
                <w:sz w:val="21"/>
                <w:szCs w:val="21"/>
                <w:highlight w:val="none"/>
                <w:u w:val="single"/>
                <w:lang w:val="en-US" w:eastAsia="zh-CN"/>
              </w:rPr>
              <w:t>1.5</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lang w:val="en-US" w:eastAsia="zh-CN"/>
              </w:rPr>
              <w:t>1.7</w:t>
            </w:r>
            <w:r>
              <w:rPr>
                <w:rFonts w:hint="eastAsia" w:ascii="宋体" w:hAnsi="宋体" w:eastAsia="宋体" w:cs="宋体"/>
                <w:color w:val="auto"/>
                <w:sz w:val="21"/>
                <w:szCs w:val="21"/>
                <w:highlight w:val="none"/>
              </w:rPr>
              <w:t>分，好的得</w:t>
            </w:r>
            <w:r>
              <w:rPr>
                <w:rFonts w:hint="eastAsia" w:ascii="宋体" w:hAnsi="宋体" w:eastAsia="宋体" w:cs="宋体"/>
                <w:color w:val="auto"/>
                <w:sz w:val="21"/>
                <w:szCs w:val="21"/>
                <w:highlight w:val="none"/>
                <w:u w:val="single"/>
                <w:lang w:val="en-US" w:eastAsia="zh-CN"/>
              </w:rPr>
              <w:t>1.8</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lang w:val="en-US" w:eastAsia="zh-CN"/>
              </w:rPr>
              <w:t>2.0</w:t>
            </w:r>
            <w:r>
              <w:rPr>
                <w:rFonts w:hint="eastAsia" w:ascii="宋体" w:hAnsi="宋体" w:eastAsia="宋体" w:cs="宋体"/>
                <w:color w:val="auto"/>
                <w:sz w:val="21"/>
                <w:szCs w:val="21"/>
                <w:highlight w:val="none"/>
              </w:rPr>
              <w:t>分。</w:t>
            </w:r>
          </w:p>
        </w:tc>
      </w:tr>
      <w:tr w14:paraId="32BB609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494" w:hRule="atLeast"/>
        </w:trPr>
        <w:tc>
          <w:tcPr>
            <w:tcW w:w="900" w:type="dxa"/>
            <w:vMerge w:val="continue"/>
            <w:tcBorders>
              <w:tl2br w:val="nil"/>
              <w:tr2bl w:val="nil"/>
            </w:tcBorders>
            <w:noWrap w:val="0"/>
            <w:vAlign w:val="center"/>
          </w:tcPr>
          <w:p w14:paraId="3523937D">
            <w:pPr>
              <w:pStyle w:val="9"/>
              <w:spacing w:line="300" w:lineRule="exact"/>
              <w:jc w:val="center"/>
              <w:rPr>
                <w:rFonts w:hint="eastAsia" w:eastAsia="宋体"/>
                <w:b w:val="0"/>
                <w:bCs w:val="0"/>
                <w:color w:val="auto"/>
                <w:highlight w:val="none"/>
                <w:lang w:val="en-US" w:eastAsia="zh-CN"/>
              </w:rPr>
            </w:pPr>
          </w:p>
        </w:tc>
        <w:tc>
          <w:tcPr>
            <w:tcW w:w="1540" w:type="dxa"/>
            <w:vMerge w:val="continue"/>
            <w:tcBorders>
              <w:tl2br w:val="nil"/>
              <w:tr2bl w:val="nil"/>
            </w:tcBorders>
            <w:noWrap w:val="0"/>
            <w:vAlign w:val="center"/>
          </w:tcPr>
          <w:p w14:paraId="7FCDDCA8">
            <w:pPr>
              <w:pStyle w:val="9"/>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eastAsia="宋体"/>
                <w:b w:val="0"/>
                <w:bCs w:val="0"/>
                <w:color w:val="auto"/>
                <w:szCs w:val="21"/>
                <w:highlight w:val="none"/>
                <w:lang w:val="en-US" w:eastAsia="zh-CN"/>
              </w:rPr>
            </w:pPr>
          </w:p>
        </w:tc>
        <w:tc>
          <w:tcPr>
            <w:tcW w:w="871" w:type="dxa"/>
            <w:vMerge w:val="continue"/>
            <w:tcBorders>
              <w:tl2br w:val="nil"/>
              <w:tr2bl w:val="nil"/>
            </w:tcBorders>
            <w:noWrap w:val="0"/>
            <w:vAlign w:val="center"/>
          </w:tcPr>
          <w:p w14:paraId="57AA5C2A">
            <w:pPr>
              <w:pStyle w:val="9"/>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eastAsia="宋体"/>
                <w:b w:val="0"/>
                <w:bCs w:val="0"/>
                <w:color w:val="auto"/>
                <w:szCs w:val="21"/>
                <w:highlight w:val="none"/>
                <w:lang w:val="en-US" w:eastAsia="zh-CN"/>
              </w:rPr>
            </w:pPr>
          </w:p>
        </w:tc>
        <w:tc>
          <w:tcPr>
            <w:tcW w:w="1221" w:type="dxa"/>
            <w:gridSpan w:val="2"/>
            <w:tcBorders>
              <w:tl2br w:val="nil"/>
              <w:tr2bl w:val="nil"/>
            </w:tcBorders>
            <w:noWrap w:val="0"/>
            <w:vAlign w:val="center"/>
          </w:tcPr>
          <w:p w14:paraId="4B2829A9">
            <w:pPr>
              <w:spacing w:line="30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养护技术方案及措施</w:t>
            </w:r>
          </w:p>
        </w:tc>
        <w:tc>
          <w:tcPr>
            <w:tcW w:w="1215" w:type="dxa"/>
            <w:gridSpan w:val="2"/>
            <w:tcBorders>
              <w:tl2br w:val="nil"/>
              <w:tr2bl w:val="nil"/>
            </w:tcBorders>
            <w:noWrap w:val="0"/>
            <w:vAlign w:val="center"/>
          </w:tcPr>
          <w:p w14:paraId="75E2E408">
            <w:pPr>
              <w:spacing w:line="30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u w:val="single"/>
                <w:lang w:val="en-US" w:eastAsia="zh-CN"/>
              </w:rPr>
              <w:t>1.2</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rPr>
              <w:t>分</w:t>
            </w:r>
          </w:p>
        </w:tc>
        <w:tc>
          <w:tcPr>
            <w:tcW w:w="3855" w:type="dxa"/>
            <w:tcBorders>
              <w:tl2br w:val="nil"/>
              <w:tr2bl w:val="nil"/>
            </w:tcBorders>
            <w:noWrap w:val="0"/>
            <w:vAlign w:val="center"/>
          </w:tcPr>
          <w:p w14:paraId="379D453C">
            <w:pPr>
              <w:spacing w:line="280" w:lineRule="exac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视养护技术方案及措施优劣打分，一般的得基本分</w:t>
            </w:r>
            <w:r>
              <w:rPr>
                <w:rFonts w:hint="eastAsia" w:ascii="宋体" w:hAnsi="宋体" w:eastAsia="宋体" w:cs="宋体"/>
                <w:color w:val="auto"/>
                <w:sz w:val="21"/>
                <w:szCs w:val="21"/>
                <w:highlight w:val="none"/>
                <w:u w:val="single"/>
                <w:lang w:val="en-US" w:eastAsia="zh-CN"/>
              </w:rPr>
              <w:t>1.2</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lang w:val="en-US" w:eastAsia="zh-CN"/>
              </w:rPr>
              <w:t>1.4</w:t>
            </w:r>
            <w:r>
              <w:rPr>
                <w:rFonts w:hint="eastAsia" w:ascii="宋体" w:hAnsi="宋体" w:eastAsia="宋体" w:cs="宋体"/>
                <w:color w:val="auto"/>
                <w:sz w:val="21"/>
                <w:szCs w:val="21"/>
                <w:highlight w:val="none"/>
              </w:rPr>
              <w:t>分，较好的得</w:t>
            </w:r>
            <w:r>
              <w:rPr>
                <w:rFonts w:hint="eastAsia" w:ascii="宋体" w:hAnsi="宋体" w:eastAsia="宋体" w:cs="宋体"/>
                <w:color w:val="auto"/>
                <w:sz w:val="21"/>
                <w:szCs w:val="21"/>
                <w:highlight w:val="none"/>
                <w:u w:val="single"/>
                <w:lang w:val="en-US" w:eastAsia="zh-CN"/>
              </w:rPr>
              <w:t>1.5</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lang w:val="en-US" w:eastAsia="zh-CN"/>
              </w:rPr>
              <w:t>1.7</w:t>
            </w:r>
            <w:r>
              <w:rPr>
                <w:rFonts w:hint="eastAsia" w:ascii="宋体" w:hAnsi="宋体" w:eastAsia="宋体" w:cs="宋体"/>
                <w:color w:val="auto"/>
                <w:sz w:val="21"/>
                <w:szCs w:val="21"/>
                <w:highlight w:val="none"/>
              </w:rPr>
              <w:t>分，好的得</w:t>
            </w:r>
            <w:r>
              <w:rPr>
                <w:rFonts w:hint="eastAsia" w:ascii="宋体" w:hAnsi="宋体" w:eastAsia="宋体" w:cs="宋体"/>
                <w:color w:val="auto"/>
                <w:sz w:val="21"/>
                <w:szCs w:val="21"/>
                <w:highlight w:val="none"/>
                <w:u w:val="single"/>
                <w:lang w:val="en-US" w:eastAsia="zh-CN"/>
              </w:rPr>
              <w:t>1.8</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lang w:val="en-US" w:eastAsia="zh-CN"/>
              </w:rPr>
              <w:t>2.0</w:t>
            </w:r>
            <w:r>
              <w:rPr>
                <w:rFonts w:hint="eastAsia" w:ascii="宋体" w:hAnsi="宋体" w:eastAsia="宋体" w:cs="宋体"/>
                <w:color w:val="auto"/>
                <w:sz w:val="21"/>
                <w:szCs w:val="21"/>
                <w:highlight w:val="none"/>
              </w:rPr>
              <w:t>分。</w:t>
            </w:r>
          </w:p>
        </w:tc>
      </w:tr>
      <w:tr w14:paraId="59A66F9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494" w:hRule="atLeast"/>
        </w:trPr>
        <w:tc>
          <w:tcPr>
            <w:tcW w:w="900" w:type="dxa"/>
            <w:vMerge w:val="continue"/>
            <w:tcBorders>
              <w:tl2br w:val="nil"/>
              <w:tr2bl w:val="nil"/>
            </w:tcBorders>
            <w:noWrap w:val="0"/>
            <w:vAlign w:val="center"/>
          </w:tcPr>
          <w:p w14:paraId="0579C42E">
            <w:pPr>
              <w:pStyle w:val="9"/>
              <w:spacing w:line="300" w:lineRule="exact"/>
              <w:jc w:val="center"/>
              <w:rPr>
                <w:rFonts w:hint="eastAsia" w:eastAsia="宋体"/>
                <w:b w:val="0"/>
                <w:bCs w:val="0"/>
                <w:color w:val="auto"/>
                <w:highlight w:val="none"/>
                <w:lang w:val="en-US" w:eastAsia="zh-CN"/>
              </w:rPr>
            </w:pPr>
          </w:p>
        </w:tc>
        <w:tc>
          <w:tcPr>
            <w:tcW w:w="1540" w:type="dxa"/>
            <w:vMerge w:val="continue"/>
            <w:tcBorders>
              <w:tl2br w:val="nil"/>
              <w:tr2bl w:val="nil"/>
            </w:tcBorders>
            <w:noWrap w:val="0"/>
            <w:vAlign w:val="center"/>
          </w:tcPr>
          <w:p w14:paraId="09CA4DD2">
            <w:pPr>
              <w:pStyle w:val="9"/>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eastAsia="宋体"/>
                <w:b w:val="0"/>
                <w:bCs w:val="0"/>
                <w:color w:val="auto"/>
                <w:szCs w:val="21"/>
                <w:highlight w:val="none"/>
                <w:lang w:val="en-US" w:eastAsia="zh-CN"/>
              </w:rPr>
            </w:pPr>
          </w:p>
        </w:tc>
        <w:tc>
          <w:tcPr>
            <w:tcW w:w="871" w:type="dxa"/>
            <w:vMerge w:val="continue"/>
            <w:tcBorders>
              <w:tl2br w:val="nil"/>
              <w:tr2bl w:val="nil"/>
            </w:tcBorders>
            <w:noWrap w:val="0"/>
            <w:vAlign w:val="center"/>
          </w:tcPr>
          <w:p w14:paraId="7F2AB074">
            <w:pPr>
              <w:pStyle w:val="9"/>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eastAsia="宋体"/>
                <w:b w:val="0"/>
                <w:bCs w:val="0"/>
                <w:color w:val="auto"/>
                <w:szCs w:val="21"/>
                <w:highlight w:val="none"/>
                <w:lang w:val="en-US" w:eastAsia="zh-CN"/>
              </w:rPr>
            </w:pPr>
          </w:p>
        </w:tc>
        <w:tc>
          <w:tcPr>
            <w:tcW w:w="1221" w:type="dxa"/>
            <w:gridSpan w:val="2"/>
            <w:tcBorders>
              <w:tl2br w:val="nil"/>
              <w:tr2bl w:val="nil"/>
            </w:tcBorders>
            <w:noWrap w:val="0"/>
            <w:vAlign w:val="center"/>
          </w:tcPr>
          <w:p w14:paraId="15BD3CCD">
            <w:pPr>
              <w:spacing w:line="30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质量、安全、进度、文明作业、环境保护保证体系和保障措施</w:t>
            </w:r>
          </w:p>
        </w:tc>
        <w:tc>
          <w:tcPr>
            <w:tcW w:w="1215" w:type="dxa"/>
            <w:gridSpan w:val="2"/>
            <w:tcBorders>
              <w:tl2br w:val="nil"/>
              <w:tr2bl w:val="nil"/>
            </w:tcBorders>
            <w:noWrap w:val="0"/>
            <w:vAlign w:val="center"/>
          </w:tcPr>
          <w:p w14:paraId="028542E8">
            <w:pPr>
              <w:spacing w:line="30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u w:val="single"/>
                <w:lang w:val="en-US" w:eastAsia="zh-CN"/>
              </w:rPr>
              <w:t>1.2</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rPr>
              <w:t>分</w:t>
            </w:r>
          </w:p>
        </w:tc>
        <w:tc>
          <w:tcPr>
            <w:tcW w:w="3855" w:type="dxa"/>
            <w:tcBorders>
              <w:tl2br w:val="nil"/>
              <w:tr2bl w:val="nil"/>
            </w:tcBorders>
            <w:noWrap w:val="0"/>
            <w:vAlign w:val="center"/>
          </w:tcPr>
          <w:p w14:paraId="702306AC">
            <w:pPr>
              <w:spacing w:line="280" w:lineRule="exac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措施得力得</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rPr>
              <w:t>分，根据欠缺情况酌情减分至最低</w:t>
            </w:r>
            <w:r>
              <w:rPr>
                <w:rFonts w:hint="eastAsia" w:ascii="宋体" w:hAnsi="宋体" w:eastAsia="宋体" w:cs="宋体"/>
                <w:color w:val="auto"/>
                <w:sz w:val="21"/>
                <w:szCs w:val="21"/>
                <w:highlight w:val="none"/>
                <w:u w:val="single"/>
                <w:lang w:val="en-US" w:eastAsia="zh-CN"/>
              </w:rPr>
              <w:t>1.2</w:t>
            </w:r>
            <w:r>
              <w:rPr>
                <w:rFonts w:hint="eastAsia" w:ascii="宋体" w:hAnsi="宋体" w:eastAsia="宋体" w:cs="宋体"/>
                <w:color w:val="auto"/>
                <w:sz w:val="21"/>
                <w:szCs w:val="21"/>
                <w:highlight w:val="none"/>
              </w:rPr>
              <w:t>分。</w:t>
            </w:r>
          </w:p>
        </w:tc>
      </w:tr>
      <w:tr w14:paraId="007FC80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494" w:hRule="atLeast"/>
        </w:trPr>
        <w:tc>
          <w:tcPr>
            <w:tcW w:w="900" w:type="dxa"/>
            <w:vMerge w:val="continue"/>
            <w:tcBorders>
              <w:tl2br w:val="nil"/>
              <w:tr2bl w:val="nil"/>
            </w:tcBorders>
            <w:noWrap w:val="0"/>
            <w:vAlign w:val="center"/>
          </w:tcPr>
          <w:p w14:paraId="7C8BF0FB">
            <w:pPr>
              <w:pStyle w:val="9"/>
              <w:spacing w:line="300" w:lineRule="exact"/>
              <w:jc w:val="center"/>
              <w:rPr>
                <w:rFonts w:hint="eastAsia" w:eastAsia="宋体"/>
                <w:b w:val="0"/>
                <w:bCs w:val="0"/>
                <w:color w:val="auto"/>
                <w:highlight w:val="none"/>
                <w:lang w:val="en-US" w:eastAsia="zh-CN"/>
              </w:rPr>
            </w:pPr>
          </w:p>
        </w:tc>
        <w:tc>
          <w:tcPr>
            <w:tcW w:w="1540" w:type="dxa"/>
            <w:vMerge w:val="continue"/>
            <w:tcBorders>
              <w:tl2br w:val="nil"/>
              <w:tr2bl w:val="nil"/>
            </w:tcBorders>
            <w:noWrap w:val="0"/>
            <w:vAlign w:val="center"/>
          </w:tcPr>
          <w:p w14:paraId="30E85B7B">
            <w:pPr>
              <w:pStyle w:val="9"/>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eastAsia="宋体"/>
                <w:b w:val="0"/>
                <w:bCs w:val="0"/>
                <w:color w:val="auto"/>
                <w:szCs w:val="21"/>
                <w:highlight w:val="none"/>
                <w:lang w:val="en-US" w:eastAsia="zh-CN"/>
              </w:rPr>
            </w:pPr>
          </w:p>
        </w:tc>
        <w:tc>
          <w:tcPr>
            <w:tcW w:w="871" w:type="dxa"/>
            <w:vMerge w:val="continue"/>
            <w:tcBorders>
              <w:tl2br w:val="nil"/>
              <w:tr2bl w:val="nil"/>
            </w:tcBorders>
            <w:noWrap w:val="0"/>
            <w:vAlign w:val="center"/>
          </w:tcPr>
          <w:p w14:paraId="0ECD52D2">
            <w:pPr>
              <w:pStyle w:val="9"/>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eastAsia="宋体"/>
                <w:b w:val="0"/>
                <w:bCs w:val="0"/>
                <w:color w:val="auto"/>
                <w:szCs w:val="21"/>
                <w:highlight w:val="none"/>
                <w:lang w:val="en-US" w:eastAsia="zh-CN"/>
              </w:rPr>
            </w:pPr>
          </w:p>
        </w:tc>
        <w:tc>
          <w:tcPr>
            <w:tcW w:w="1221" w:type="dxa"/>
            <w:gridSpan w:val="2"/>
            <w:tcBorders>
              <w:tl2br w:val="nil"/>
              <w:tr2bl w:val="nil"/>
            </w:tcBorders>
            <w:shd w:val="clear" w:color="auto" w:fill="auto"/>
            <w:noWrap w:val="0"/>
            <w:vAlign w:val="center"/>
          </w:tcPr>
          <w:p w14:paraId="2AC82B91">
            <w:pPr>
              <w:spacing w:line="30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设备材料质量保证措施</w:t>
            </w:r>
          </w:p>
        </w:tc>
        <w:tc>
          <w:tcPr>
            <w:tcW w:w="1215" w:type="dxa"/>
            <w:gridSpan w:val="2"/>
            <w:tcBorders>
              <w:tl2br w:val="nil"/>
              <w:tr2bl w:val="nil"/>
            </w:tcBorders>
            <w:shd w:val="clear" w:color="auto" w:fill="auto"/>
            <w:noWrap w:val="0"/>
            <w:vAlign w:val="center"/>
          </w:tcPr>
          <w:p w14:paraId="2FC5C6EF">
            <w:pPr>
              <w:spacing w:line="30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u w:val="single"/>
                <w:lang w:val="en-US" w:eastAsia="zh-CN"/>
              </w:rPr>
              <w:t>1.2</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rPr>
              <w:t>分</w:t>
            </w:r>
          </w:p>
        </w:tc>
        <w:tc>
          <w:tcPr>
            <w:tcW w:w="3855" w:type="dxa"/>
            <w:tcBorders>
              <w:tl2br w:val="nil"/>
              <w:tr2bl w:val="nil"/>
            </w:tcBorders>
            <w:shd w:val="clear" w:color="auto" w:fill="auto"/>
            <w:noWrap w:val="0"/>
            <w:vAlign w:val="center"/>
          </w:tcPr>
          <w:p w14:paraId="4DA04CD6">
            <w:pPr>
              <w:spacing w:line="280" w:lineRule="exac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eastAsia="zh-CN"/>
              </w:rPr>
              <w:t>设备材料使用年限及后续服务</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一般的得基本分</w:t>
            </w:r>
            <w:r>
              <w:rPr>
                <w:rFonts w:hint="eastAsia" w:ascii="宋体" w:hAnsi="宋体" w:eastAsia="宋体" w:cs="宋体"/>
                <w:color w:val="auto"/>
                <w:sz w:val="21"/>
                <w:szCs w:val="21"/>
                <w:highlight w:val="none"/>
                <w:u w:val="single"/>
                <w:lang w:val="en-US" w:eastAsia="zh-CN"/>
              </w:rPr>
              <w:t>1.2</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lang w:val="en-US" w:eastAsia="zh-CN"/>
              </w:rPr>
              <w:t>1.4</w:t>
            </w:r>
            <w:r>
              <w:rPr>
                <w:rFonts w:hint="eastAsia" w:ascii="宋体" w:hAnsi="宋体" w:eastAsia="宋体" w:cs="宋体"/>
                <w:color w:val="auto"/>
                <w:sz w:val="21"/>
                <w:szCs w:val="21"/>
                <w:highlight w:val="none"/>
              </w:rPr>
              <w:t>分，较好的得</w:t>
            </w:r>
            <w:r>
              <w:rPr>
                <w:rFonts w:hint="eastAsia" w:ascii="宋体" w:hAnsi="宋体" w:eastAsia="宋体" w:cs="宋体"/>
                <w:color w:val="auto"/>
                <w:sz w:val="21"/>
                <w:szCs w:val="21"/>
                <w:highlight w:val="none"/>
                <w:u w:val="single"/>
                <w:lang w:val="en-US" w:eastAsia="zh-CN"/>
              </w:rPr>
              <w:t>1.5</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lang w:val="en-US" w:eastAsia="zh-CN"/>
              </w:rPr>
              <w:t>1.7</w:t>
            </w:r>
            <w:r>
              <w:rPr>
                <w:rFonts w:hint="eastAsia" w:ascii="宋体" w:hAnsi="宋体" w:eastAsia="宋体" w:cs="宋体"/>
                <w:color w:val="auto"/>
                <w:sz w:val="21"/>
                <w:szCs w:val="21"/>
                <w:highlight w:val="none"/>
              </w:rPr>
              <w:t>分，好的得</w:t>
            </w:r>
            <w:r>
              <w:rPr>
                <w:rFonts w:hint="eastAsia" w:ascii="宋体" w:hAnsi="宋体" w:eastAsia="宋体" w:cs="宋体"/>
                <w:color w:val="auto"/>
                <w:sz w:val="21"/>
                <w:szCs w:val="21"/>
                <w:highlight w:val="none"/>
                <w:u w:val="single"/>
                <w:lang w:val="en-US" w:eastAsia="zh-CN"/>
              </w:rPr>
              <w:t>1.8</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lang w:val="en-US" w:eastAsia="zh-CN"/>
              </w:rPr>
              <w:t>2.0</w:t>
            </w:r>
            <w:r>
              <w:rPr>
                <w:rFonts w:hint="eastAsia" w:ascii="宋体" w:hAnsi="宋体" w:eastAsia="宋体" w:cs="宋体"/>
                <w:color w:val="auto"/>
                <w:sz w:val="21"/>
                <w:szCs w:val="21"/>
                <w:highlight w:val="none"/>
              </w:rPr>
              <w:t>分。</w:t>
            </w:r>
          </w:p>
        </w:tc>
      </w:tr>
      <w:tr w14:paraId="71C6AE9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494" w:hRule="atLeast"/>
        </w:trPr>
        <w:tc>
          <w:tcPr>
            <w:tcW w:w="900" w:type="dxa"/>
            <w:tcBorders>
              <w:tl2br w:val="nil"/>
              <w:tr2bl w:val="nil"/>
            </w:tcBorders>
            <w:noWrap w:val="0"/>
            <w:vAlign w:val="center"/>
          </w:tcPr>
          <w:p w14:paraId="51EAD035">
            <w:pPr>
              <w:pStyle w:val="9"/>
              <w:spacing w:line="300" w:lineRule="exact"/>
              <w:jc w:val="center"/>
              <w:rPr>
                <w:rFonts w:hint="default" w:eastAsia="宋体"/>
                <w:b w:val="0"/>
                <w:bCs w:val="0"/>
                <w:color w:val="auto"/>
                <w:highlight w:val="none"/>
                <w:lang w:val="en-US" w:eastAsia="zh-CN"/>
              </w:rPr>
            </w:pPr>
            <w:r>
              <w:rPr>
                <w:rFonts w:hint="eastAsia" w:eastAsia="宋体"/>
                <w:b w:val="0"/>
                <w:bCs w:val="0"/>
                <w:color w:val="auto"/>
                <w:highlight w:val="none"/>
                <w:lang w:val="en-US" w:eastAsia="zh-CN"/>
              </w:rPr>
              <w:t>2.2.4（3）</w:t>
            </w:r>
          </w:p>
        </w:tc>
        <w:tc>
          <w:tcPr>
            <w:tcW w:w="1540" w:type="dxa"/>
            <w:tcBorders>
              <w:tl2br w:val="nil"/>
              <w:tr2bl w:val="nil"/>
            </w:tcBorders>
            <w:noWrap w:val="0"/>
            <w:vAlign w:val="center"/>
          </w:tcPr>
          <w:p w14:paraId="5F822EEA">
            <w:pPr>
              <w:pStyle w:val="9"/>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eastAsia="宋体"/>
                <w:b w:val="0"/>
                <w:bCs w:val="0"/>
                <w:color w:val="auto"/>
                <w:szCs w:val="21"/>
                <w:highlight w:val="none"/>
                <w:lang w:val="en-US" w:eastAsia="zh-CN"/>
              </w:rPr>
            </w:pPr>
            <w:r>
              <w:rPr>
                <w:rFonts w:hint="eastAsia" w:ascii="Times New Roman" w:hAnsi="Times New Roman" w:eastAsia="宋体" w:cs="Times New Roman"/>
                <w:color w:val="auto"/>
                <w:highlight w:val="none"/>
                <w:lang w:val="en-US" w:eastAsia="zh-CN"/>
              </w:rPr>
              <w:t>企业资质与信誉</w:t>
            </w:r>
          </w:p>
        </w:tc>
        <w:tc>
          <w:tcPr>
            <w:tcW w:w="871" w:type="dxa"/>
            <w:tcBorders>
              <w:tl2br w:val="nil"/>
              <w:tr2bl w:val="nil"/>
            </w:tcBorders>
            <w:noWrap w:val="0"/>
            <w:vAlign w:val="center"/>
          </w:tcPr>
          <w:p w14:paraId="7820279A">
            <w:pPr>
              <w:pStyle w:val="9"/>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eastAsia="宋体"/>
                <w:b w:val="0"/>
                <w:bCs w:val="0"/>
                <w:color w:val="auto"/>
                <w:szCs w:val="21"/>
                <w:highlight w:val="none"/>
                <w:lang w:val="en-US" w:eastAsia="zh-CN"/>
              </w:rPr>
            </w:pPr>
            <w:r>
              <w:rPr>
                <w:rFonts w:hint="eastAsia" w:eastAsia="宋体"/>
                <w:b w:val="0"/>
                <w:bCs w:val="0"/>
                <w:color w:val="auto"/>
                <w:szCs w:val="21"/>
                <w:highlight w:val="none"/>
                <w:lang w:val="en-US" w:eastAsia="zh-CN"/>
              </w:rPr>
              <w:t>-3~2分</w:t>
            </w:r>
          </w:p>
        </w:tc>
        <w:tc>
          <w:tcPr>
            <w:tcW w:w="6291" w:type="dxa"/>
            <w:gridSpan w:val="5"/>
            <w:tcBorders>
              <w:tl2br w:val="nil"/>
              <w:tr2bl w:val="nil"/>
            </w:tcBorders>
            <w:noWrap w:val="0"/>
            <w:vAlign w:val="center"/>
          </w:tcPr>
          <w:p w14:paraId="1A9EC9F0">
            <w:pPr>
              <w:keepNext w:val="0"/>
              <w:keepLines w:val="0"/>
              <w:pageBreakBefore w:val="0"/>
              <w:widowControl/>
              <w:suppressLineNumbers w:val="0"/>
              <w:kinsoku/>
              <w:wordWrap w:val="0"/>
              <w:overflowPunct/>
              <w:topLinePunct w:val="0"/>
              <w:autoSpaceDE/>
              <w:autoSpaceDN/>
              <w:bidi w:val="0"/>
              <w:adjustRightInd/>
              <w:snapToGrid/>
              <w:spacing w:line="300" w:lineRule="exact"/>
              <w:jc w:val="left"/>
              <w:textAlignment w:val="auto"/>
              <w:rPr>
                <w:rFonts w:hint="eastAsia"/>
                <w:color w:val="auto"/>
                <w:highlight w:val="none"/>
              </w:rPr>
            </w:pPr>
            <w:r>
              <w:rPr>
                <w:rFonts w:hint="eastAsia"/>
                <w:color w:val="auto"/>
                <w:highlight w:val="none"/>
                <w:lang w:val="en-US" w:eastAsia="zh-CN"/>
              </w:rPr>
              <w:t>（1）</w:t>
            </w:r>
            <w:r>
              <w:rPr>
                <w:rFonts w:hint="eastAsia"/>
                <w:color w:val="auto"/>
                <w:highlight w:val="none"/>
                <w:lang w:val="en-US" w:eastAsia="zh-CN"/>
              </w:rPr>
              <w:t>投标人信用等级根据</w:t>
            </w:r>
            <w:r>
              <w:rPr>
                <w:rFonts w:hint="eastAsia" w:ascii="Times New Roman" w:eastAsia="宋体"/>
                <w:color w:val="auto"/>
                <w:highlight w:val="none"/>
                <w:lang w:val="en-US" w:eastAsia="zh-CN"/>
              </w:rPr>
              <w:t>浙江省交通运输厅</w:t>
            </w:r>
            <w:r>
              <w:rPr>
                <w:rFonts w:hint="eastAsia"/>
                <w:color w:val="auto"/>
                <w:highlight w:val="none"/>
                <w:lang w:val="en-US" w:eastAsia="zh-CN"/>
              </w:rPr>
              <w:t>信用交通服务平台（https://xyfw.jtyst.zj.gov.cn）中公布的最新年度公路养护领域-施工</w:t>
            </w:r>
            <w:r>
              <w:rPr>
                <w:rFonts w:hint="eastAsia"/>
                <w:color w:val="auto"/>
                <w:highlight w:val="none"/>
                <w:lang w:val="en-US" w:eastAsia="zh-CN"/>
              </w:rPr>
              <w:t>信用等级信息，得分按以下规则计算（联合体投标的，联合体的信用等级以联合体双方信用等级较低的一方为准）：</w:t>
            </w:r>
          </w:p>
          <w:p w14:paraId="5694F836">
            <w:pPr>
              <w:pStyle w:val="9"/>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eastAsia"/>
                <w:color w:val="auto"/>
                <w:highlight w:val="none"/>
              </w:rPr>
            </w:pPr>
            <w:r>
              <w:rPr>
                <w:rFonts w:hint="eastAsia"/>
                <w:color w:val="auto"/>
                <w:highlight w:val="none"/>
                <w:lang w:val="en-US" w:eastAsia="zh-CN"/>
              </w:rPr>
              <w:t>a.信用等级为 AA 级得2分；</w:t>
            </w:r>
          </w:p>
          <w:p w14:paraId="0476D456">
            <w:pPr>
              <w:pStyle w:val="9"/>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eastAsia"/>
                <w:color w:val="auto"/>
                <w:highlight w:val="none"/>
              </w:rPr>
            </w:pPr>
            <w:r>
              <w:rPr>
                <w:rFonts w:hint="eastAsia"/>
                <w:color w:val="auto"/>
                <w:highlight w:val="none"/>
                <w:lang w:val="en-US" w:eastAsia="zh-CN"/>
              </w:rPr>
              <w:t>b.信用等级为 A 级得1分；</w:t>
            </w:r>
          </w:p>
          <w:p w14:paraId="18D16A48">
            <w:pPr>
              <w:pStyle w:val="9"/>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eastAsia"/>
                <w:color w:val="auto"/>
                <w:highlight w:val="none"/>
              </w:rPr>
            </w:pPr>
            <w:r>
              <w:rPr>
                <w:rFonts w:hint="eastAsia"/>
                <w:color w:val="auto"/>
                <w:highlight w:val="none"/>
                <w:lang w:val="en-US" w:eastAsia="zh-CN"/>
              </w:rPr>
              <w:t>c.信用等级为 B 级及无信用等级的企业的信用等级得0分；</w:t>
            </w:r>
          </w:p>
          <w:p w14:paraId="02A2A7E4">
            <w:pPr>
              <w:pStyle w:val="9"/>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eastAsia"/>
                <w:color w:val="auto"/>
                <w:highlight w:val="none"/>
              </w:rPr>
            </w:pPr>
            <w:r>
              <w:rPr>
                <w:rFonts w:hint="eastAsia"/>
                <w:color w:val="auto"/>
                <w:highlight w:val="none"/>
                <w:lang w:val="en-US" w:eastAsia="zh-CN"/>
              </w:rPr>
              <w:t>d.信用等级为 C 级扣1分；</w:t>
            </w:r>
          </w:p>
          <w:p w14:paraId="1F11389D">
            <w:pPr>
              <w:pStyle w:val="9"/>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eastAsia"/>
                <w:color w:val="auto"/>
                <w:highlight w:val="none"/>
                <w:lang w:val="en-US" w:eastAsia="zh-CN"/>
              </w:rPr>
            </w:pPr>
            <w:r>
              <w:rPr>
                <w:rFonts w:hint="eastAsia"/>
                <w:color w:val="auto"/>
                <w:highlight w:val="none"/>
                <w:lang w:val="en-US" w:eastAsia="zh-CN"/>
              </w:rPr>
              <w:t>e.信用等级为 D 级的扣2分。</w:t>
            </w:r>
          </w:p>
          <w:p w14:paraId="2C78BF83">
            <w:pPr>
              <w:pStyle w:val="9"/>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eastAsia"/>
                <w:color w:val="auto"/>
                <w:highlight w:val="none"/>
                <w:lang w:val="en-US" w:eastAsia="zh-CN"/>
              </w:rPr>
            </w:pPr>
            <w:r>
              <w:rPr>
                <w:rFonts w:hint="eastAsia"/>
                <w:color w:val="auto"/>
                <w:highlight w:val="none"/>
                <w:lang w:val="en-US" w:eastAsia="zh-CN"/>
              </w:rPr>
              <w:t xml:space="preserve"> 注：投标人须提供施工企业信用等级网上查询结果截图。</w:t>
            </w:r>
          </w:p>
          <w:p w14:paraId="7A124176">
            <w:pPr>
              <w:pStyle w:val="11"/>
              <w:ind w:left="0" w:leftChars="0" w:firstLine="0" w:firstLineChars="0"/>
              <w:rPr>
                <w:rFonts w:hint="eastAsia"/>
                <w:color w:val="auto"/>
                <w:highlight w:val="none"/>
                <w:lang w:val="en-US" w:eastAsia="zh-CN"/>
              </w:rPr>
            </w:pPr>
            <w:r>
              <w:rPr>
                <w:rFonts w:hint="eastAsia" w:ascii="Times New Roman" w:hAnsi="Times New Roman" w:eastAsia="Times New Roman" w:cs="Times New Roman"/>
                <w:color w:val="auto"/>
                <w:szCs w:val="21"/>
                <w:highlight w:val="none"/>
                <w:lang w:val="en-US" w:eastAsia="zh-CN"/>
              </w:rPr>
              <w:t>（2）</w:t>
            </w:r>
            <w:r>
              <w:rPr>
                <w:rFonts w:hint="eastAsia" w:cs="Times New Roman"/>
                <w:color w:val="auto"/>
                <w:szCs w:val="21"/>
                <w:highlight w:val="none"/>
                <w:lang w:val="en-US" w:eastAsia="zh-CN"/>
              </w:rPr>
              <w:t>2025</w:t>
            </w:r>
            <w:r>
              <w:rPr>
                <w:rFonts w:hint="eastAsia" w:ascii="Times New Roman" w:hAnsi="Times New Roman" w:eastAsia="Times New Roman" w:cs="Times New Roman"/>
                <w:color w:val="auto"/>
                <w:szCs w:val="21"/>
                <w:highlight w:val="none"/>
                <w:lang w:val="en-US" w:eastAsia="zh-CN"/>
              </w:rPr>
              <w:t>年</w:t>
            </w:r>
            <w:r>
              <w:rPr>
                <w:rFonts w:hint="eastAsia" w:ascii="Times New Roman" w:eastAsia="Times New Roman" w:cs="Times New Roman"/>
                <w:color w:val="auto"/>
                <w:szCs w:val="21"/>
                <w:highlight w:val="none"/>
                <w:lang w:val="en-US" w:eastAsia="zh-CN"/>
              </w:rPr>
              <w:t>7</w:t>
            </w:r>
            <w:r>
              <w:rPr>
                <w:rFonts w:hint="eastAsia" w:ascii="Times New Roman" w:hAnsi="Times New Roman" w:eastAsia="Times New Roman" w:cs="Times New Roman"/>
                <w:color w:val="auto"/>
                <w:szCs w:val="21"/>
                <w:highlight w:val="none"/>
                <w:lang w:val="en-US" w:eastAsia="zh-CN"/>
              </w:rPr>
              <w:t>月1日以来，被交通运输部、浙江省交通运输厅、浙江省发展和改革委员会三部门以外的省级及以上单位（部门）书面通报限制投标，并在处罚期内的，如实填报的扣 1 分，隐瞒不报的一经查实，作否决投标处理，并视为投标人提供虚假资料，按投标人须知第 3.5.11 项处理。</w:t>
            </w:r>
          </w:p>
        </w:tc>
      </w:tr>
      <w:tr w14:paraId="7841253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539" w:hRule="atLeast"/>
        </w:trPr>
        <w:tc>
          <w:tcPr>
            <w:tcW w:w="900" w:type="dxa"/>
            <w:tcBorders>
              <w:tl2br w:val="nil"/>
              <w:tr2bl w:val="nil"/>
            </w:tcBorders>
            <w:noWrap w:val="0"/>
            <w:vAlign w:val="center"/>
          </w:tcPr>
          <w:p w14:paraId="1D89AB79">
            <w:pPr>
              <w:pStyle w:val="9"/>
              <w:spacing w:line="300" w:lineRule="exact"/>
              <w:jc w:val="center"/>
              <w:rPr>
                <w:rFonts w:hint="eastAsia" w:ascii="Times New Roman" w:hAnsi="Times New Roman" w:eastAsia="宋体" w:cs="Times New Roman"/>
                <w:b w:val="0"/>
                <w:bCs w:val="0"/>
                <w:color w:val="auto"/>
                <w:kern w:val="2"/>
                <w:sz w:val="21"/>
                <w:szCs w:val="22"/>
                <w:highlight w:val="none"/>
                <w:lang w:val="en-US" w:eastAsia="zh-CN" w:bidi="ar-SA"/>
              </w:rPr>
            </w:pPr>
            <w:r>
              <w:rPr>
                <w:rFonts w:hint="eastAsia" w:eastAsia="宋体"/>
                <w:b w:val="0"/>
                <w:bCs w:val="0"/>
                <w:color w:val="auto"/>
                <w:highlight w:val="none"/>
                <w:lang w:val="en-US" w:eastAsia="zh-CN"/>
              </w:rPr>
              <w:t>2.2.4（4）</w:t>
            </w:r>
          </w:p>
        </w:tc>
        <w:tc>
          <w:tcPr>
            <w:tcW w:w="1540" w:type="dxa"/>
            <w:tcBorders>
              <w:tl2br w:val="nil"/>
              <w:tr2bl w:val="nil"/>
            </w:tcBorders>
            <w:noWrap w:val="0"/>
            <w:vAlign w:val="center"/>
          </w:tcPr>
          <w:p w14:paraId="220A84B7">
            <w:pPr>
              <w:pStyle w:val="9"/>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b w:val="0"/>
                <w:bCs w:val="0"/>
                <w:color w:val="auto"/>
                <w:kern w:val="2"/>
                <w:sz w:val="21"/>
                <w:szCs w:val="21"/>
                <w:highlight w:val="none"/>
                <w:lang w:val="en-US" w:eastAsia="zh-CN" w:bidi="ar-SA"/>
              </w:rPr>
            </w:pPr>
            <w:r>
              <w:rPr>
                <w:rFonts w:hint="eastAsia" w:eastAsia="宋体"/>
                <w:b w:val="0"/>
                <w:bCs w:val="0"/>
                <w:color w:val="auto"/>
                <w:szCs w:val="21"/>
                <w:highlight w:val="none"/>
                <w:lang w:val="en-US" w:eastAsia="zh-CN"/>
              </w:rPr>
              <w:t>其他因素</w:t>
            </w:r>
          </w:p>
        </w:tc>
        <w:tc>
          <w:tcPr>
            <w:tcW w:w="871" w:type="dxa"/>
            <w:tcBorders>
              <w:tl2br w:val="nil"/>
              <w:tr2bl w:val="nil"/>
            </w:tcBorders>
            <w:noWrap w:val="0"/>
            <w:vAlign w:val="center"/>
          </w:tcPr>
          <w:p w14:paraId="021E7CD6">
            <w:pPr>
              <w:pStyle w:val="9"/>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eastAsia" w:eastAsia="宋体" w:cs="Times New Roman"/>
                <w:b w:val="0"/>
                <w:bCs w:val="0"/>
                <w:color w:val="auto"/>
                <w:kern w:val="2"/>
                <w:sz w:val="21"/>
                <w:szCs w:val="21"/>
                <w:highlight w:val="none"/>
                <w:lang w:val="en-US" w:eastAsia="zh-CN" w:bidi="ar-SA"/>
              </w:rPr>
              <w:t>1分</w:t>
            </w:r>
          </w:p>
        </w:tc>
        <w:tc>
          <w:tcPr>
            <w:tcW w:w="940" w:type="dxa"/>
            <w:tcBorders>
              <w:tl2br w:val="nil"/>
              <w:tr2bl w:val="nil"/>
            </w:tcBorders>
            <w:noWrap w:val="0"/>
            <w:vAlign w:val="center"/>
          </w:tcPr>
          <w:p w14:paraId="43219F9C">
            <w:pPr>
              <w:pStyle w:val="9"/>
              <w:keepNext w:val="0"/>
              <w:keepLines w:val="0"/>
              <w:pageBreakBefore w:val="0"/>
              <w:kinsoku/>
              <w:wordWrap/>
              <w:overflowPunct/>
              <w:topLinePunct w:val="0"/>
              <w:autoSpaceDE/>
              <w:autoSpaceDN/>
              <w:bidi w:val="0"/>
              <w:adjustRightInd/>
              <w:snapToGrid/>
              <w:spacing w:line="310" w:lineRule="exact"/>
              <w:textAlignment w:val="auto"/>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设备材料质量保证</w:t>
            </w:r>
          </w:p>
        </w:tc>
        <w:tc>
          <w:tcPr>
            <w:tcW w:w="690" w:type="dxa"/>
            <w:gridSpan w:val="2"/>
            <w:tcBorders>
              <w:tl2br w:val="nil"/>
              <w:tr2bl w:val="nil"/>
            </w:tcBorders>
            <w:noWrap w:val="0"/>
            <w:vAlign w:val="center"/>
          </w:tcPr>
          <w:p w14:paraId="1381BC7F">
            <w:pPr>
              <w:pStyle w:val="9"/>
              <w:keepNext w:val="0"/>
              <w:keepLines w:val="0"/>
              <w:pageBreakBefore w:val="0"/>
              <w:kinsoku/>
              <w:wordWrap/>
              <w:overflowPunct/>
              <w:topLinePunct w:val="0"/>
              <w:autoSpaceDE/>
              <w:autoSpaceDN/>
              <w:bidi w:val="0"/>
              <w:adjustRightInd/>
              <w:snapToGrid/>
              <w:spacing w:line="310" w:lineRule="exact"/>
              <w:textAlignment w:val="auto"/>
              <w:rPr>
                <w:rFonts w:hint="eastAsia" w:ascii="宋体" w:hAnsi="宋体" w:eastAsia="宋体"/>
                <w:color w:val="auto"/>
                <w:szCs w:val="21"/>
                <w:highlight w:val="none"/>
                <w:lang w:val="en-US" w:eastAsia="zh-CN"/>
              </w:rPr>
            </w:pPr>
            <w:r>
              <w:rPr>
                <w:rFonts w:hint="eastAsia" w:eastAsia="宋体"/>
                <w:b w:val="0"/>
                <w:bCs w:val="0"/>
                <w:color w:val="auto"/>
                <w:szCs w:val="21"/>
                <w:highlight w:val="none"/>
                <w:lang w:val="en-US" w:eastAsia="zh-CN"/>
              </w:rPr>
              <w:t>0.6~1分</w:t>
            </w:r>
          </w:p>
        </w:tc>
        <w:tc>
          <w:tcPr>
            <w:tcW w:w="4661" w:type="dxa"/>
            <w:gridSpan w:val="2"/>
            <w:tcBorders>
              <w:tl2br w:val="nil"/>
              <w:tr2bl w:val="nil"/>
            </w:tcBorders>
            <w:noWrap w:val="0"/>
            <w:vAlign w:val="center"/>
          </w:tcPr>
          <w:p w14:paraId="07376891">
            <w:pPr>
              <w:pStyle w:val="9"/>
              <w:keepNext w:val="0"/>
              <w:keepLines w:val="0"/>
              <w:pageBreakBefore w:val="0"/>
              <w:kinsoku/>
              <w:wordWrap/>
              <w:overflowPunct/>
              <w:topLinePunct w:val="0"/>
              <w:autoSpaceDE/>
              <w:autoSpaceDN/>
              <w:bidi w:val="0"/>
              <w:adjustRightInd/>
              <w:snapToGrid/>
              <w:spacing w:line="310" w:lineRule="exact"/>
              <w:textAlignment w:val="auto"/>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满足清单一体化装配式灯具规格要求的得0.6分；提供拟采用的一体化装配式灯具用户评价报告（加盖用户公章）加0.2分，最多加0.2分（不提供不得分）；一体化装配式灯具电气部分（母线槽）需取得产品国家3c认证，隧道整灯(电气+光源)必须达到IP65防护等级以上，提供相关型式试验等检测报告证明材料并加盖拟采用品牌灯具厂公章加0.2分，最多加0.2分（不提供不得分）。</w:t>
            </w:r>
          </w:p>
        </w:tc>
      </w:tr>
      <w:tr w14:paraId="3260DF4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494" w:hRule="atLeast"/>
        </w:trPr>
        <w:tc>
          <w:tcPr>
            <w:tcW w:w="9602" w:type="dxa"/>
            <w:gridSpan w:val="8"/>
            <w:tcBorders>
              <w:tl2br w:val="nil"/>
              <w:tr2bl w:val="nil"/>
            </w:tcBorders>
            <w:noWrap w:val="0"/>
            <w:vAlign w:val="center"/>
          </w:tcPr>
          <w:p w14:paraId="4B5611AA">
            <w:pPr>
              <w:pStyle w:val="9"/>
              <w:keepNext w:val="0"/>
              <w:keepLines w:val="0"/>
              <w:pageBreakBefore w:val="0"/>
              <w:kinsoku/>
              <w:wordWrap/>
              <w:overflowPunct/>
              <w:topLinePunct w:val="0"/>
              <w:autoSpaceDE/>
              <w:autoSpaceDN/>
              <w:bidi w:val="0"/>
              <w:adjustRightInd/>
              <w:snapToGrid/>
              <w:spacing w:line="310" w:lineRule="exact"/>
              <w:textAlignment w:val="auto"/>
              <w:rPr>
                <w:rFonts w:hint="eastAsia" w:ascii="宋体" w:hAnsi="宋体" w:eastAsia="宋体"/>
                <w:color w:val="auto"/>
                <w:szCs w:val="21"/>
                <w:highlight w:val="none"/>
                <w:lang w:val="en-US" w:eastAsia="zh-CN"/>
              </w:rPr>
            </w:pPr>
            <w:bookmarkStart w:id="115" w:name="EB125e0188fafc4171ac49a343d9c16c94"/>
            <w:r>
              <w:rPr>
                <w:rFonts w:hint="eastAsia"/>
                <w:color w:val="auto"/>
                <w:sz w:val="20"/>
                <w:highlight w:val="none"/>
              </w:rPr>
              <w:t xml:space="preserve"> </w:t>
            </w:r>
            <w:bookmarkEnd w:id="115"/>
            <w:r>
              <w:rPr>
                <w:rFonts w:hint="eastAsia" w:ascii="宋体" w:hAnsi="宋体"/>
                <w:color w:val="auto"/>
                <w:highlight w:val="none"/>
              </w:rPr>
              <w:t>需要补充的其他内容：</w:t>
            </w:r>
            <w:r>
              <w:rPr>
                <w:rFonts w:hint="eastAsia" w:ascii="宋体" w:hAnsi="宋体" w:eastAsia="宋体"/>
                <w:color w:val="auto"/>
                <w:highlight w:val="none"/>
                <w:lang w:val="en-US" w:eastAsia="zh-CN"/>
              </w:rPr>
              <w:t>/</w:t>
            </w:r>
          </w:p>
        </w:tc>
      </w:tr>
    </w:tbl>
    <w:p w14:paraId="2DE496E7">
      <w:pPr>
        <w:rPr>
          <w:color w:val="auto"/>
          <w:highlight w:val="none"/>
        </w:rPr>
      </w:pPr>
    </w:p>
    <w:bookmarkEnd w:id="112"/>
    <w:bookmarkEnd w:id="114"/>
    <w:tbl>
      <w:tblPr>
        <w:tblStyle w:val="23"/>
        <w:tblW w:w="9602" w:type="dxa"/>
        <w:tblInd w:w="-352"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540"/>
        <w:gridCol w:w="7162"/>
      </w:tblGrid>
      <w:tr w14:paraId="630655C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00" w:type="dxa"/>
            <w:tcBorders>
              <w:tl2br w:val="nil"/>
              <w:tr2bl w:val="nil"/>
            </w:tcBorders>
            <w:noWrap w:val="0"/>
            <w:vAlign w:val="center"/>
          </w:tcPr>
          <w:p w14:paraId="66CA5EEB">
            <w:pPr>
              <w:pStyle w:val="9"/>
              <w:spacing w:line="300" w:lineRule="exact"/>
              <w:jc w:val="center"/>
              <w:rPr>
                <w:rFonts w:hint="default"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t>条款号</w:t>
            </w:r>
          </w:p>
        </w:tc>
        <w:tc>
          <w:tcPr>
            <w:tcW w:w="1540" w:type="dxa"/>
            <w:tcBorders>
              <w:tl2br w:val="nil"/>
              <w:tr2bl w:val="nil"/>
            </w:tcBorders>
            <w:noWrap w:val="0"/>
            <w:vAlign w:val="center"/>
          </w:tcPr>
          <w:p w14:paraId="4602AEA5">
            <w:pPr>
              <w:pStyle w:val="9"/>
              <w:spacing w:line="300" w:lineRule="exact"/>
              <w:jc w:val="center"/>
              <w:rPr>
                <w:rFonts w:hint="default"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t>条款内容</w:t>
            </w:r>
          </w:p>
        </w:tc>
        <w:tc>
          <w:tcPr>
            <w:tcW w:w="7162" w:type="dxa"/>
            <w:tcBorders>
              <w:tl2br w:val="nil"/>
              <w:tr2bl w:val="nil"/>
            </w:tcBorders>
            <w:noWrap w:val="0"/>
            <w:vAlign w:val="center"/>
          </w:tcPr>
          <w:p w14:paraId="22BCCC3A">
            <w:pPr>
              <w:pStyle w:val="9"/>
              <w:spacing w:line="300" w:lineRule="exact"/>
              <w:jc w:val="center"/>
              <w:rPr>
                <w:rFonts w:hint="default"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t>编列内容</w:t>
            </w:r>
          </w:p>
        </w:tc>
      </w:tr>
      <w:tr w14:paraId="7CA6336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00" w:type="dxa"/>
            <w:tcBorders>
              <w:tl2br w:val="nil"/>
              <w:tr2bl w:val="nil"/>
            </w:tcBorders>
            <w:noWrap w:val="0"/>
            <w:vAlign w:val="center"/>
          </w:tcPr>
          <w:p w14:paraId="6C6DB774">
            <w:pPr>
              <w:pStyle w:val="9"/>
              <w:jc w:val="center"/>
              <w:rPr>
                <w:rFonts w:hint="eastAsia" w:ascii="Times New Roman" w:hAnsi="Times New Roman" w:eastAsia="Times New Roman"/>
                <w:color w:val="auto"/>
                <w:kern w:val="2"/>
                <w:sz w:val="21"/>
                <w:szCs w:val="22"/>
                <w:highlight w:val="none"/>
                <w:lang w:val="en-US" w:eastAsia="zh-CN" w:bidi="ar-SA"/>
              </w:rPr>
            </w:pPr>
            <w:r>
              <w:rPr>
                <w:rFonts w:hint="eastAsia"/>
                <w:color w:val="auto"/>
                <w:highlight w:val="none"/>
              </w:rPr>
              <w:t>1</w:t>
            </w:r>
          </w:p>
        </w:tc>
        <w:tc>
          <w:tcPr>
            <w:tcW w:w="1540" w:type="dxa"/>
            <w:tcBorders>
              <w:tl2br w:val="nil"/>
              <w:tr2bl w:val="nil"/>
            </w:tcBorders>
            <w:noWrap w:val="0"/>
            <w:vAlign w:val="center"/>
          </w:tcPr>
          <w:p w14:paraId="7EFFC9CA">
            <w:pPr>
              <w:pStyle w:val="9"/>
              <w:spacing w:line="300" w:lineRule="exact"/>
              <w:jc w:val="center"/>
              <w:rPr>
                <w:rFonts w:hint="eastAsia" w:ascii="Times New Roman" w:hAnsi="Times New Roman" w:eastAsia="Times New Roman"/>
                <w:color w:val="auto"/>
                <w:kern w:val="2"/>
                <w:sz w:val="21"/>
                <w:szCs w:val="22"/>
                <w:highlight w:val="none"/>
                <w:lang w:val="en-US" w:eastAsia="zh-CN" w:bidi="ar-SA"/>
              </w:rPr>
            </w:pPr>
            <w:r>
              <w:rPr>
                <w:rFonts w:hint="eastAsia" w:ascii="宋体" w:hAnsi="宋体"/>
                <w:color w:val="auto"/>
                <w:highlight w:val="none"/>
              </w:rPr>
              <w:t>评标方法</w:t>
            </w:r>
          </w:p>
        </w:tc>
        <w:tc>
          <w:tcPr>
            <w:tcW w:w="7162" w:type="dxa"/>
            <w:tcBorders>
              <w:tl2br w:val="nil"/>
              <w:tr2bl w:val="nil"/>
            </w:tcBorders>
            <w:noWrap w:val="0"/>
            <w:vAlign w:val="center"/>
          </w:tcPr>
          <w:p w14:paraId="172A2969">
            <w:pPr>
              <w:pStyle w:val="9"/>
              <w:keepNext w:val="0"/>
              <w:keepLines w:val="0"/>
              <w:pageBreakBefore w:val="0"/>
              <w:widowControl w:val="0"/>
              <w:kinsoku/>
              <w:wordWrap/>
              <w:overflowPunct/>
              <w:topLinePunct w:val="0"/>
              <w:autoSpaceDE/>
              <w:autoSpaceDN/>
              <w:bidi w:val="0"/>
              <w:spacing w:line="320" w:lineRule="exact"/>
              <w:textAlignment w:val="auto"/>
              <w:rPr>
                <w:rFonts w:ascii="宋体" w:hAnsi="宋体"/>
                <w:color w:val="auto"/>
                <w:szCs w:val="21"/>
                <w:highlight w:val="none"/>
              </w:rPr>
            </w:pPr>
            <w:r>
              <w:rPr>
                <w:rFonts w:hint="eastAsia" w:ascii="宋体" w:hAnsi="宋体"/>
                <w:color w:val="auto"/>
                <w:szCs w:val="21"/>
                <w:highlight w:val="none"/>
              </w:rPr>
              <w:t>第1条细化为：</w:t>
            </w:r>
          </w:p>
          <w:p w14:paraId="3437F552">
            <w:pPr>
              <w:pStyle w:val="9"/>
              <w:keepNext w:val="0"/>
              <w:keepLines w:val="0"/>
              <w:pageBreakBefore w:val="0"/>
              <w:widowControl w:val="0"/>
              <w:kinsoku/>
              <w:wordWrap/>
              <w:overflowPunct/>
              <w:topLinePunct w:val="0"/>
              <w:autoSpaceDE/>
              <w:autoSpaceDN/>
              <w:bidi w:val="0"/>
              <w:spacing w:line="320" w:lineRule="exact"/>
              <w:textAlignment w:val="auto"/>
              <w:rPr>
                <w:rFonts w:ascii="Times New Roman" w:hAnsi="Times New Roman" w:eastAsia="Times New Roman" w:cs="Times New Roman"/>
                <w:color w:val="auto"/>
                <w:szCs w:val="21"/>
                <w:highlight w:val="none"/>
              </w:rPr>
            </w:pPr>
            <w:r>
              <w:rPr>
                <w:rFonts w:hint="eastAsia" w:ascii="Times New Roman" w:hAnsi="Times New Roman" w:eastAsia="Times New Roman" w:cs="Times New Roman"/>
                <w:color w:val="auto"/>
                <w:szCs w:val="21"/>
                <w:highlight w:val="none"/>
              </w:rPr>
              <w:t>1.1 评标方法</w:t>
            </w:r>
          </w:p>
          <w:p w14:paraId="686BB8BF">
            <w:pPr>
              <w:pStyle w:val="9"/>
              <w:keepNext w:val="0"/>
              <w:keepLines w:val="0"/>
              <w:pageBreakBefore w:val="0"/>
              <w:widowControl w:val="0"/>
              <w:kinsoku/>
              <w:wordWrap/>
              <w:overflowPunct/>
              <w:topLinePunct w:val="0"/>
              <w:autoSpaceDE/>
              <w:autoSpaceDN/>
              <w:bidi w:val="0"/>
              <w:spacing w:line="320" w:lineRule="exact"/>
              <w:ind w:firstLine="420" w:firstLineChars="200"/>
              <w:textAlignment w:val="auto"/>
              <w:rPr>
                <w:rFonts w:ascii="Times New Roman" w:hAnsi="Times New Roman" w:eastAsia="Times New Roman" w:cs="Times New Roman"/>
                <w:color w:val="auto"/>
                <w:szCs w:val="21"/>
                <w:highlight w:val="none"/>
              </w:rPr>
            </w:pPr>
            <w:r>
              <w:rPr>
                <w:rFonts w:hint="eastAsia" w:ascii="Times New Roman" w:hAnsi="Times New Roman" w:eastAsia="Times New Roman" w:cs="Times New Roman"/>
                <w:color w:val="auto"/>
                <w:szCs w:val="21"/>
                <w:highlight w:val="none"/>
                <w:lang w:val="en-US" w:eastAsia="zh-CN"/>
              </w:rPr>
              <w:t>本次评标采用技术打分制的综合评估法（综合评分法）。评标委员会对满足招标文件实质性要求的投标文件，按照本章第 2.2 款规定的评分标准进行打分，并按综合得分（第一信封得分及第二信封得分合计）由高到低的顺序推荐</w:t>
            </w:r>
            <w:r>
              <w:rPr>
                <w:rFonts w:hint="eastAsia" w:cs="Times New Roman"/>
                <w:color w:val="auto"/>
                <w:szCs w:val="21"/>
                <w:highlight w:val="none"/>
                <w:lang w:val="en-US" w:eastAsia="zh-CN"/>
              </w:rPr>
              <w:t>1</w:t>
            </w:r>
            <w:r>
              <w:rPr>
                <w:rFonts w:hint="eastAsia" w:ascii="Times New Roman" w:hAnsi="Times New Roman" w:eastAsia="Times New Roman" w:cs="Times New Roman"/>
                <w:color w:val="auto"/>
                <w:szCs w:val="21"/>
                <w:highlight w:val="none"/>
                <w:lang w:val="en-US" w:eastAsia="zh-CN"/>
              </w:rPr>
              <w:t xml:space="preserve">名中标候选人。综合得分相等时，以第一个信封得分高的优先，第一个信封得分也相同的，以递交电子投标文件时间较前的投标人优先的方法确定中标候选人。 </w:t>
            </w:r>
          </w:p>
          <w:p w14:paraId="175D16AD">
            <w:pPr>
              <w:pStyle w:val="9"/>
              <w:keepNext w:val="0"/>
              <w:keepLines w:val="0"/>
              <w:pageBreakBefore w:val="0"/>
              <w:widowControl w:val="0"/>
              <w:kinsoku/>
              <w:wordWrap/>
              <w:overflowPunct/>
              <w:topLinePunct w:val="0"/>
              <w:autoSpaceDE/>
              <w:autoSpaceDN/>
              <w:bidi w:val="0"/>
              <w:spacing w:line="320" w:lineRule="exact"/>
              <w:ind w:firstLine="420" w:firstLineChars="200"/>
              <w:textAlignment w:val="auto"/>
              <w:rPr>
                <w:rFonts w:hint="eastAsia"/>
                <w:color w:val="auto"/>
                <w:szCs w:val="21"/>
                <w:highlight w:val="none"/>
              </w:rPr>
            </w:pPr>
            <w:r>
              <w:rPr>
                <w:color w:val="auto"/>
                <w:szCs w:val="21"/>
                <w:highlight w:val="none"/>
              </w:rPr>
              <w:t>凡评标委员会拟作出否决投标决定，应先向投标人进行咨询核实。未进行询问核实程序的，不得做出否决投标决定（投标人所留联系方式无法联系、按评标委员会规定的</w:t>
            </w:r>
            <w:r>
              <w:rPr>
                <w:rFonts w:hint="eastAsia" w:eastAsia="宋体"/>
                <w:color w:val="auto"/>
                <w:szCs w:val="21"/>
                <w:highlight w:val="none"/>
                <w:lang w:val="en-US" w:eastAsia="zh-CN"/>
              </w:rPr>
              <w:t>30分钟</w:t>
            </w:r>
            <w:r>
              <w:rPr>
                <w:color w:val="auto"/>
                <w:szCs w:val="21"/>
                <w:highlight w:val="none"/>
              </w:rPr>
              <w:t>内投标人不参加询问核实或未出具答复意见的除外）。</w:t>
            </w:r>
          </w:p>
          <w:p w14:paraId="4AEB6D5C">
            <w:pPr>
              <w:pStyle w:val="9"/>
              <w:keepNext w:val="0"/>
              <w:keepLines w:val="0"/>
              <w:pageBreakBefore w:val="0"/>
              <w:widowControl w:val="0"/>
              <w:kinsoku/>
              <w:wordWrap/>
              <w:overflowPunct/>
              <w:topLinePunct w:val="0"/>
              <w:autoSpaceDE/>
              <w:autoSpaceDN/>
              <w:bidi w:val="0"/>
              <w:spacing w:line="320" w:lineRule="exact"/>
              <w:ind w:firstLine="420" w:firstLineChars="200"/>
              <w:textAlignment w:val="auto"/>
              <w:rPr>
                <w:rFonts w:ascii="宋体" w:hAnsi="宋体"/>
                <w:color w:val="auto"/>
                <w:highlight w:val="none"/>
              </w:rPr>
            </w:pPr>
            <w:r>
              <w:rPr>
                <w:rFonts w:hint="eastAsia" w:ascii="宋体" w:hAnsi="宋体"/>
                <w:color w:val="auto"/>
                <w:szCs w:val="21"/>
                <w:highlight w:val="none"/>
              </w:rPr>
              <w:t>“</w:t>
            </w:r>
            <w:r>
              <w:rPr>
                <w:rFonts w:ascii="宋体" w:hAnsi="宋体"/>
                <w:color w:val="auto"/>
                <w:szCs w:val="21"/>
                <w:highlight w:val="none"/>
              </w:rPr>
              <w:t>评</w:t>
            </w:r>
            <w:r>
              <w:rPr>
                <w:rFonts w:hint="eastAsia" w:ascii="宋体" w:hAnsi="宋体"/>
                <w:color w:val="auto"/>
                <w:szCs w:val="21"/>
                <w:highlight w:val="none"/>
              </w:rPr>
              <w:t>标办法”中规定的否决投标情形，</w:t>
            </w:r>
            <w:r>
              <w:rPr>
                <w:rFonts w:ascii="宋体" w:hAnsi="宋体"/>
                <w:color w:val="auto"/>
                <w:szCs w:val="21"/>
                <w:highlight w:val="none"/>
              </w:rPr>
              <w:t>由</w:t>
            </w:r>
            <w:r>
              <w:rPr>
                <w:rFonts w:hint="eastAsia" w:ascii="宋体" w:hAnsi="宋体"/>
                <w:color w:val="auto"/>
                <w:szCs w:val="21"/>
                <w:highlight w:val="none"/>
              </w:rPr>
              <w:t>评标委员会审核并经过询标程序，</w:t>
            </w:r>
            <w:r>
              <w:rPr>
                <w:rFonts w:ascii="宋体" w:hAnsi="宋体"/>
                <w:color w:val="auto"/>
                <w:szCs w:val="21"/>
                <w:highlight w:val="none"/>
              </w:rPr>
              <w:t>其</w:t>
            </w:r>
            <w:r>
              <w:rPr>
                <w:rFonts w:hint="eastAsia" w:ascii="宋体" w:hAnsi="宋体"/>
                <w:color w:val="auto"/>
                <w:szCs w:val="21"/>
                <w:highlight w:val="none"/>
              </w:rPr>
              <w:t>投标文件作否决处理。</w:t>
            </w:r>
            <w:r>
              <w:rPr>
                <w:rFonts w:ascii="宋体" w:hAnsi="宋体"/>
                <w:color w:val="auto"/>
                <w:szCs w:val="21"/>
                <w:highlight w:val="none"/>
              </w:rPr>
              <w:t>除</w:t>
            </w:r>
            <w:r>
              <w:rPr>
                <w:rFonts w:hint="eastAsia" w:ascii="宋体" w:hAnsi="宋体"/>
                <w:color w:val="auto"/>
                <w:szCs w:val="21"/>
                <w:highlight w:val="none"/>
              </w:rPr>
              <w:t>此之外招标文件中其他条款均不得作为否决投标的依据。</w:t>
            </w:r>
          </w:p>
          <w:p w14:paraId="6CE8D657">
            <w:pPr>
              <w:pStyle w:val="9"/>
              <w:keepNext w:val="0"/>
              <w:keepLines w:val="0"/>
              <w:pageBreakBefore w:val="0"/>
              <w:widowControl w:val="0"/>
              <w:kinsoku/>
              <w:wordWrap/>
              <w:overflowPunct/>
              <w:topLinePunct w:val="0"/>
              <w:autoSpaceDE/>
              <w:autoSpaceDN/>
              <w:bidi w:val="0"/>
              <w:spacing w:line="320" w:lineRule="exact"/>
              <w:textAlignment w:val="auto"/>
              <w:rPr>
                <w:rFonts w:ascii="宋体" w:hAnsi="宋体"/>
                <w:color w:val="auto"/>
                <w:szCs w:val="21"/>
                <w:highlight w:val="none"/>
              </w:rPr>
            </w:pPr>
            <w:r>
              <w:rPr>
                <w:rFonts w:hint="eastAsia" w:ascii="宋体" w:hAnsi="宋体"/>
                <w:color w:val="auto"/>
                <w:szCs w:val="21"/>
                <w:highlight w:val="none"/>
              </w:rPr>
              <w:t>1.2 评审范围</w:t>
            </w:r>
          </w:p>
          <w:p w14:paraId="77CAF8DD">
            <w:pPr>
              <w:pStyle w:val="9"/>
              <w:keepNext w:val="0"/>
              <w:keepLines w:val="0"/>
              <w:pageBreakBefore w:val="0"/>
              <w:widowControl w:val="0"/>
              <w:kinsoku/>
              <w:wordWrap/>
              <w:overflowPunct/>
              <w:topLinePunct w:val="0"/>
              <w:autoSpaceDE/>
              <w:autoSpaceDN/>
              <w:bidi w:val="0"/>
              <w:adjustRightInd w:val="0"/>
              <w:snapToGrid w:val="0"/>
              <w:spacing w:line="320" w:lineRule="exact"/>
              <w:textAlignment w:val="auto"/>
              <w:rPr>
                <w:color w:val="auto"/>
                <w:szCs w:val="21"/>
                <w:highlight w:val="none"/>
              </w:rPr>
            </w:pPr>
            <w:r>
              <w:rPr>
                <w:rFonts w:hint="eastAsia" w:eastAsia="宋体"/>
                <w:color w:val="auto"/>
                <w:szCs w:val="21"/>
                <w:highlight w:val="none"/>
                <w:lang w:val="en-US" w:eastAsia="zh-CN"/>
              </w:rPr>
              <w:t>第一信封</w:t>
            </w:r>
            <w:r>
              <w:rPr>
                <w:color w:val="auto"/>
                <w:szCs w:val="21"/>
                <w:highlight w:val="none"/>
              </w:rPr>
              <w:t>评审范围：</w:t>
            </w:r>
            <w:r>
              <w:rPr>
                <w:rFonts w:hint="eastAsia"/>
                <w:color w:val="auto"/>
                <w:szCs w:val="21"/>
                <w:highlight w:val="none"/>
              </w:rPr>
              <w:t>递交电子投标文件</w:t>
            </w:r>
            <w:r>
              <w:rPr>
                <w:color w:val="auto"/>
                <w:szCs w:val="21"/>
                <w:highlight w:val="none"/>
              </w:rPr>
              <w:t>的所有投标人的投标文件。</w:t>
            </w:r>
          </w:p>
          <w:p w14:paraId="2DF6AFE4">
            <w:pPr>
              <w:pStyle w:val="9"/>
              <w:keepNext w:val="0"/>
              <w:keepLines w:val="0"/>
              <w:pageBreakBefore w:val="0"/>
              <w:widowControl w:val="0"/>
              <w:kinsoku/>
              <w:wordWrap/>
              <w:overflowPunct/>
              <w:topLinePunct w:val="0"/>
              <w:autoSpaceDE/>
              <w:autoSpaceDN/>
              <w:bidi w:val="0"/>
              <w:spacing w:line="320" w:lineRule="exact"/>
              <w:textAlignment w:val="auto"/>
              <w:rPr>
                <w:rFonts w:hint="eastAsia" w:ascii="宋体" w:hAnsi="宋体" w:eastAsia="宋体"/>
                <w:color w:val="auto"/>
                <w:kern w:val="2"/>
                <w:sz w:val="21"/>
                <w:szCs w:val="22"/>
                <w:highlight w:val="none"/>
                <w:lang w:val="en-US" w:eastAsia="zh-CN" w:bidi="ar-SA"/>
              </w:rPr>
            </w:pPr>
            <w:r>
              <w:rPr>
                <w:rFonts w:hint="eastAsia" w:eastAsia="宋体"/>
                <w:color w:val="auto"/>
                <w:szCs w:val="21"/>
                <w:highlight w:val="none"/>
                <w:lang w:val="en-US" w:eastAsia="zh-CN"/>
              </w:rPr>
              <w:t>第二信封</w:t>
            </w:r>
            <w:r>
              <w:rPr>
                <w:color w:val="auto"/>
                <w:szCs w:val="21"/>
                <w:highlight w:val="none"/>
              </w:rPr>
              <w:t>评审范围：通过投标文件</w:t>
            </w:r>
            <w:r>
              <w:rPr>
                <w:rFonts w:hint="eastAsia" w:eastAsia="宋体"/>
                <w:color w:val="auto"/>
                <w:szCs w:val="21"/>
                <w:highlight w:val="none"/>
                <w:lang w:val="en-US" w:eastAsia="zh-CN"/>
              </w:rPr>
              <w:t>第一信封</w:t>
            </w:r>
            <w:r>
              <w:rPr>
                <w:color w:val="auto"/>
                <w:szCs w:val="21"/>
                <w:highlight w:val="none"/>
              </w:rPr>
              <w:t>评审的所有投标人</w:t>
            </w:r>
            <w:r>
              <w:rPr>
                <w:rFonts w:hint="eastAsia" w:eastAsia="宋体"/>
                <w:color w:val="auto"/>
                <w:szCs w:val="21"/>
                <w:highlight w:val="none"/>
                <w:lang w:val="en-US" w:eastAsia="zh-CN"/>
              </w:rPr>
              <w:t>的投标文件</w:t>
            </w:r>
            <w:r>
              <w:rPr>
                <w:rFonts w:hint="eastAsia" w:eastAsia="宋体"/>
                <w:color w:val="auto"/>
                <w:szCs w:val="21"/>
                <w:highlight w:val="none"/>
                <w:lang w:eastAsia="zh-CN"/>
              </w:rPr>
              <w:t>。</w:t>
            </w:r>
          </w:p>
        </w:tc>
      </w:tr>
      <w:tr w14:paraId="4686D25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00" w:type="dxa"/>
            <w:tcBorders>
              <w:tl2br w:val="nil"/>
              <w:tr2bl w:val="nil"/>
            </w:tcBorders>
            <w:noWrap w:val="0"/>
            <w:vAlign w:val="center"/>
          </w:tcPr>
          <w:p w14:paraId="31CA3D8C">
            <w:pPr>
              <w:pStyle w:val="9"/>
              <w:jc w:val="center"/>
              <w:rPr>
                <w:rFonts w:hint="default" w:eastAsia="宋体"/>
                <w:color w:val="auto"/>
                <w:highlight w:val="none"/>
                <w:lang w:val="en-US" w:eastAsia="zh-CN"/>
              </w:rPr>
            </w:pPr>
            <w:r>
              <w:rPr>
                <w:rFonts w:hint="eastAsia" w:eastAsia="宋体"/>
                <w:color w:val="auto"/>
                <w:highlight w:val="none"/>
                <w:lang w:val="en-US" w:eastAsia="zh-CN"/>
              </w:rPr>
              <w:t>3.1</w:t>
            </w:r>
          </w:p>
        </w:tc>
        <w:tc>
          <w:tcPr>
            <w:tcW w:w="1540" w:type="dxa"/>
            <w:tcBorders>
              <w:tl2br w:val="nil"/>
              <w:tr2bl w:val="nil"/>
            </w:tcBorders>
            <w:noWrap w:val="0"/>
            <w:vAlign w:val="center"/>
          </w:tcPr>
          <w:p w14:paraId="012E1300">
            <w:pPr>
              <w:pStyle w:val="9"/>
              <w:spacing w:line="300" w:lineRule="exact"/>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第一信封</w:t>
            </w:r>
          </w:p>
          <w:p w14:paraId="77FD9298">
            <w:pPr>
              <w:pStyle w:val="9"/>
              <w:spacing w:line="300" w:lineRule="exact"/>
              <w:jc w:val="center"/>
              <w:rPr>
                <w:rFonts w:hint="default" w:ascii="宋体" w:hAnsi="宋体" w:eastAsia="宋体"/>
                <w:color w:val="auto"/>
                <w:highlight w:val="none"/>
                <w:lang w:val="en-US" w:eastAsia="zh-CN"/>
              </w:rPr>
            </w:pPr>
            <w:r>
              <w:rPr>
                <w:rFonts w:hint="eastAsia" w:ascii="宋体" w:hAnsi="宋体" w:eastAsia="宋体"/>
                <w:color w:val="auto"/>
                <w:highlight w:val="none"/>
                <w:lang w:val="en-US" w:eastAsia="zh-CN"/>
              </w:rPr>
              <w:t>初步评审</w:t>
            </w:r>
          </w:p>
        </w:tc>
        <w:tc>
          <w:tcPr>
            <w:tcW w:w="7162" w:type="dxa"/>
            <w:tcBorders>
              <w:tl2br w:val="nil"/>
              <w:tr2bl w:val="nil"/>
            </w:tcBorders>
            <w:noWrap w:val="0"/>
            <w:vAlign w:val="center"/>
          </w:tcPr>
          <w:p w14:paraId="4BD64CE2">
            <w:pPr>
              <w:pStyle w:val="9"/>
              <w:keepNext w:val="0"/>
              <w:keepLines w:val="0"/>
              <w:pageBreakBefore w:val="0"/>
              <w:widowControl w:val="0"/>
              <w:kinsoku/>
              <w:wordWrap/>
              <w:overflowPunct/>
              <w:topLinePunct w:val="0"/>
              <w:autoSpaceDE/>
              <w:autoSpaceDN/>
              <w:bidi w:val="0"/>
              <w:spacing w:line="320" w:lineRule="exact"/>
              <w:textAlignment w:val="auto"/>
              <w:rPr>
                <w:rFonts w:ascii="宋体" w:hAnsi="宋体"/>
                <w:color w:val="auto"/>
                <w:szCs w:val="21"/>
                <w:highlight w:val="none"/>
              </w:rPr>
            </w:pPr>
            <w:r>
              <w:rPr>
                <w:rFonts w:hint="eastAsia" w:ascii="宋体" w:hAnsi="宋体" w:eastAsia="宋体"/>
                <w:color w:val="auto"/>
                <w:szCs w:val="21"/>
                <w:highlight w:val="none"/>
                <w:lang w:val="en-US" w:eastAsia="zh-CN"/>
              </w:rPr>
              <w:t>补充</w:t>
            </w:r>
            <w:r>
              <w:rPr>
                <w:rFonts w:hint="eastAsia" w:ascii="宋体" w:hAnsi="宋体"/>
                <w:color w:val="auto"/>
                <w:szCs w:val="21"/>
                <w:highlight w:val="none"/>
              </w:rPr>
              <w:t>第3.1.</w:t>
            </w:r>
            <w:r>
              <w:rPr>
                <w:rFonts w:hint="eastAsia" w:ascii="宋体" w:hAnsi="宋体" w:eastAsia="宋体"/>
                <w:color w:val="auto"/>
                <w:szCs w:val="21"/>
                <w:highlight w:val="none"/>
                <w:lang w:val="en-US" w:eastAsia="zh-CN"/>
              </w:rPr>
              <w:t>2</w:t>
            </w:r>
            <w:r>
              <w:rPr>
                <w:rFonts w:hint="eastAsia" w:ascii="宋体" w:hAnsi="宋体"/>
                <w:color w:val="auto"/>
                <w:szCs w:val="21"/>
                <w:highlight w:val="none"/>
              </w:rPr>
              <w:t>项：</w:t>
            </w:r>
          </w:p>
          <w:p w14:paraId="21570F8D">
            <w:pPr>
              <w:pStyle w:val="9"/>
              <w:keepNext w:val="0"/>
              <w:keepLines w:val="0"/>
              <w:pageBreakBefore w:val="0"/>
              <w:widowControl w:val="0"/>
              <w:kinsoku/>
              <w:wordWrap/>
              <w:overflowPunct/>
              <w:topLinePunct w:val="0"/>
              <w:autoSpaceDE/>
              <w:autoSpaceDN/>
              <w:bidi w:val="0"/>
              <w:spacing w:line="320" w:lineRule="exact"/>
              <w:ind w:firstLine="420" w:firstLineChars="200"/>
              <w:textAlignment w:val="auto"/>
              <w:rPr>
                <w:rFonts w:hint="eastAsia" w:eastAsia="宋体"/>
                <w:color w:val="auto"/>
                <w:szCs w:val="21"/>
                <w:highlight w:val="none"/>
                <w:lang w:val="en-US" w:eastAsia="zh-CN"/>
              </w:rPr>
            </w:pPr>
            <w:r>
              <w:rPr>
                <w:rFonts w:hint="eastAsia" w:ascii="宋体" w:hAnsi="宋体"/>
                <w:color w:val="auto"/>
                <w:szCs w:val="21"/>
                <w:highlight w:val="none"/>
              </w:rPr>
              <w:t>3.1.</w:t>
            </w:r>
            <w:r>
              <w:rPr>
                <w:rFonts w:hint="eastAsia" w:ascii="宋体" w:hAnsi="宋体" w:eastAsia="宋体"/>
                <w:color w:val="auto"/>
                <w:szCs w:val="21"/>
                <w:highlight w:val="none"/>
                <w:lang w:val="en-US" w:eastAsia="zh-CN"/>
              </w:rPr>
              <w:t>2</w:t>
            </w:r>
            <w:r>
              <w:rPr>
                <w:rFonts w:hint="eastAsia" w:ascii="宋体" w:hAnsi="宋体"/>
                <w:color w:val="auto"/>
                <w:szCs w:val="21"/>
                <w:highlight w:val="none"/>
              </w:rPr>
              <w:t>投标文件</w:t>
            </w:r>
            <w:r>
              <w:rPr>
                <w:rFonts w:hint="eastAsia" w:ascii="宋体" w:hAnsi="宋体" w:eastAsia="宋体"/>
                <w:color w:val="auto"/>
                <w:szCs w:val="21"/>
                <w:highlight w:val="none"/>
                <w:lang w:val="en-US" w:eastAsia="zh-CN"/>
              </w:rPr>
              <w:t>第一信封</w:t>
            </w:r>
            <w:r>
              <w:rPr>
                <w:rFonts w:hint="eastAsia" w:ascii="宋体" w:hAnsi="宋体"/>
                <w:color w:val="auto"/>
                <w:szCs w:val="21"/>
                <w:highlight w:val="none"/>
              </w:rPr>
              <w:t>初步评审作否决投标处理的，应经评标委员会三分之二（含）以上成员认定。</w:t>
            </w:r>
          </w:p>
        </w:tc>
      </w:tr>
      <w:tr w14:paraId="080C4F7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00" w:type="dxa"/>
            <w:tcBorders>
              <w:tl2br w:val="nil"/>
              <w:tr2bl w:val="nil"/>
            </w:tcBorders>
            <w:noWrap w:val="0"/>
            <w:vAlign w:val="center"/>
          </w:tcPr>
          <w:p w14:paraId="7FEE9AFB">
            <w:pPr>
              <w:pStyle w:val="9"/>
              <w:jc w:val="center"/>
              <w:rPr>
                <w:rFonts w:hint="eastAsia" w:eastAsia="宋体"/>
                <w:color w:val="auto"/>
                <w:highlight w:val="none"/>
                <w:lang w:eastAsia="zh-CN"/>
              </w:rPr>
            </w:pPr>
            <w:r>
              <w:rPr>
                <w:rFonts w:hint="eastAsia"/>
                <w:color w:val="auto"/>
                <w:highlight w:val="none"/>
              </w:rPr>
              <w:t>3.</w:t>
            </w:r>
            <w:r>
              <w:rPr>
                <w:rFonts w:hint="eastAsia" w:eastAsia="宋体"/>
                <w:color w:val="auto"/>
                <w:highlight w:val="none"/>
                <w:lang w:val="en-US" w:eastAsia="zh-CN"/>
              </w:rPr>
              <w:t>4</w:t>
            </w:r>
          </w:p>
        </w:tc>
        <w:tc>
          <w:tcPr>
            <w:tcW w:w="1540" w:type="dxa"/>
            <w:tcBorders>
              <w:tl2br w:val="nil"/>
              <w:tr2bl w:val="nil"/>
            </w:tcBorders>
            <w:noWrap w:val="0"/>
            <w:vAlign w:val="center"/>
          </w:tcPr>
          <w:p w14:paraId="7E0A4CBF">
            <w:pPr>
              <w:pStyle w:val="9"/>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第二信封</w:t>
            </w:r>
          </w:p>
          <w:p w14:paraId="09F3A4A5">
            <w:pPr>
              <w:pStyle w:val="9"/>
              <w:jc w:val="center"/>
              <w:rPr>
                <w:rFonts w:hint="eastAsia"/>
                <w:color w:val="auto"/>
                <w:highlight w:val="none"/>
              </w:rPr>
            </w:pPr>
            <w:r>
              <w:rPr>
                <w:rFonts w:hint="eastAsia" w:ascii="宋体" w:hAnsi="宋体" w:eastAsia="宋体"/>
                <w:color w:val="auto"/>
                <w:highlight w:val="none"/>
                <w:lang w:val="en-US" w:eastAsia="zh-CN"/>
              </w:rPr>
              <w:t>初步评审</w:t>
            </w:r>
          </w:p>
        </w:tc>
        <w:tc>
          <w:tcPr>
            <w:tcW w:w="7162" w:type="dxa"/>
            <w:tcBorders>
              <w:tl2br w:val="nil"/>
              <w:tr2bl w:val="nil"/>
            </w:tcBorders>
            <w:noWrap w:val="0"/>
            <w:vAlign w:val="center"/>
          </w:tcPr>
          <w:p w14:paraId="5D59E919">
            <w:pPr>
              <w:pStyle w:val="9"/>
              <w:keepNext w:val="0"/>
              <w:keepLines w:val="0"/>
              <w:pageBreakBefore w:val="0"/>
              <w:widowControl w:val="0"/>
              <w:kinsoku/>
              <w:wordWrap/>
              <w:overflowPunct/>
              <w:topLinePunct w:val="0"/>
              <w:autoSpaceDE/>
              <w:autoSpaceDN/>
              <w:bidi w:val="0"/>
              <w:spacing w:line="320" w:lineRule="exact"/>
              <w:textAlignment w:val="auto"/>
              <w:rPr>
                <w:rFonts w:ascii="宋体" w:hAnsi="宋体"/>
                <w:color w:val="auto"/>
                <w:szCs w:val="21"/>
                <w:highlight w:val="none"/>
              </w:rPr>
            </w:pPr>
            <w:r>
              <w:rPr>
                <w:rFonts w:hint="eastAsia" w:ascii="宋体" w:hAnsi="宋体"/>
                <w:color w:val="auto"/>
                <w:szCs w:val="21"/>
                <w:highlight w:val="none"/>
              </w:rPr>
              <w:t>补充第3.</w:t>
            </w:r>
            <w:r>
              <w:rPr>
                <w:rFonts w:hint="eastAsia" w:ascii="宋体" w:hAnsi="宋体" w:eastAsia="宋体"/>
                <w:color w:val="auto"/>
                <w:szCs w:val="21"/>
                <w:highlight w:val="none"/>
                <w:lang w:val="en-US" w:eastAsia="zh-CN"/>
              </w:rPr>
              <w:t>4</w:t>
            </w:r>
            <w:r>
              <w:rPr>
                <w:rFonts w:hint="eastAsia" w:ascii="宋体" w:hAnsi="宋体"/>
                <w:color w:val="auto"/>
                <w:szCs w:val="21"/>
                <w:highlight w:val="none"/>
              </w:rPr>
              <w:t>.7项：</w:t>
            </w:r>
          </w:p>
          <w:p w14:paraId="15C6665F">
            <w:pPr>
              <w:pStyle w:val="9"/>
              <w:keepNext w:val="0"/>
              <w:keepLines w:val="0"/>
              <w:pageBreakBefore w:val="0"/>
              <w:widowControl w:val="0"/>
              <w:kinsoku/>
              <w:wordWrap/>
              <w:overflowPunct/>
              <w:topLinePunct w:val="0"/>
              <w:autoSpaceDE/>
              <w:autoSpaceDN/>
              <w:bidi w:val="0"/>
              <w:spacing w:line="320" w:lineRule="exact"/>
              <w:ind w:firstLine="420" w:firstLineChars="200"/>
              <w:textAlignment w:val="auto"/>
              <w:rPr>
                <w:rFonts w:hint="eastAsia" w:ascii="宋体" w:hAnsi="宋体"/>
                <w:color w:val="auto"/>
                <w:highlight w:val="none"/>
              </w:rPr>
            </w:pPr>
            <w:r>
              <w:rPr>
                <w:rFonts w:hint="eastAsia" w:ascii="宋体" w:hAnsi="宋体"/>
                <w:color w:val="auto"/>
                <w:szCs w:val="21"/>
                <w:highlight w:val="none"/>
              </w:rPr>
              <w:t>3.</w:t>
            </w:r>
            <w:r>
              <w:rPr>
                <w:rFonts w:hint="eastAsia" w:ascii="宋体" w:hAnsi="宋体" w:eastAsia="宋体"/>
                <w:color w:val="auto"/>
                <w:szCs w:val="21"/>
                <w:highlight w:val="none"/>
                <w:lang w:val="en-US" w:eastAsia="zh-CN"/>
              </w:rPr>
              <w:t>4</w:t>
            </w:r>
            <w:r>
              <w:rPr>
                <w:rFonts w:hint="eastAsia" w:ascii="宋体" w:hAnsi="宋体"/>
                <w:color w:val="auto"/>
                <w:szCs w:val="21"/>
                <w:highlight w:val="none"/>
              </w:rPr>
              <w:t>.7 投标文件</w:t>
            </w:r>
            <w:r>
              <w:rPr>
                <w:rFonts w:hint="eastAsia" w:ascii="宋体" w:hAnsi="宋体" w:eastAsia="宋体"/>
                <w:color w:val="auto"/>
                <w:szCs w:val="21"/>
                <w:highlight w:val="none"/>
                <w:lang w:val="en-US" w:eastAsia="zh-CN"/>
              </w:rPr>
              <w:t>第二信封</w:t>
            </w:r>
            <w:r>
              <w:rPr>
                <w:rFonts w:hint="eastAsia" w:ascii="宋体" w:hAnsi="宋体"/>
                <w:color w:val="auto"/>
                <w:szCs w:val="21"/>
                <w:highlight w:val="none"/>
              </w:rPr>
              <w:t>初步评审作否决投标处理的，应经评标委员会三分之二（含）以上成员认定。</w:t>
            </w:r>
          </w:p>
        </w:tc>
      </w:tr>
    </w:tbl>
    <w:p w14:paraId="2B5AA565">
      <w:pPr>
        <w:pStyle w:val="9"/>
        <w:keepNext w:val="0"/>
        <w:keepLines w:val="0"/>
        <w:pageBreakBefore w:val="0"/>
        <w:widowControl w:val="0"/>
        <w:kinsoku/>
        <w:wordWrap/>
        <w:overflowPunct/>
        <w:topLinePunct w:val="0"/>
        <w:autoSpaceDE/>
        <w:autoSpaceDN/>
        <w:bidi w:val="0"/>
        <w:adjustRightInd/>
        <w:snapToGrid/>
        <w:spacing w:before="157" w:beforeLines="50" w:after="157" w:afterLines="50"/>
        <w:textAlignment w:val="auto"/>
        <w:rPr>
          <w:rFonts w:hint="eastAsia" w:ascii="宋体" w:hAnsi="宋体" w:eastAsia="宋体" w:cs="宋体"/>
          <w:b/>
          <w:color w:val="auto"/>
          <w:sz w:val="24"/>
          <w:szCs w:val="24"/>
          <w:highlight w:val="none"/>
        </w:rPr>
      </w:pPr>
      <w:bookmarkStart w:id="116" w:name="EBc47bceabff5640f9bb2e9a5d0350bc9f"/>
      <w:r>
        <w:rPr>
          <w:rFonts w:hint="eastAsia"/>
          <w:color w:val="auto"/>
          <w:sz w:val="20"/>
          <w:highlight w:val="none"/>
        </w:rPr>
        <w:br w:type="page"/>
      </w:r>
      <w:bookmarkEnd w:id="113"/>
      <w:bookmarkEnd w:id="116"/>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1. 评标方法</w:t>
      </w:r>
    </w:p>
    <w:p w14:paraId="4CE88ACD">
      <w:pPr>
        <w:pStyle w:val="9"/>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本次评标采用</w:t>
      </w:r>
      <w:r>
        <w:rPr>
          <w:rFonts w:hint="eastAsia" w:ascii="宋体" w:hAnsi="宋体" w:eastAsia="宋体"/>
          <w:color w:val="auto"/>
          <w:szCs w:val="21"/>
          <w:highlight w:val="none"/>
          <w:lang w:val="en-US" w:eastAsia="zh-CN"/>
        </w:rPr>
        <w:t>技术打分制的</w:t>
      </w:r>
      <w:r>
        <w:rPr>
          <w:rFonts w:hint="eastAsia" w:ascii="宋体" w:hAnsi="宋体"/>
          <w:color w:val="auto"/>
          <w:szCs w:val="21"/>
          <w:highlight w:val="none"/>
        </w:rPr>
        <w:t>综合评估法</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lang w:val="en-US" w:eastAsia="zh-CN"/>
        </w:rPr>
        <w:t>综合评分法</w:t>
      </w:r>
      <w:r>
        <w:rPr>
          <w:rFonts w:hint="eastAsia" w:ascii="宋体" w:hAnsi="宋体" w:eastAsia="宋体"/>
          <w:color w:val="auto"/>
          <w:szCs w:val="21"/>
          <w:highlight w:val="none"/>
          <w:lang w:eastAsia="zh-CN"/>
        </w:rPr>
        <w:t>）</w:t>
      </w:r>
      <w:r>
        <w:rPr>
          <w:rFonts w:hint="eastAsia" w:ascii="宋体" w:hAnsi="宋体"/>
          <w:color w:val="auto"/>
          <w:szCs w:val="21"/>
          <w:highlight w:val="none"/>
        </w:rPr>
        <w:t>。评标委员会对满足招标文件实质性要求的投标文件，按照本章第2.2 款规定的评分标准进行打分，并按得分由高到低顺序推荐中标候选人，或根据招标人授权直接确定中标人，但投标报价低于其成本的除外。综合评分相等时，以</w:t>
      </w:r>
      <w:r>
        <w:rPr>
          <w:rFonts w:hint="eastAsia" w:ascii="宋体" w:hAnsi="宋体" w:eastAsia="宋体"/>
          <w:color w:val="auto"/>
          <w:szCs w:val="21"/>
          <w:highlight w:val="none"/>
          <w:lang w:val="en-US" w:eastAsia="zh-CN"/>
        </w:rPr>
        <w:t>评标</w:t>
      </w:r>
      <w:r>
        <w:rPr>
          <w:rFonts w:hint="eastAsia" w:ascii="宋体" w:hAnsi="宋体"/>
          <w:color w:val="auto"/>
          <w:szCs w:val="21"/>
          <w:highlight w:val="none"/>
        </w:rPr>
        <w:t>价低的优先；</w:t>
      </w:r>
      <w:r>
        <w:rPr>
          <w:rFonts w:hint="eastAsia" w:ascii="宋体" w:hAnsi="宋体" w:eastAsia="宋体"/>
          <w:color w:val="auto"/>
          <w:szCs w:val="21"/>
          <w:highlight w:val="none"/>
          <w:lang w:val="en-US" w:eastAsia="zh-CN"/>
        </w:rPr>
        <w:t>评标</w:t>
      </w:r>
      <w:r>
        <w:rPr>
          <w:rFonts w:hint="eastAsia" w:ascii="宋体" w:hAnsi="宋体"/>
          <w:color w:val="auto"/>
          <w:szCs w:val="21"/>
          <w:highlight w:val="none"/>
        </w:rPr>
        <w:t>价也相等的，</w:t>
      </w:r>
      <w:r>
        <w:rPr>
          <w:rFonts w:hint="eastAsia" w:ascii="宋体" w:hAnsi="宋体" w:eastAsia="宋体"/>
          <w:color w:val="auto"/>
          <w:szCs w:val="21"/>
          <w:highlight w:val="none"/>
          <w:lang w:val="en-US" w:eastAsia="zh-CN"/>
        </w:rPr>
        <w:t>以信誉得分高的优先；信誉得分也相同的，以递交投标文件时间较前的投标人优先的方法确定第一中标候选人</w:t>
      </w:r>
      <w:r>
        <w:rPr>
          <w:rFonts w:hint="eastAsia" w:ascii="宋体" w:hAnsi="宋体"/>
          <w:color w:val="auto"/>
          <w:szCs w:val="21"/>
          <w:highlight w:val="none"/>
        </w:rPr>
        <w:t>。</w:t>
      </w:r>
    </w:p>
    <w:p w14:paraId="3B89E4EF">
      <w:pPr>
        <w:pStyle w:val="9"/>
        <w:keepNext w:val="0"/>
        <w:keepLines w:val="0"/>
        <w:pageBreakBefore w:val="0"/>
        <w:widowControl w:val="0"/>
        <w:kinsoku/>
        <w:wordWrap/>
        <w:overflowPunct/>
        <w:topLinePunct w:val="0"/>
        <w:autoSpaceDE/>
        <w:autoSpaceDN/>
        <w:bidi w:val="0"/>
        <w:adjustRightInd/>
        <w:snapToGrid/>
        <w:spacing w:before="157" w:beforeLines="50" w:after="157" w:afterLines="5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 评审标准</w:t>
      </w:r>
    </w:p>
    <w:p w14:paraId="17164AA1">
      <w:pPr>
        <w:pStyle w:val="9"/>
        <w:spacing w:line="400" w:lineRule="exact"/>
        <w:outlineLvl w:val="4"/>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2.1 初步评审标准</w:t>
      </w:r>
    </w:p>
    <w:p w14:paraId="69783A72">
      <w:pPr>
        <w:pStyle w:val="9"/>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 xml:space="preserve">2.1.1 </w:t>
      </w:r>
      <w:r>
        <w:rPr>
          <w:rFonts w:hint="eastAsia" w:ascii="宋体" w:hAnsi="宋体" w:eastAsia="宋体"/>
          <w:color w:val="auto"/>
          <w:szCs w:val="21"/>
          <w:highlight w:val="none"/>
          <w:lang w:val="en-US" w:eastAsia="zh-CN"/>
        </w:rPr>
        <w:t>第一信封</w:t>
      </w:r>
      <w:r>
        <w:rPr>
          <w:rFonts w:hint="eastAsia" w:ascii="宋体" w:hAnsi="宋体"/>
          <w:color w:val="auto"/>
          <w:szCs w:val="21"/>
          <w:highlight w:val="none"/>
        </w:rPr>
        <w:t>形式评审</w:t>
      </w:r>
      <w:r>
        <w:rPr>
          <w:rFonts w:hint="eastAsia" w:ascii="宋体" w:hAnsi="宋体" w:eastAsia="宋体"/>
          <w:color w:val="auto"/>
          <w:szCs w:val="21"/>
          <w:highlight w:val="none"/>
          <w:lang w:val="en-US" w:eastAsia="zh-CN"/>
        </w:rPr>
        <w:t>与响应性评审</w:t>
      </w:r>
      <w:r>
        <w:rPr>
          <w:rFonts w:hint="eastAsia" w:ascii="宋体" w:hAnsi="宋体"/>
          <w:color w:val="auto"/>
          <w:szCs w:val="21"/>
          <w:highlight w:val="none"/>
        </w:rPr>
        <w:t>标准：见评标办法前附表。</w:t>
      </w:r>
    </w:p>
    <w:p w14:paraId="38EB7F3B">
      <w:pPr>
        <w:pStyle w:val="9"/>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2.1.2 资格评审标准：见评标办法前附表。</w:t>
      </w:r>
    </w:p>
    <w:p w14:paraId="2F46F070">
      <w:pPr>
        <w:pStyle w:val="9"/>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 xml:space="preserve">2.1.3 </w:t>
      </w:r>
      <w:r>
        <w:rPr>
          <w:rFonts w:hint="eastAsia" w:ascii="宋体" w:hAnsi="宋体" w:eastAsia="宋体"/>
          <w:color w:val="auto"/>
          <w:szCs w:val="21"/>
          <w:highlight w:val="none"/>
          <w:lang w:val="en-US" w:eastAsia="zh-CN"/>
        </w:rPr>
        <w:t>第一信封</w:t>
      </w:r>
      <w:r>
        <w:rPr>
          <w:rFonts w:hint="eastAsia" w:ascii="宋体" w:hAnsi="宋体"/>
          <w:color w:val="auto"/>
          <w:szCs w:val="21"/>
          <w:highlight w:val="none"/>
        </w:rPr>
        <w:t>形式评审</w:t>
      </w:r>
      <w:r>
        <w:rPr>
          <w:rFonts w:hint="eastAsia" w:ascii="宋体" w:hAnsi="宋体" w:eastAsia="宋体"/>
          <w:color w:val="auto"/>
          <w:szCs w:val="21"/>
          <w:highlight w:val="none"/>
          <w:lang w:val="en-US" w:eastAsia="zh-CN"/>
        </w:rPr>
        <w:t>与响应性评审</w:t>
      </w:r>
      <w:r>
        <w:rPr>
          <w:rFonts w:hint="eastAsia" w:ascii="宋体" w:hAnsi="宋体"/>
          <w:color w:val="auto"/>
          <w:szCs w:val="21"/>
          <w:highlight w:val="none"/>
        </w:rPr>
        <w:t>标准：见评标办法前附表。</w:t>
      </w:r>
    </w:p>
    <w:p w14:paraId="0CF171B8">
      <w:pPr>
        <w:pStyle w:val="9"/>
        <w:spacing w:line="400" w:lineRule="exact"/>
        <w:outlineLvl w:val="4"/>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2.2 分值构成与评分标准</w:t>
      </w:r>
    </w:p>
    <w:p w14:paraId="583ACAEF">
      <w:pPr>
        <w:pStyle w:val="9"/>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2.2.1 分值构成</w:t>
      </w:r>
    </w:p>
    <w:p w14:paraId="1BFC256D">
      <w:pPr>
        <w:pStyle w:val="9"/>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(l</w:t>
      </w:r>
      <w:r>
        <w:rPr>
          <w:rFonts w:hint="eastAsia" w:ascii="宋体" w:hAnsi="宋体" w:eastAsia="宋体"/>
          <w:color w:val="auto"/>
          <w:szCs w:val="21"/>
          <w:highlight w:val="none"/>
          <w:lang w:val="en-US" w:eastAsia="zh-CN"/>
        </w:rPr>
        <w:t>)评标价</w:t>
      </w:r>
      <w:r>
        <w:rPr>
          <w:rFonts w:hint="eastAsia" w:ascii="宋体" w:hAnsi="宋体"/>
          <w:color w:val="auto"/>
          <w:szCs w:val="21"/>
          <w:highlight w:val="none"/>
        </w:rPr>
        <w:t>：见评标办法前附表；</w:t>
      </w:r>
    </w:p>
    <w:p w14:paraId="7D19ABDD">
      <w:pPr>
        <w:pStyle w:val="9"/>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(2</w:t>
      </w:r>
      <w:r>
        <w:rPr>
          <w:rFonts w:hint="eastAsia" w:ascii="宋体" w:hAnsi="宋体" w:eastAsia="宋体"/>
          <w:color w:val="auto"/>
          <w:szCs w:val="21"/>
          <w:highlight w:val="none"/>
          <w:lang w:val="en-US" w:eastAsia="zh-CN"/>
        </w:rPr>
        <w:t>)养护工程作业方案</w:t>
      </w:r>
      <w:r>
        <w:rPr>
          <w:rFonts w:hint="eastAsia" w:ascii="宋体" w:hAnsi="宋体"/>
          <w:color w:val="auto"/>
          <w:szCs w:val="21"/>
          <w:highlight w:val="none"/>
        </w:rPr>
        <w:t>：见评标办法前附表；</w:t>
      </w:r>
    </w:p>
    <w:p w14:paraId="0A7E54F7">
      <w:pPr>
        <w:pStyle w:val="9"/>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w:t>
      </w:r>
      <w:r>
        <w:rPr>
          <w:rFonts w:hint="eastAsia" w:ascii="宋体" w:hAnsi="宋体" w:eastAsia="宋体"/>
          <w:color w:val="auto"/>
          <w:szCs w:val="21"/>
          <w:highlight w:val="none"/>
          <w:lang w:val="en-US" w:eastAsia="zh-CN"/>
        </w:rPr>
        <w:t>3)企业资质与信誉</w:t>
      </w:r>
      <w:r>
        <w:rPr>
          <w:rFonts w:hint="eastAsia" w:ascii="宋体" w:hAnsi="宋体"/>
          <w:color w:val="auto"/>
          <w:szCs w:val="21"/>
          <w:highlight w:val="none"/>
        </w:rPr>
        <w:t>：见评标办法前附表；</w:t>
      </w:r>
    </w:p>
    <w:p w14:paraId="5AF95444">
      <w:pPr>
        <w:pStyle w:val="9"/>
        <w:spacing w:line="400" w:lineRule="exact"/>
        <w:ind w:firstLine="420" w:firstLineChars="200"/>
        <w:rPr>
          <w:rFonts w:hint="eastAsia" w:ascii="宋体" w:hAnsi="宋体" w:eastAsia="宋体"/>
          <w:color w:val="auto"/>
          <w:szCs w:val="21"/>
          <w:highlight w:val="none"/>
          <w:lang w:eastAsia="zh-CN"/>
        </w:rPr>
      </w:pPr>
      <w:r>
        <w:rPr>
          <w:rFonts w:hint="eastAsia" w:ascii="宋体" w:hAnsi="宋体"/>
          <w:color w:val="auto"/>
          <w:szCs w:val="21"/>
          <w:highlight w:val="none"/>
        </w:rPr>
        <w:t>(</w:t>
      </w:r>
      <w:r>
        <w:rPr>
          <w:rFonts w:hint="eastAsia" w:ascii="宋体" w:hAnsi="宋体" w:eastAsia="宋体"/>
          <w:color w:val="auto"/>
          <w:szCs w:val="21"/>
          <w:highlight w:val="none"/>
          <w:lang w:val="en-US" w:eastAsia="zh-CN"/>
        </w:rPr>
        <w:t>4)其他因素</w:t>
      </w:r>
      <w:r>
        <w:rPr>
          <w:rFonts w:hint="eastAsia" w:ascii="宋体" w:hAnsi="宋体"/>
          <w:color w:val="auto"/>
          <w:szCs w:val="21"/>
          <w:highlight w:val="none"/>
        </w:rPr>
        <w:t>：见评标办法前附表</w:t>
      </w:r>
      <w:r>
        <w:rPr>
          <w:rFonts w:hint="eastAsia" w:ascii="宋体" w:hAnsi="宋体" w:eastAsia="宋体"/>
          <w:color w:val="auto"/>
          <w:szCs w:val="21"/>
          <w:highlight w:val="none"/>
          <w:lang w:eastAsia="zh-CN"/>
        </w:rPr>
        <w:t>。</w:t>
      </w:r>
    </w:p>
    <w:p w14:paraId="48292561">
      <w:pPr>
        <w:pStyle w:val="9"/>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2.2.2 评标基准价计算</w:t>
      </w:r>
    </w:p>
    <w:p w14:paraId="08206F74">
      <w:pPr>
        <w:pStyle w:val="9"/>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评标基准价计算方法：见评标办法前附表。</w:t>
      </w:r>
    </w:p>
    <w:p w14:paraId="3A276D3D">
      <w:pPr>
        <w:pStyle w:val="9"/>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2.2.3 投标报价的偏差率计算</w:t>
      </w:r>
    </w:p>
    <w:p w14:paraId="3EA1D22E">
      <w:pPr>
        <w:pStyle w:val="9"/>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投标报价的偏差率计算公式：见评标办法前附表。</w:t>
      </w:r>
    </w:p>
    <w:p w14:paraId="64082CFB">
      <w:pPr>
        <w:pStyle w:val="9"/>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2.2.4 评分标准</w:t>
      </w:r>
    </w:p>
    <w:p w14:paraId="73B9C29B">
      <w:pPr>
        <w:pStyle w:val="9"/>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(l</w:t>
      </w:r>
      <w:r>
        <w:rPr>
          <w:rFonts w:hint="eastAsia" w:ascii="宋体" w:hAnsi="宋体" w:eastAsia="宋体"/>
          <w:color w:val="auto"/>
          <w:szCs w:val="21"/>
          <w:highlight w:val="none"/>
          <w:lang w:val="en-US" w:eastAsia="zh-CN"/>
        </w:rPr>
        <w:t>)评标价</w:t>
      </w:r>
      <w:r>
        <w:rPr>
          <w:rFonts w:hint="eastAsia" w:ascii="宋体" w:hAnsi="宋体"/>
          <w:color w:val="auto"/>
          <w:szCs w:val="21"/>
          <w:highlight w:val="none"/>
        </w:rPr>
        <w:t>：见评标办法前附表；</w:t>
      </w:r>
    </w:p>
    <w:p w14:paraId="100EB845">
      <w:pPr>
        <w:pStyle w:val="9"/>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(2</w:t>
      </w:r>
      <w:r>
        <w:rPr>
          <w:rFonts w:hint="eastAsia" w:ascii="宋体" w:hAnsi="宋体" w:eastAsia="宋体"/>
          <w:color w:val="auto"/>
          <w:szCs w:val="21"/>
          <w:highlight w:val="none"/>
          <w:lang w:val="en-US" w:eastAsia="zh-CN"/>
        </w:rPr>
        <w:t>)养护工程作业方案</w:t>
      </w:r>
      <w:r>
        <w:rPr>
          <w:rFonts w:hint="eastAsia" w:ascii="宋体" w:hAnsi="宋体"/>
          <w:color w:val="auto"/>
          <w:szCs w:val="21"/>
          <w:highlight w:val="none"/>
        </w:rPr>
        <w:t>：见评标办法前附表；</w:t>
      </w:r>
    </w:p>
    <w:p w14:paraId="5C26880D">
      <w:pPr>
        <w:pStyle w:val="9"/>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w:t>
      </w:r>
      <w:r>
        <w:rPr>
          <w:rFonts w:hint="eastAsia" w:ascii="宋体" w:hAnsi="宋体" w:eastAsia="宋体"/>
          <w:color w:val="auto"/>
          <w:szCs w:val="21"/>
          <w:highlight w:val="none"/>
          <w:lang w:val="en-US" w:eastAsia="zh-CN"/>
        </w:rPr>
        <w:t>3)企业资质与信誉</w:t>
      </w:r>
      <w:r>
        <w:rPr>
          <w:rFonts w:hint="eastAsia" w:ascii="宋体" w:hAnsi="宋体"/>
          <w:color w:val="auto"/>
          <w:szCs w:val="21"/>
          <w:highlight w:val="none"/>
        </w:rPr>
        <w:t>：见评标办法前附表；</w:t>
      </w:r>
    </w:p>
    <w:p w14:paraId="6C3D89D2">
      <w:pPr>
        <w:pStyle w:val="9"/>
        <w:spacing w:line="400" w:lineRule="exact"/>
        <w:ind w:firstLine="420" w:firstLineChars="200"/>
        <w:rPr>
          <w:rFonts w:hint="eastAsia" w:ascii="宋体" w:hAnsi="宋体" w:eastAsia="宋体"/>
          <w:color w:val="auto"/>
          <w:szCs w:val="21"/>
          <w:highlight w:val="none"/>
          <w:lang w:eastAsia="zh-CN"/>
        </w:rPr>
      </w:pPr>
      <w:r>
        <w:rPr>
          <w:rFonts w:hint="eastAsia" w:ascii="宋体" w:hAnsi="宋体"/>
          <w:color w:val="auto"/>
          <w:szCs w:val="21"/>
          <w:highlight w:val="none"/>
        </w:rPr>
        <w:t>(</w:t>
      </w:r>
      <w:r>
        <w:rPr>
          <w:rFonts w:hint="eastAsia" w:ascii="宋体" w:hAnsi="宋体" w:eastAsia="宋体"/>
          <w:color w:val="auto"/>
          <w:szCs w:val="21"/>
          <w:highlight w:val="none"/>
          <w:lang w:val="en-US" w:eastAsia="zh-CN"/>
        </w:rPr>
        <w:t>4)其他因素</w:t>
      </w:r>
      <w:r>
        <w:rPr>
          <w:rFonts w:hint="eastAsia" w:ascii="宋体" w:hAnsi="宋体"/>
          <w:color w:val="auto"/>
          <w:szCs w:val="21"/>
          <w:highlight w:val="none"/>
        </w:rPr>
        <w:t>：见评标办法前附表</w:t>
      </w:r>
      <w:r>
        <w:rPr>
          <w:rFonts w:hint="eastAsia" w:ascii="宋体" w:hAnsi="宋体" w:eastAsia="宋体"/>
          <w:color w:val="auto"/>
          <w:szCs w:val="21"/>
          <w:highlight w:val="none"/>
          <w:lang w:eastAsia="zh-CN"/>
        </w:rPr>
        <w:t>。</w:t>
      </w:r>
    </w:p>
    <w:p w14:paraId="33F5826F">
      <w:pPr>
        <w:pStyle w:val="9"/>
        <w:keepNext w:val="0"/>
        <w:keepLines w:val="0"/>
        <w:pageBreakBefore w:val="0"/>
        <w:widowControl w:val="0"/>
        <w:kinsoku/>
        <w:wordWrap/>
        <w:overflowPunct/>
        <w:topLinePunct w:val="0"/>
        <w:autoSpaceDE/>
        <w:autoSpaceDN/>
        <w:bidi w:val="0"/>
        <w:adjustRightInd/>
        <w:snapToGrid/>
        <w:spacing w:before="157" w:beforeLines="50" w:after="157" w:afterLines="5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 评标程序</w:t>
      </w:r>
    </w:p>
    <w:p w14:paraId="12C0257F">
      <w:pPr>
        <w:pStyle w:val="9"/>
        <w:spacing w:line="400" w:lineRule="exact"/>
        <w:outlineLvl w:val="4"/>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3.1 </w:t>
      </w:r>
      <w:r>
        <w:rPr>
          <w:rFonts w:hint="eastAsia" w:ascii="宋体" w:hAnsi="宋体" w:eastAsia="宋体" w:cs="宋体"/>
          <w:b/>
          <w:color w:val="auto"/>
          <w:sz w:val="21"/>
          <w:szCs w:val="21"/>
          <w:highlight w:val="none"/>
          <w:lang w:val="en-US" w:eastAsia="zh-CN"/>
        </w:rPr>
        <w:t>第一信封</w:t>
      </w:r>
      <w:r>
        <w:rPr>
          <w:rFonts w:hint="eastAsia" w:ascii="宋体" w:hAnsi="宋体" w:eastAsia="宋体" w:cs="宋体"/>
          <w:b/>
          <w:color w:val="auto"/>
          <w:sz w:val="21"/>
          <w:szCs w:val="21"/>
          <w:highlight w:val="none"/>
        </w:rPr>
        <w:t>初步评审</w:t>
      </w:r>
    </w:p>
    <w:p w14:paraId="0F4DDDE3">
      <w:pPr>
        <w:pStyle w:val="9"/>
        <w:spacing w:line="400" w:lineRule="exact"/>
        <w:ind w:firstLine="420" w:firstLineChars="200"/>
        <w:rPr>
          <w:rFonts w:hint="eastAsia" w:ascii="宋体" w:hAnsi="宋体" w:eastAsia="Times New Roman" w:cs="Times New Roman"/>
          <w:color w:val="auto"/>
          <w:szCs w:val="21"/>
          <w:highlight w:val="none"/>
        </w:rPr>
      </w:pPr>
      <w:r>
        <w:rPr>
          <w:rFonts w:hint="eastAsia" w:ascii="宋体" w:hAnsi="宋体" w:eastAsia="Times New Roman" w:cs="Times New Roman"/>
          <w:color w:val="auto"/>
          <w:szCs w:val="21"/>
          <w:highlight w:val="none"/>
        </w:rPr>
        <w:t xml:space="preserve">3.1.1 </w:t>
      </w:r>
      <w:r>
        <w:rPr>
          <w:rFonts w:hint="eastAsia" w:ascii="宋体" w:hAnsi="宋体" w:eastAsia="Times New Roman" w:cs="Times New Roman"/>
          <w:color w:val="auto"/>
          <w:szCs w:val="21"/>
          <w:highlight w:val="none"/>
          <w:lang w:val="en-US" w:eastAsia="zh-CN"/>
        </w:rPr>
        <w:t>评标委员会根据本章第 2.1 款规定的标准对投标文件第一信封进行初步评审。有一项不符合评审标准的，作否决投标处理。</w:t>
      </w:r>
    </w:p>
    <w:p w14:paraId="0A1F102D">
      <w:pPr>
        <w:pStyle w:val="9"/>
        <w:spacing w:line="400" w:lineRule="exact"/>
        <w:outlineLvl w:val="4"/>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3.2 </w:t>
      </w:r>
      <w:r>
        <w:rPr>
          <w:rFonts w:hint="eastAsia" w:ascii="宋体" w:hAnsi="宋体" w:eastAsia="宋体" w:cs="宋体"/>
          <w:b/>
          <w:color w:val="auto"/>
          <w:sz w:val="21"/>
          <w:szCs w:val="21"/>
          <w:highlight w:val="none"/>
          <w:lang w:val="en-US" w:eastAsia="zh-CN"/>
        </w:rPr>
        <w:t>第一信封</w:t>
      </w:r>
      <w:r>
        <w:rPr>
          <w:rFonts w:hint="eastAsia" w:ascii="宋体" w:hAnsi="宋体" w:eastAsia="宋体" w:cs="宋体"/>
          <w:b/>
          <w:color w:val="auto"/>
          <w:sz w:val="21"/>
          <w:szCs w:val="21"/>
          <w:highlight w:val="none"/>
        </w:rPr>
        <w:t>详细评审</w:t>
      </w:r>
    </w:p>
    <w:p w14:paraId="43D7A2B0">
      <w:pPr>
        <w:pStyle w:val="9"/>
        <w:spacing w:line="400" w:lineRule="exact"/>
        <w:ind w:firstLine="420" w:firstLineChars="200"/>
        <w:rPr>
          <w:rFonts w:hint="eastAsia" w:ascii="宋体" w:hAnsi="宋体" w:eastAsia="Times New Roman" w:cs="Times New Roman"/>
          <w:color w:val="auto"/>
          <w:szCs w:val="21"/>
          <w:highlight w:val="none"/>
        </w:rPr>
      </w:pPr>
      <w:r>
        <w:rPr>
          <w:rFonts w:hint="eastAsia" w:ascii="宋体" w:hAnsi="宋体" w:eastAsia="Times New Roman" w:cs="Times New Roman"/>
          <w:color w:val="auto"/>
          <w:szCs w:val="21"/>
          <w:highlight w:val="none"/>
          <w:lang w:val="en-US" w:eastAsia="zh-CN"/>
        </w:rPr>
        <w:t xml:space="preserve">3.2.1 评标委员会按本章第 2.2 款规定的量化因素和分值进行打分，并计算出各投标人的商务和技术得分。 </w:t>
      </w:r>
    </w:p>
    <w:p w14:paraId="1EC2C548">
      <w:pPr>
        <w:pStyle w:val="9"/>
        <w:spacing w:line="400" w:lineRule="exact"/>
        <w:ind w:firstLine="420" w:firstLineChars="200"/>
        <w:rPr>
          <w:rFonts w:hint="eastAsia" w:ascii="宋体" w:hAnsi="宋体" w:eastAsia="Times New Roman" w:cs="Times New Roman"/>
          <w:color w:val="auto"/>
          <w:szCs w:val="21"/>
          <w:highlight w:val="none"/>
        </w:rPr>
      </w:pPr>
      <w:r>
        <w:rPr>
          <w:rFonts w:hint="eastAsia" w:ascii="宋体" w:hAnsi="宋体"/>
          <w:color w:val="auto"/>
          <w:szCs w:val="21"/>
          <w:highlight w:val="none"/>
        </w:rPr>
        <w:t>(1</w:t>
      </w:r>
      <w:r>
        <w:rPr>
          <w:rFonts w:hint="eastAsia" w:ascii="宋体" w:hAnsi="宋体" w:eastAsia="宋体"/>
          <w:color w:val="auto"/>
          <w:szCs w:val="21"/>
          <w:highlight w:val="none"/>
          <w:lang w:val="en-US" w:eastAsia="zh-CN"/>
        </w:rPr>
        <w:t>)</w:t>
      </w:r>
      <w:r>
        <w:rPr>
          <w:rFonts w:hint="eastAsia" w:ascii="宋体" w:hAnsi="宋体" w:eastAsia="Times New Roman" w:cs="Times New Roman"/>
          <w:color w:val="auto"/>
          <w:szCs w:val="21"/>
          <w:highlight w:val="none"/>
          <w:lang w:val="en-US" w:eastAsia="zh-CN"/>
        </w:rPr>
        <w:t>按本章第 2.2.4 项</w:t>
      </w:r>
      <w:r>
        <w:rPr>
          <w:rFonts w:hint="eastAsia" w:ascii="宋体" w:hAnsi="宋体"/>
          <w:color w:val="auto"/>
          <w:szCs w:val="21"/>
          <w:highlight w:val="none"/>
        </w:rPr>
        <w:t>(</w:t>
      </w:r>
      <w:r>
        <w:rPr>
          <w:rFonts w:hint="eastAsia" w:ascii="宋体" w:hAnsi="宋体" w:eastAsia="宋体"/>
          <w:color w:val="auto"/>
          <w:szCs w:val="21"/>
          <w:highlight w:val="none"/>
          <w:lang w:val="en-US" w:eastAsia="zh-CN"/>
        </w:rPr>
        <w:t>2)</w:t>
      </w:r>
      <w:r>
        <w:rPr>
          <w:rFonts w:hint="eastAsia" w:ascii="宋体" w:hAnsi="宋体" w:eastAsia="Times New Roman" w:cs="Times New Roman"/>
          <w:color w:val="auto"/>
          <w:szCs w:val="21"/>
          <w:highlight w:val="none"/>
          <w:lang w:val="en-US" w:eastAsia="zh-CN"/>
        </w:rPr>
        <w:t xml:space="preserve">目规定的评审因素和分值对养护作业方案计算出得分 B； </w:t>
      </w:r>
    </w:p>
    <w:p w14:paraId="28B3527C">
      <w:pPr>
        <w:pStyle w:val="9"/>
        <w:spacing w:line="400" w:lineRule="exact"/>
        <w:ind w:firstLine="420" w:firstLineChars="200"/>
        <w:rPr>
          <w:rFonts w:hint="eastAsia" w:ascii="宋体" w:hAnsi="宋体" w:eastAsia="Times New Roman" w:cs="Times New Roman"/>
          <w:color w:val="auto"/>
          <w:szCs w:val="21"/>
          <w:highlight w:val="none"/>
        </w:rPr>
      </w:pPr>
      <w:r>
        <w:rPr>
          <w:rFonts w:hint="eastAsia" w:ascii="宋体" w:hAnsi="宋体"/>
          <w:color w:val="auto"/>
          <w:szCs w:val="21"/>
          <w:highlight w:val="none"/>
        </w:rPr>
        <w:t>(</w:t>
      </w:r>
      <w:r>
        <w:rPr>
          <w:rFonts w:hint="eastAsia" w:ascii="宋体" w:hAnsi="宋体" w:eastAsia="宋体"/>
          <w:color w:val="auto"/>
          <w:szCs w:val="21"/>
          <w:highlight w:val="none"/>
          <w:lang w:val="en-US" w:eastAsia="zh-CN"/>
        </w:rPr>
        <w:t>2)</w:t>
      </w:r>
      <w:r>
        <w:rPr>
          <w:rFonts w:hint="eastAsia" w:ascii="宋体" w:hAnsi="宋体" w:eastAsia="Times New Roman" w:cs="Times New Roman"/>
          <w:color w:val="auto"/>
          <w:szCs w:val="21"/>
          <w:highlight w:val="none"/>
          <w:lang w:val="en-US" w:eastAsia="zh-CN"/>
        </w:rPr>
        <w:t>按本章第 2.2.4 项</w:t>
      </w:r>
      <w:r>
        <w:rPr>
          <w:rFonts w:hint="eastAsia" w:ascii="宋体" w:hAnsi="宋体"/>
          <w:color w:val="auto"/>
          <w:szCs w:val="21"/>
          <w:highlight w:val="none"/>
        </w:rPr>
        <w:t>(</w:t>
      </w:r>
      <w:r>
        <w:rPr>
          <w:rFonts w:hint="eastAsia" w:ascii="宋体" w:hAnsi="宋体" w:eastAsia="宋体"/>
          <w:color w:val="auto"/>
          <w:szCs w:val="21"/>
          <w:highlight w:val="none"/>
          <w:lang w:val="en-US" w:eastAsia="zh-CN"/>
        </w:rPr>
        <w:t>3)</w:t>
      </w:r>
      <w:r>
        <w:rPr>
          <w:rFonts w:hint="eastAsia" w:ascii="宋体" w:hAnsi="宋体" w:eastAsia="Times New Roman" w:cs="Times New Roman"/>
          <w:color w:val="auto"/>
          <w:szCs w:val="21"/>
          <w:highlight w:val="none"/>
          <w:lang w:val="en-US" w:eastAsia="zh-CN"/>
        </w:rPr>
        <w:t xml:space="preserve">目规定的评审因素和分值对企业资质与信誉计算出得分 C； </w:t>
      </w:r>
    </w:p>
    <w:p w14:paraId="729AE763">
      <w:pPr>
        <w:pStyle w:val="9"/>
        <w:spacing w:line="400" w:lineRule="exact"/>
        <w:ind w:firstLine="420" w:firstLineChars="200"/>
        <w:rPr>
          <w:rFonts w:hint="eastAsia" w:ascii="宋体" w:hAnsi="宋体" w:eastAsia="Times New Roman" w:cs="Times New Roman"/>
          <w:color w:val="auto"/>
          <w:szCs w:val="21"/>
          <w:highlight w:val="none"/>
        </w:rPr>
      </w:pPr>
      <w:r>
        <w:rPr>
          <w:rFonts w:hint="eastAsia" w:ascii="宋体" w:hAnsi="宋体"/>
          <w:color w:val="auto"/>
          <w:szCs w:val="21"/>
          <w:highlight w:val="none"/>
        </w:rPr>
        <w:t>(</w:t>
      </w:r>
      <w:r>
        <w:rPr>
          <w:rFonts w:hint="eastAsia" w:ascii="宋体" w:hAnsi="宋体" w:eastAsia="宋体"/>
          <w:color w:val="auto"/>
          <w:szCs w:val="21"/>
          <w:highlight w:val="none"/>
          <w:lang w:val="en-US" w:eastAsia="zh-CN"/>
        </w:rPr>
        <w:t>3)</w:t>
      </w:r>
      <w:r>
        <w:rPr>
          <w:rFonts w:hint="eastAsia" w:ascii="宋体" w:hAnsi="宋体" w:eastAsia="Times New Roman" w:cs="Times New Roman"/>
          <w:color w:val="auto"/>
          <w:szCs w:val="21"/>
          <w:highlight w:val="none"/>
          <w:lang w:val="en-US" w:eastAsia="zh-CN"/>
        </w:rPr>
        <w:t>按本章第 2.2.4 项</w:t>
      </w:r>
      <w:r>
        <w:rPr>
          <w:rFonts w:hint="eastAsia" w:ascii="宋体" w:hAnsi="宋体"/>
          <w:color w:val="auto"/>
          <w:szCs w:val="21"/>
          <w:highlight w:val="none"/>
        </w:rPr>
        <w:t>(</w:t>
      </w:r>
      <w:r>
        <w:rPr>
          <w:rFonts w:hint="eastAsia" w:ascii="宋体" w:hAnsi="宋体" w:eastAsia="宋体"/>
          <w:color w:val="auto"/>
          <w:szCs w:val="21"/>
          <w:highlight w:val="none"/>
          <w:lang w:val="en-US" w:eastAsia="zh-CN"/>
        </w:rPr>
        <w:t>4)</w:t>
      </w:r>
      <w:r>
        <w:rPr>
          <w:rFonts w:hint="eastAsia" w:ascii="宋体" w:hAnsi="宋体" w:eastAsia="Times New Roman" w:cs="Times New Roman"/>
          <w:color w:val="auto"/>
          <w:szCs w:val="21"/>
          <w:highlight w:val="none"/>
          <w:lang w:val="en-US" w:eastAsia="zh-CN"/>
        </w:rPr>
        <w:t xml:space="preserve">目规定的评审因素和分值对其他因素计算出得分 D。 </w:t>
      </w:r>
    </w:p>
    <w:p w14:paraId="6688FC37">
      <w:pPr>
        <w:pStyle w:val="9"/>
        <w:spacing w:line="400" w:lineRule="exact"/>
        <w:ind w:firstLine="420" w:firstLineChars="200"/>
        <w:rPr>
          <w:rFonts w:hint="eastAsia" w:ascii="宋体" w:hAnsi="宋体" w:eastAsia="Times New Roman" w:cs="Times New Roman"/>
          <w:color w:val="auto"/>
          <w:szCs w:val="21"/>
          <w:highlight w:val="none"/>
        </w:rPr>
      </w:pPr>
      <w:r>
        <w:rPr>
          <w:rFonts w:hint="eastAsia" w:ascii="宋体" w:hAnsi="宋体" w:eastAsia="Times New Roman" w:cs="Times New Roman"/>
          <w:color w:val="auto"/>
          <w:szCs w:val="21"/>
          <w:highlight w:val="none"/>
          <w:lang w:val="en-US" w:eastAsia="zh-CN"/>
        </w:rPr>
        <w:t xml:space="preserve">3.2.2 得分分值计算保留小数点后两位，小数点后第三位“四舍五入”。 </w:t>
      </w:r>
    </w:p>
    <w:p w14:paraId="4F3097EC">
      <w:pPr>
        <w:pStyle w:val="9"/>
        <w:spacing w:line="400" w:lineRule="exact"/>
        <w:ind w:firstLine="420" w:firstLineChars="200"/>
        <w:rPr>
          <w:rFonts w:hint="eastAsia" w:ascii="宋体" w:hAnsi="宋体" w:eastAsia="Times New Roman" w:cs="Times New Roman"/>
          <w:color w:val="auto"/>
          <w:szCs w:val="21"/>
          <w:highlight w:val="none"/>
        </w:rPr>
      </w:pPr>
      <w:r>
        <w:rPr>
          <w:rFonts w:hint="eastAsia" w:ascii="宋体" w:hAnsi="宋体" w:eastAsia="Times New Roman" w:cs="Times New Roman"/>
          <w:color w:val="auto"/>
          <w:szCs w:val="21"/>
          <w:highlight w:val="none"/>
          <w:lang w:val="en-US" w:eastAsia="zh-CN"/>
        </w:rPr>
        <w:t xml:space="preserve">3.2.3 投标人第一信封得分=B+C+D </w:t>
      </w:r>
    </w:p>
    <w:p w14:paraId="3CD5A8B2">
      <w:pPr>
        <w:pStyle w:val="9"/>
        <w:spacing w:line="400" w:lineRule="exact"/>
        <w:outlineLvl w:val="4"/>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 xml:space="preserve">3.3 </w:t>
      </w:r>
      <w:r>
        <w:rPr>
          <w:rFonts w:hint="eastAsia" w:ascii="宋体" w:hAnsi="宋体" w:eastAsia="宋体" w:cs="宋体"/>
          <w:b/>
          <w:color w:val="auto"/>
          <w:sz w:val="21"/>
          <w:szCs w:val="21"/>
          <w:highlight w:val="none"/>
          <w:lang w:val="en-US" w:eastAsia="zh-CN"/>
        </w:rPr>
        <w:t>第二信封开标</w:t>
      </w:r>
    </w:p>
    <w:p w14:paraId="1121A096">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第一信封评审结束后，招标人将按照第二章“投标人须知”第 5.1 款规定的时间和地点对投标文件第二信封进行开标。</w:t>
      </w:r>
    </w:p>
    <w:p w14:paraId="363C31FC">
      <w:pPr>
        <w:pStyle w:val="9"/>
        <w:spacing w:line="400" w:lineRule="exact"/>
        <w:outlineLvl w:val="4"/>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 xml:space="preserve">3.4 </w:t>
      </w:r>
      <w:r>
        <w:rPr>
          <w:rFonts w:hint="eastAsia" w:ascii="宋体" w:hAnsi="宋体" w:eastAsia="宋体" w:cs="宋体"/>
          <w:b/>
          <w:color w:val="auto"/>
          <w:sz w:val="21"/>
          <w:szCs w:val="21"/>
          <w:highlight w:val="none"/>
          <w:lang w:val="en-US" w:eastAsia="zh-CN"/>
        </w:rPr>
        <w:t>第二信封初步评审</w:t>
      </w:r>
    </w:p>
    <w:p w14:paraId="2F29C7C4">
      <w:pPr>
        <w:pStyle w:val="9"/>
        <w:spacing w:line="400" w:lineRule="exact"/>
        <w:ind w:firstLine="420" w:firstLineChars="200"/>
        <w:rPr>
          <w:rFonts w:hint="eastAsia" w:ascii="宋体" w:hAnsi="宋体" w:eastAsia="Times New Roman" w:cs="Times New Roman"/>
          <w:color w:val="auto"/>
          <w:szCs w:val="21"/>
          <w:highlight w:val="none"/>
          <w:lang w:val="en-US" w:eastAsia="zh-CN"/>
        </w:rPr>
      </w:pPr>
      <w:bookmarkStart w:id="117" w:name="EBe4440bf5dfdb4fccad58fd61bdc03387"/>
      <w:r>
        <w:rPr>
          <w:rFonts w:hint="eastAsia" w:ascii="宋体" w:hAnsi="宋体" w:eastAsia="Times New Roman" w:cs="Times New Roman"/>
          <w:color w:val="auto"/>
          <w:szCs w:val="21"/>
          <w:highlight w:val="none"/>
          <w:lang w:val="en-US" w:eastAsia="zh-CN"/>
        </w:rPr>
        <w:t xml:space="preserve">3.4.1 评标委员会依据本章第 2.1.3 项规定的评审标准对投标文件第二信封进行初步评审。有一项不符合评审标准的，作否决投标处理。 </w:t>
      </w:r>
    </w:p>
    <w:p w14:paraId="3CCE517E">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3.4.2 投标报价有算术错误的，评标委员会按以下原则对投标报价进行修正，或由招标人根据评标委员会建议在发出中标通知书前对投标报价进行修正，修正的价格经投标人确认后具有约束力。投标人不接收修正价格的，其投标作否决处理。 </w:t>
      </w:r>
    </w:p>
    <w:p w14:paraId="38D82690">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（1）投标文件中的大写金额与小写金额不一致的，以大写金额为准； </w:t>
      </w:r>
    </w:p>
    <w:p w14:paraId="79276562">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（2）总价金额与依据单价计算出的结果不一致的，以单价金额为准修正总价，但单价金额小数点有明显错误的除外； </w:t>
      </w:r>
    </w:p>
    <w:p w14:paraId="3A7A7FA7">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（3）当单价与数量相乘不等于合价时，以单价计算为准，如果单价有明显的小数点位置差错，应以标出的合价为准，同时对单价予以修正； </w:t>
      </w:r>
    </w:p>
    <w:p w14:paraId="427AE8C0">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（4）当各子目的合价累计不等于总价时，应以各子目合价累计数为准，修正总价； </w:t>
      </w:r>
    </w:p>
    <w:p w14:paraId="5A459CDA">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（5）安全生产费、暂估价、暂列金额不满足招标文件规定的，按规定的金额修正。 </w:t>
      </w:r>
    </w:p>
    <w:p w14:paraId="24BF9C4A">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3.4.3 工程量清单中的投标报价有其他错误的，评标委员会按以下原则对投标报价进行修正，或由招标人根据评标委员会建议在发出中标通知书前对投标报价进行修正，修正的价格经投标人确认后具有约束力。投标人不接收修正价格的，其投标作否决处理。 </w:t>
      </w:r>
    </w:p>
    <w:p w14:paraId="7BA7FF2D">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1）在招标人给定的工程量清单中漏报了某个工程子目的单价、合价或总额价，或所报单价、合价或总额价减少了报价范围，则漏报的工程子目单价、合价和总额价格或单价、合价和总额价中减少的报价内容视为已含入其他工程子目的单价、合价和总额价之中。 </w:t>
      </w:r>
    </w:p>
    <w:p w14:paraId="4415416B">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2）在招标人给定的工程量清单中多报了某个工程子目的单价、合价或总额价，或所报单价、合价或总额价增加了报价范围，则从投标报价中扣除多报的工程子目报价或工程子目报价中增加了报价范围的部分报价。 </w:t>
      </w:r>
    </w:p>
    <w:p w14:paraId="56EE9A5D">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（3）当单价与数量的乘积与合价（金额）虽然一致，但投标人修改了该子目的工程数量，则其合价按招标人给定的工程数量乘以投标人所报单价予以修正。 </w:t>
      </w:r>
    </w:p>
    <w:p w14:paraId="094AC6A6">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3.4.4 修正后的最终投标报价若超过最高投标限价，评标委员会应否决其投标。 </w:t>
      </w:r>
    </w:p>
    <w:p w14:paraId="038279A1">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3.4.5 修正后的最终投标报价仅作为签订合同的一个依据，不参与评标价得分的计算。 </w:t>
      </w:r>
    </w:p>
    <w:p w14:paraId="36B56D05">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3.4.6 评标委员会发现投标人的报价明显低于其他投标报价，使得其投标报价可能低于其个别成本的，应当要求该投标人作出说明并提供相应的证明材料。投标人不能合理说明或者不能提供相应证明材料的，由评标委员会认定该投标人以低于成本报价竞标，并否决其投标。</w:t>
      </w:r>
    </w:p>
    <w:bookmarkEnd w:id="117"/>
    <w:p w14:paraId="285B9540">
      <w:pPr>
        <w:pStyle w:val="9"/>
        <w:spacing w:line="400" w:lineRule="exact"/>
        <w:outlineLvl w:val="4"/>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3.</w:t>
      </w:r>
      <w:r>
        <w:rPr>
          <w:rFonts w:hint="eastAsia" w:ascii="宋体" w:hAnsi="宋体" w:eastAsia="宋体" w:cs="宋体"/>
          <w:b/>
          <w:color w:val="auto"/>
          <w:sz w:val="21"/>
          <w:szCs w:val="21"/>
          <w:highlight w:val="none"/>
          <w:lang w:val="en-US" w:eastAsia="zh-CN"/>
        </w:rPr>
        <w:t>5</w:t>
      </w:r>
      <w:r>
        <w:rPr>
          <w:rFonts w:hint="eastAsia" w:ascii="宋体" w:hAnsi="宋体" w:eastAsia="宋体" w:cs="宋体"/>
          <w:b/>
          <w:color w:val="auto"/>
          <w:sz w:val="21"/>
          <w:szCs w:val="21"/>
          <w:highlight w:val="none"/>
        </w:rPr>
        <w:t xml:space="preserve"> </w:t>
      </w:r>
      <w:r>
        <w:rPr>
          <w:rFonts w:hint="eastAsia" w:ascii="宋体" w:hAnsi="宋体" w:eastAsia="宋体" w:cs="宋体"/>
          <w:b/>
          <w:color w:val="auto"/>
          <w:sz w:val="21"/>
          <w:szCs w:val="21"/>
          <w:highlight w:val="none"/>
          <w:lang w:val="en-US" w:eastAsia="zh-CN"/>
        </w:rPr>
        <w:t>第二信封详细评审</w:t>
      </w:r>
    </w:p>
    <w:p w14:paraId="6D7A03A1">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3.5.1 评标委员会按本章第 2.2.4 项（1）目规定的评审因素和分值对评标价计算出得分 A。评标价得分分值计算保留小数点后两位，小数点后第三位“四舍五入”。 </w:t>
      </w:r>
    </w:p>
    <w:p w14:paraId="3E6A7DDB">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3.5.2 投标人综合得分=（B+C+D）+A </w:t>
      </w:r>
    </w:p>
    <w:p w14:paraId="74BD83A7">
      <w:pPr>
        <w:pStyle w:val="9"/>
        <w:spacing w:line="400" w:lineRule="exact"/>
        <w:outlineLvl w:val="4"/>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3.6 投标文件相关信息核查 </w:t>
      </w:r>
    </w:p>
    <w:p w14:paraId="7D2B5912">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评标委员会应对在评标过程中发现的投标人与投标人之间、投标人与招标人之间存在的串通投标的情形进行评审和认定。投标人存在串通投标、弄虚作假、行贿等违法行为的，评标委员会应否决投标处理。 </w:t>
      </w:r>
    </w:p>
    <w:p w14:paraId="6681DF1D">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（1）有下列情形之一的，属于投标人相互串通投标： </w:t>
      </w:r>
    </w:p>
    <w:p w14:paraId="75078CCD">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a.投标人之间协商投标报价等投标文件的实质性内容； </w:t>
      </w:r>
    </w:p>
    <w:p w14:paraId="2FB85210">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b.投标人之间约定中标人； </w:t>
      </w:r>
    </w:p>
    <w:p w14:paraId="6F46D6AE">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c.投标人之间约定部分投标人放弃投标或中标； </w:t>
      </w:r>
    </w:p>
    <w:p w14:paraId="4D6928CA">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d.投标人属于同一集团、协会、商会等组织成员的投标人按照该组织要求协同投标； </w:t>
      </w:r>
    </w:p>
    <w:p w14:paraId="6F0A8A94">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e.投标人之间为谋取中标或排斥特定投标人而采取的其他联合行动。 </w:t>
      </w:r>
    </w:p>
    <w:p w14:paraId="209B1DE8">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（2）有下列情形之一的，视为投标人相互串通投标：</w:t>
      </w:r>
    </w:p>
    <w:p w14:paraId="7E4489E4">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a.不同投标人的投标文件由同一单位或个人编制； </w:t>
      </w:r>
    </w:p>
    <w:p w14:paraId="649437C0">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b.不同投标人委托同一单位或个人办理投标事宜； </w:t>
      </w:r>
    </w:p>
    <w:p w14:paraId="0426DCC0">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c.不同投标人的投标文件载明的项目管理成员为同一人； </w:t>
      </w:r>
    </w:p>
    <w:p w14:paraId="371ECE69">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d.不同投标人的投标文件异常一致或投标报价呈规律性差异； </w:t>
      </w:r>
    </w:p>
    <w:p w14:paraId="00516082">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e.不同投标人的投标文件相互混装； </w:t>
      </w:r>
    </w:p>
    <w:p w14:paraId="322CCF41">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f.不同投标人的投标保证金从同一单位或个人的账户转出。 </w:t>
      </w:r>
    </w:p>
    <w:p w14:paraId="664BC14D">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（3）有下列情形之一的，属于招标人与投标人串通投标： </w:t>
      </w:r>
    </w:p>
    <w:p w14:paraId="5C6D6570">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a.招标人在开标前开启投标文件并将有关信息泄露给其他投标人; </w:t>
      </w:r>
    </w:p>
    <w:p w14:paraId="65DB937B">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b.招标人直接或间接向投标人泄露标底、评标委员会成员等信息； </w:t>
      </w:r>
    </w:p>
    <w:p w14:paraId="55388841">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c.招标人明示或暗示投标人压低或抬高投标报价； </w:t>
      </w:r>
    </w:p>
    <w:p w14:paraId="2D158FC2">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d.招标人授意投标人撤换、修改投标文件； </w:t>
      </w:r>
    </w:p>
    <w:p w14:paraId="2ED1106E">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e.招标人明示或暗示投标人为特定投标人中标提供方便； </w:t>
      </w:r>
    </w:p>
    <w:p w14:paraId="19540DD9">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f.招标人与投标人为谋求特定投标人中标而采取的其他串通行为。 </w:t>
      </w:r>
    </w:p>
    <w:p w14:paraId="08EB731C">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（4）投标人有下列情形之一的，属于弄虚作假的行为： </w:t>
      </w:r>
    </w:p>
    <w:p w14:paraId="1B7C64B6">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a.使用通过受让或租借等方式获取的资格、资质证书投标； </w:t>
      </w:r>
    </w:p>
    <w:p w14:paraId="092E112D">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b.使用伪造、变造的许可证件； </w:t>
      </w:r>
    </w:p>
    <w:p w14:paraId="16C70A48">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c.提供虚假的财务状况或业绩； </w:t>
      </w:r>
    </w:p>
    <w:p w14:paraId="4BFD6907">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d.提供虚假的项目负责人或主要技术人员简历、劳动关系证明； </w:t>
      </w:r>
    </w:p>
    <w:p w14:paraId="370FFD45">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e.提供虚假的信用状况； </w:t>
      </w:r>
    </w:p>
    <w:p w14:paraId="44A357FD">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f.其他弄虚作假的行为。 </w:t>
      </w:r>
    </w:p>
    <w:p w14:paraId="505762C7">
      <w:pPr>
        <w:pStyle w:val="9"/>
        <w:spacing w:line="400" w:lineRule="exact"/>
        <w:outlineLvl w:val="4"/>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3.7 投标文件的澄清和说明 </w:t>
      </w:r>
    </w:p>
    <w:p w14:paraId="52C91A62">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3.7.1 在评标过程中，评标委员会可以要求投标人对所提交投标文件中含义不明确的内容、明显文字或计算错误进行澄清或说明。评标委员会不接受投标人主动提出的澄清、说明。投标人不按评标委员会要求澄清或说明的，评标委员会应否决其投标。 </w:t>
      </w:r>
    </w:p>
    <w:p w14:paraId="6FED57A7">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3.7.2 澄清和说明不得超出投标文件的范围或改变投标文件的实质性内容（算术性错误修正的除外）。投标人的澄清、说明属于投标文件的组成部分。 </w:t>
      </w:r>
    </w:p>
    <w:p w14:paraId="0914E80D">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3.7.3 评标委员会不得暗示或诱导投标人作出澄清、说明，对投标人提交的澄清、说明有疑问的，可以要求投标人进一步澄清或说明，直至满足评标委员会的要求。 </w:t>
      </w:r>
    </w:p>
    <w:p w14:paraId="1E38AEC2">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3.7.4 凡超出招标文件规定的或给发包人带来未曾要求的利益的变化、偏差或其它因素在评标时不予考虑。 </w:t>
      </w:r>
    </w:p>
    <w:p w14:paraId="4BE1B96C">
      <w:pPr>
        <w:pStyle w:val="9"/>
        <w:spacing w:line="400" w:lineRule="exact"/>
        <w:outlineLvl w:val="4"/>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3.8 不得否决投标的情形 </w:t>
      </w:r>
    </w:p>
    <w:p w14:paraId="283C6FCC">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投标文件存在第二章“投标人须知”第 1.12.3 项所列情形的，均视为细微偏差，评标委员会不得否决投标人的投标，应按照第二章“投标人须知”第 1.12.4 项规定的原则处理。 </w:t>
      </w:r>
    </w:p>
    <w:p w14:paraId="19EFD697">
      <w:pPr>
        <w:pStyle w:val="9"/>
        <w:spacing w:line="400" w:lineRule="exact"/>
        <w:outlineLvl w:val="4"/>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3.9 评标结果 </w:t>
      </w:r>
    </w:p>
    <w:p w14:paraId="3716F03F">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3.9.1 除第二章“投标人须知”前附表授权直接确定中标人外，评标委员会按照得分由高到低的顺序推荐中标候选人。 </w:t>
      </w:r>
    </w:p>
    <w:p w14:paraId="047EBC08">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3.9.2 评标委员会完成评标后，应当向招标人提交评标报告。评标报告应如实记载下列内容： </w:t>
      </w:r>
    </w:p>
    <w:p w14:paraId="7D4F031A">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（1）招标项目基本情况和数据； </w:t>
      </w:r>
    </w:p>
    <w:p w14:paraId="7AF93D8F">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（2）评标委员会成员名单； </w:t>
      </w:r>
    </w:p>
    <w:p w14:paraId="34DEA445">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（3）开标记录； </w:t>
      </w:r>
    </w:p>
    <w:p w14:paraId="6572DC82">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（4）符合要求的投标一览表； </w:t>
      </w:r>
    </w:p>
    <w:p w14:paraId="67CBC166">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（5）否决投标的情况说明； </w:t>
      </w:r>
    </w:p>
    <w:p w14:paraId="070933DA">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（6）评标标准、评标方法或者评标因素一览表； </w:t>
      </w:r>
    </w:p>
    <w:p w14:paraId="70B67C34">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（7）经评审的价格或者评分比较一览表； </w:t>
      </w:r>
    </w:p>
    <w:p w14:paraId="646F641D">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（8）经评审的投标人排序； </w:t>
      </w:r>
    </w:p>
    <w:p w14:paraId="650D25E1">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（9）推荐的中标候选人名单与签订合同前要处理的事宜； </w:t>
      </w:r>
    </w:p>
    <w:p w14:paraId="1C548DD2">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（10）澄清、说明、补正事项纪要。 </w:t>
      </w:r>
    </w:p>
    <w:p w14:paraId="666B9CF6">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评标报告由评标委员会全体成员签字。对评标结论持有异议的评标委员会成员可以书面方式阐述其不同意见和理由。评标委员会成员拒绝在评标报告上签字且不陈述其不同意见和理由的，视为同意评标结论。评标委员会应当对此作出书面说明并记录在案。 </w:t>
      </w:r>
    </w:p>
    <w:p w14:paraId="6EB58AB9">
      <w:pPr>
        <w:pStyle w:val="9"/>
        <w:spacing w:line="400" w:lineRule="exact"/>
        <w:ind w:firstLine="420" w:firstLineChars="200"/>
        <w:rPr>
          <w:rFonts w:hint="eastAsia" w:ascii="宋体" w:hAnsi="宋体" w:eastAsia="Times New Roman" w:cs="Times New Roman"/>
          <w:color w:val="auto"/>
          <w:szCs w:val="21"/>
          <w:highlight w:val="none"/>
          <w:lang w:val="en-US" w:eastAsia="zh-CN"/>
        </w:rPr>
      </w:pPr>
      <w:r>
        <w:rPr>
          <w:rFonts w:hint="eastAsia" w:ascii="宋体" w:hAnsi="宋体" w:eastAsia="Times New Roman" w:cs="Times New Roman"/>
          <w:color w:val="auto"/>
          <w:szCs w:val="21"/>
          <w:highlight w:val="none"/>
          <w:lang w:val="en-US" w:eastAsia="zh-CN"/>
        </w:rPr>
        <w:t xml:space="preserve"> </w:t>
      </w:r>
    </w:p>
    <w:p w14:paraId="024AE859">
      <w:pPr>
        <w:pStyle w:val="9"/>
        <w:spacing w:line="360" w:lineRule="auto"/>
        <w:jc w:val="center"/>
        <w:outlineLvl w:val="1"/>
        <w:rPr>
          <w:color w:val="auto"/>
          <w:sz w:val="20"/>
          <w:szCs w:val="20"/>
          <w:highlight w:val="none"/>
        </w:rPr>
      </w:pPr>
      <w:r>
        <w:rPr>
          <w:rFonts w:hint="eastAsia"/>
          <w:color w:val="auto"/>
          <w:highlight w:val="none"/>
        </w:rPr>
        <w:br w:type="page"/>
      </w:r>
      <w:bookmarkStart w:id="118" w:name="_Toc495"/>
      <w:r>
        <w:rPr>
          <w:rFonts w:hint="eastAsia" w:ascii="黑体" w:hAnsi="宋体" w:eastAsia="黑体" w:cs="Times New Roman"/>
          <w:b/>
          <w:color w:val="auto"/>
          <w:sz w:val="32"/>
          <w:szCs w:val="32"/>
          <w:highlight w:val="none"/>
        </w:rPr>
        <w:t>第四章  合同条款及格式</w:t>
      </w:r>
      <w:bookmarkEnd w:id="118"/>
      <w:bookmarkStart w:id="119" w:name="EB3f0f1429ae84466cacc0f5b13d03e0d9"/>
    </w:p>
    <w:p w14:paraId="38E4CA70">
      <w:pPr>
        <w:pStyle w:val="50"/>
        <w:jc w:val="center"/>
        <w:rPr>
          <w:rFonts w:hint="eastAsia"/>
          <w:color w:val="auto"/>
          <w:sz w:val="28"/>
          <w:szCs w:val="28"/>
          <w:highlight w:val="none"/>
        </w:rPr>
      </w:pPr>
      <w:bookmarkStart w:id="120" w:name="_Toc14377"/>
      <w:r>
        <w:rPr>
          <w:rFonts w:hint="eastAsia" w:ascii="宋体" w:hAnsi="宋体"/>
          <w:color w:val="auto"/>
          <w:sz w:val="28"/>
          <w:szCs w:val="28"/>
          <w:highlight w:val="none"/>
        </w:rPr>
        <w:t>第一节</w:t>
      </w:r>
      <w:r>
        <w:rPr>
          <w:rFonts w:hint="eastAsia" w:ascii="宋体" w:hAnsi="宋体"/>
          <w:color w:val="auto"/>
          <w:sz w:val="28"/>
          <w:szCs w:val="28"/>
          <w:highlight w:val="none"/>
          <w:lang w:val="en-US" w:eastAsia="zh-CN"/>
        </w:rPr>
        <w:t xml:space="preserve">  </w:t>
      </w:r>
      <w:r>
        <w:rPr>
          <w:rFonts w:hint="eastAsia" w:ascii="宋体" w:hAnsi="宋体"/>
          <w:color w:val="auto"/>
          <w:sz w:val="28"/>
          <w:szCs w:val="28"/>
          <w:highlight w:val="none"/>
        </w:rPr>
        <w:t>通用合同条款</w:t>
      </w:r>
      <w:bookmarkEnd w:id="120"/>
    </w:p>
    <w:p w14:paraId="113B36FE">
      <w:pPr>
        <w:pStyle w:val="44"/>
        <w:spacing w:line="340" w:lineRule="exact"/>
        <w:rPr>
          <w:b/>
          <w:bCs/>
          <w:color w:val="auto"/>
          <w:sz w:val="24"/>
          <w:szCs w:val="24"/>
          <w:highlight w:val="none"/>
        </w:rPr>
      </w:pPr>
      <w:r>
        <w:rPr>
          <w:rFonts w:hint="eastAsia" w:ascii="宋体" w:hAnsi="宋体"/>
          <w:b/>
          <w:bCs/>
          <w:color w:val="auto"/>
          <w:sz w:val="24"/>
          <w:szCs w:val="24"/>
          <w:highlight w:val="none"/>
        </w:rPr>
        <w:t xml:space="preserve"> </w:t>
      </w:r>
      <w:bookmarkStart w:id="121" w:name="_Toc31934"/>
      <w:bookmarkStart w:id="122" w:name="_Toc240967034"/>
      <w:r>
        <w:rPr>
          <w:rFonts w:hint="eastAsia"/>
          <w:b/>
          <w:bCs/>
          <w:color w:val="auto"/>
          <w:sz w:val="24"/>
          <w:szCs w:val="24"/>
          <w:highlight w:val="none"/>
        </w:rPr>
        <w:t>1. 一般约定</w:t>
      </w:r>
      <w:bookmarkEnd w:id="121"/>
      <w:bookmarkEnd w:id="122"/>
    </w:p>
    <w:p w14:paraId="752CCFC8">
      <w:pPr>
        <w:pStyle w:val="51"/>
        <w:outlineLvl w:val="3"/>
        <w:rPr>
          <w:color w:val="auto"/>
          <w:highlight w:val="none"/>
        </w:rPr>
      </w:pPr>
      <w:bookmarkStart w:id="123" w:name="_Toc240967035"/>
      <w:bookmarkStart w:id="124" w:name="_Toc14445"/>
      <w:bookmarkStart w:id="125" w:name="_Toc23914"/>
      <w:r>
        <w:rPr>
          <w:rFonts w:hint="eastAsia"/>
          <w:color w:val="auto"/>
          <w:highlight w:val="none"/>
        </w:rPr>
        <w:t>1.1 词语定义</w:t>
      </w:r>
      <w:bookmarkEnd w:id="123"/>
      <w:bookmarkEnd w:id="124"/>
      <w:bookmarkEnd w:id="125"/>
    </w:p>
    <w:p w14:paraId="3257531E">
      <w:pPr>
        <w:pStyle w:val="9"/>
        <w:spacing w:line="400" w:lineRule="exact"/>
        <w:ind w:firstLine="420" w:firstLineChars="200"/>
        <w:rPr>
          <w:rFonts w:ascii="宋体" w:hAnsi="宋体"/>
          <w:color w:val="auto"/>
          <w:highlight w:val="none"/>
        </w:rPr>
      </w:pPr>
      <w:r>
        <w:rPr>
          <w:rFonts w:hint="eastAsia" w:ascii="宋体" w:hAnsi="宋体"/>
          <w:color w:val="auto"/>
          <w:highlight w:val="none"/>
        </w:rPr>
        <w:t>通用合同条款、专用合同条款中的下列词语应具有本款所赋予的含义。</w:t>
      </w:r>
    </w:p>
    <w:p w14:paraId="62928F8E">
      <w:pPr>
        <w:pStyle w:val="9"/>
        <w:spacing w:line="400" w:lineRule="exact"/>
        <w:ind w:firstLine="420" w:firstLineChars="200"/>
        <w:rPr>
          <w:rFonts w:ascii="宋体" w:hAnsi="宋体"/>
          <w:color w:val="auto"/>
          <w:highlight w:val="none"/>
        </w:rPr>
      </w:pPr>
      <w:r>
        <w:rPr>
          <w:rFonts w:hint="eastAsia" w:ascii="宋体" w:hAnsi="宋体"/>
          <w:color w:val="auto"/>
          <w:highlight w:val="none"/>
        </w:rPr>
        <w:t>1.1.1 合同</w:t>
      </w:r>
    </w:p>
    <w:p w14:paraId="14E6E71E">
      <w:pPr>
        <w:pStyle w:val="9"/>
        <w:spacing w:line="400" w:lineRule="exact"/>
        <w:ind w:firstLine="420" w:firstLineChars="200"/>
        <w:rPr>
          <w:rFonts w:ascii="宋体" w:hAnsi="宋体"/>
          <w:color w:val="auto"/>
          <w:highlight w:val="none"/>
        </w:rPr>
      </w:pPr>
      <w:r>
        <w:rPr>
          <w:rFonts w:hint="eastAsia" w:ascii="宋体" w:hAnsi="宋体"/>
          <w:color w:val="auto"/>
          <w:highlight w:val="none"/>
        </w:rPr>
        <w:t>1.1.1.1 合同文件（或称合同）：指合同协议书、中标通知书、投标函及投标函附录、专用合同条款、通用合同条款、技术标准和要求、图纸、已标价工程量清单，以及其他合同文件。</w:t>
      </w:r>
    </w:p>
    <w:p w14:paraId="6421F308">
      <w:pPr>
        <w:pStyle w:val="9"/>
        <w:spacing w:line="400" w:lineRule="exact"/>
        <w:ind w:firstLine="420" w:firstLineChars="200"/>
        <w:rPr>
          <w:rFonts w:ascii="宋体" w:hAnsi="宋体"/>
          <w:color w:val="auto"/>
          <w:highlight w:val="none"/>
        </w:rPr>
      </w:pPr>
      <w:r>
        <w:rPr>
          <w:rFonts w:hint="eastAsia" w:ascii="宋体" w:hAnsi="宋体"/>
          <w:color w:val="auto"/>
          <w:highlight w:val="none"/>
        </w:rPr>
        <w:t>1.1.1.2 合同协议书：指第1.5款所指的合同协议书。</w:t>
      </w:r>
    </w:p>
    <w:p w14:paraId="1EA81FE1">
      <w:pPr>
        <w:pStyle w:val="9"/>
        <w:spacing w:line="400" w:lineRule="exact"/>
        <w:ind w:firstLine="420" w:firstLineChars="200"/>
        <w:rPr>
          <w:rFonts w:ascii="宋体" w:hAnsi="宋体"/>
          <w:color w:val="auto"/>
          <w:highlight w:val="none"/>
        </w:rPr>
      </w:pPr>
      <w:r>
        <w:rPr>
          <w:rFonts w:hint="eastAsia" w:ascii="宋体" w:hAnsi="宋体"/>
          <w:color w:val="auto"/>
          <w:highlight w:val="none"/>
        </w:rPr>
        <w:t>1.1.1.3 中标通知书：指发包人通知承包人中标的函件。</w:t>
      </w:r>
    </w:p>
    <w:p w14:paraId="5468B371">
      <w:pPr>
        <w:pStyle w:val="9"/>
        <w:spacing w:line="400" w:lineRule="exact"/>
        <w:ind w:firstLine="420" w:firstLineChars="200"/>
        <w:rPr>
          <w:rFonts w:ascii="宋体" w:hAnsi="宋体"/>
          <w:color w:val="auto"/>
          <w:highlight w:val="none"/>
        </w:rPr>
      </w:pPr>
      <w:r>
        <w:rPr>
          <w:rFonts w:hint="eastAsia" w:ascii="宋体" w:hAnsi="宋体"/>
          <w:color w:val="auto"/>
          <w:highlight w:val="none"/>
        </w:rPr>
        <w:t>1.1.1.4 投标函：指构成合同文件组成部分的由承包人填写并签署的投标函。</w:t>
      </w:r>
    </w:p>
    <w:p w14:paraId="4662BEAD">
      <w:pPr>
        <w:pStyle w:val="9"/>
        <w:spacing w:line="400" w:lineRule="exact"/>
        <w:ind w:firstLine="420" w:firstLineChars="200"/>
        <w:rPr>
          <w:rFonts w:ascii="宋体" w:hAnsi="宋体"/>
          <w:color w:val="auto"/>
          <w:highlight w:val="none"/>
        </w:rPr>
      </w:pPr>
      <w:r>
        <w:rPr>
          <w:rFonts w:hint="eastAsia" w:ascii="宋体" w:hAnsi="宋体"/>
          <w:color w:val="auto"/>
          <w:highlight w:val="none"/>
        </w:rPr>
        <w:t>1.1.1.5 投标函附录：指附在投标函后构成合同文件的投标函附录。</w:t>
      </w:r>
    </w:p>
    <w:p w14:paraId="7C492710">
      <w:pPr>
        <w:pStyle w:val="9"/>
        <w:spacing w:line="400" w:lineRule="exact"/>
        <w:ind w:firstLine="420" w:firstLineChars="200"/>
        <w:rPr>
          <w:rFonts w:ascii="宋体" w:hAnsi="宋体"/>
          <w:color w:val="auto"/>
          <w:highlight w:val="none"/>
        </w:rPr>
      </w:pPr>
      <w:r>
        <w:rPr>
          <w:rFonts w:hint="eastAsia" w:ascii="宋体" w:hAnsi="宋体"/>
          <w:color w:val="auto"/>
          <w:highlight w:val="none"/>
        </w:rPr>
        <w:t>1.1.1.6 技术标准和要求：指构成合同文件组成部分的名为技术标准和要求的文件，包括合同双方当事人约定对其所作的修改或补充。</w:t>
      </w:r>
    </w:p>
    <w:p w14:paraId="6A27D72C">
      <w:pPr>
        <w:pStyle w:val="9"/>
        <w:spacing w:line="400" w:lineRule="exact"/>
        <w:ind w:firstLine="420" w:firstLineChars="200"/>
        <w:rPr>
          <w:rFonts w:ascii="宋体" w:hAnsi="宋体"/>
          <w:color w:val="auto"/>
          <w:highlight w:val="none"/>
        </w:rPr>
      </w:pPr>
      <w:r>
        <w:rPr>
          <w:rFonts w:hint="eastAsia" w:ascii="宋体" w:hAnsi="宋体"/>
          <w:color w:val="auto"/>
          <w:highlight w:val="none"/>
        </w:rPr>
        <w:t>1.1.1.7图纸：指包含在合同中的工程图纸，以及由发包人按合同约定提供的任何补充和修改的图纸，包括配套的说明。</w:t>
      </w:r>
    </w:p>
    <w:p w14:paraId="7AC64C84">
      <w:pPr>
        <w:pStyle w:val="9"/>
        <w:spacing w:line="400" w:lineRule="exact"/>
        <w:ind w:firstLine="420" w:firstLineChars="200"/>
        <w:rPr>
          <w:rFonts w:ascii="宋体" w:hAnsi="宋体"/>
          <w:color w:val="auto"/>
          <w:highlight w:val="none"/>
        </w:rPr>
      </w:pPr>
      <w:r>
        <w:rPr>
          <w:rFonts w:hint="eastAsia" w:ascii="宋体" w:hAnsi="宋体"/>
          <w:color w:val="auto"/>
          <w:highlight w:val="none"/>
        </w:rPr>
        <w:t>1.1.1.8 已标价工程量清单：指构成合同文件组成部分的由承包人按照规定的格式和要求填写并标明价格的工程量清单。</w:t>
      </w:r>
    </w:p>
    <w:p w14:paraId="7F4298B0">
      <w:pPr>
        <w:pStyle w:val="9"/>
        <w:spacing w:line="400" w:lineRule="exact"/>
        <w:ind w:firstLine="420" w:firstLineChars="200"/>
        <w:rPr>
          <w:rFonts w:ascii="宋体" w:hAnsi="宋体"/>
          <w:color w:val="auto"/>
          <w:highlight w:val="none"/>
        </w:rPr>
      </w:pPr>
      <w:r>
        <w:rPr>
          <w:rFonts w:hint="eastAsia" w:ascii="宋体" w:hAnsi="宋体"/>
          <w:color w:val="auto"/>
          <w:highlight w:val="none"/>
        </w:rPr>
        <w:t>1.1.1.9 其他合同文件：指经合同双方当事人确认构成合同文件的其他文件。</w:t>
      </w:r>
    </w:p>
    <w:p w14:paraId="2429AB01">
      <w:pPr>
        <w:pStyle w:val="9"/>
        <w:spacing w:line="400" w:lineRule="exact"/>
        <w:ind w:firstLine="420" w:firstLineChars="200"/>
        <w:rPr>
          <w:rFonts w:ascii="宋体" w:hAnsi="宋体"/>
          <w:color w:val="auto"/>
          <w:highlight w:val="none"/>
        </w:rPr>
      </w:pPr>
      <w:r>
        <w:rPr>
          <w:rFonts w:hint="eastAsia" w:ascii="宋体" w:hAnsi="宋体"/>
          <w:color w:val="auto"/>
          <w:highlight w:val="none"/>
        </w:rPr>
        <w:t>1.1.2 合同当事人和人员</w:t>
      </w:r>
    </w:p>
    <w:p w14:paraId="37C38313">
      <w:pPr>
        <w:pStyle w:val="9"/>
        <w:spacing w:line="400" w:lineRule="exact"/>
        <w:ind w:firstLine="420" w:firstLineChars="200"/>
        <w:rPr>
          <w:rFonts w:ascii="宋体" w:hAnsi="宋体"/>
          <w:color w:val="auto"/>
          <w:highlight w:val="none"/>
        </w:rPr>
      </w:pPr>
      <w:r>
        <w:rPr>
          <w:rFonts w:hint="eastAsia" w:ascii="宋体" w:hAnsi="宋体"/>
          <w:color w:val="auto"/>
          <w:highlight w:val="none"/>
        </w:rPr>
        <w:t>1.1.2.1 合同当事人:指发包人和（或）承包人。</w:t>
      </w:r>
    </w:p>
    <w:p w14:paraId="61083865">
      <w:pPr>
        <w:pStyle w:val="9"/>
        <w:spacing w:line="400" w:lineRule="exact"/>
        <w:ind w:firstLine="420" w:firstLineChars="200"/>
        <w:rPr>
          <w:rFonts w:ascii="宋体" w:hAnsi="宋体"/>
          <w:color w:val="auto"/>
          <w:highlight w:val="none"/>
        </w:rPr>
      </w:pPr>
      <w:r>
        <w:rPr>
          <w:rFonts w:hint="eastAsia" w:ascii="宋体" w:hAnsi="宋体"/>
          <w:color w:val="auto"/>
          <w:highlight w:val="none"/>
        </w:rPr>
        <w:t>1.1.2.2 发包人：指专用合同条款中指明并与承包人在合同协议书中签字的当事人。</w:t>
      </w:r>
    </w:p>
    <w:p w14:paraId="4EF4F0A6">
      <w:pPr>
        <w:pStyle w:val="9"/>
        <w:spacing w:line="400" w:lineRule="exact"/>
        <w:ind w:firstLine="420" w:firstLineChars="200"/>
        <w:rPr>
          <w:rFonts w:ascii="宋体" w:hAnsi="宋体"/>
          <w:color w:val="auto"/>
          <w:highlight w:val="none"/>
        </w:rPr>
      </w:pPr>
      <w:r>
        <w:rPr>
          <w:rFonts w:hint="eastAsia" w:ascii="宋体" w:hAnsi="宋体"/>
          <w:color w:val="auto"/>
          <w:highlight w:val="none"/>
        </w:rPr>
        <w:t>1.1.2.3 承包人：指与发包人签订合同协议书的当事人。</w:t>
      </w:r>
    </w:p>
    <w:p w14:paraId="72957C95">
      <w:pPr>
        <w:pStyle w:val="9"/>
        <w:spacing w:line="400" w:lineRule="exact"/>
        <w:ind w:firstLine="420" w:firstLineChars="200"/>
        <w:rPr>
          <w:rFonts w:ascii="宋体" w:hAnsi="宋体"/>
          <w:color w:val="auto"/>
          <w:highlight w:val="none"/>
        </w:rPr>
      </w:pPr>
      <w:r>
        <w:rPr>
          <w:rFonts w:hint="eastAsia" w:ascii="宋体" w:hAnsi="宋体"/>
          <w:color w:val="auto"/>
          <w:highlight w:val="none"/>
        </w:rPr>
        <w:t>1.1.2.4 承包人项目经理：指承包人派驻施工场地的全权负责人。</w:t>
      </w:r>
    </w:p>
    <w:p w14:paraId="670290CC">
      <w:pPr>
        <w:pStyle w:val="9"/>
        <w:spacing w:line="400" w:lineRule="exact"/>
        <w:ind w:firstLine="420" w:firstLineChars="200"/>
        <w:rPr>
          <w:rFonts w:ascii="宋体" w:hAnsi="宋体"/>
          <w:color w:val="auto"/>
          <w:highlight w:val="none"/>
        </w:rPr>
      </w:pPr>
      <w:r>
        <w:rPr>
          <w:rFonts w:hint="eastAsia" w:ascii="宋体" w:hAnsi="宋体"/>
          <w:color w:val="auto"/>
          <w:highlight w:val="none"/>
        </w:rPr>
        <w:t>1.1.2.5 分包人：指从承包人处分包合同中某一部分工程，并与其签订分包合同的分包人。</w:t>
      </w:r>
    </w:p>
    <w:p w14:paraId="6DA8253C">
      <w:pPr>
        <w:pStyle w:val="9"/>
        <w:spacing w:line="400" w:lineRule="exact"/>
        <w:ind w:firstLine="420" w:firstLineChars="200"/>
        <w:rPr>
          <w:rFonts w:ascii="宋体" w:hAnsi="宋体"/>
          <w:color w:val="auto"/>
          <w:highlight w:val="none"/>
        </w:rPr>
      </w:pPr>
      <w:r>
        <w:rPr>
          <w:rFonts w:hint="eastAsia" w:ascii="宋体" w:hAnsi="宋体"/>
          <w:color w:val="auto"/>
          <w:highlight w:val="none"/>
        </w:rPr>
        <w:t>1.1.2.6 监理人：指在专用合同条款中指明的，受发包人委托对合同履行实施管理的法人或其他组织。</w:t>
      </w:r>
    </w:p>
    <w:p w14:paraId="7254CFF0">
      <w:pPr>
        <w:pStyle w:val="9"/>
        <w:spacing w:line="400" w:lineRule="exact"/>
        <w:ind w:firstLine="420" w:firstLineChars="200"/>
        <w:rPr>
          <w:rFonts w:ascii="宋体" w:hAnsi="宋体"/>
          <w:color w:val="auto"/>
          <w:highlight w:val="none"/>
        </w:rPr>
      </w:pPr>
      <w:r>
        <w:rPr>
          <w:rFonts w:hint="eastAsia" w:ascii="宋体" w:hAnsi="宋体"/>
          <w:color w:val="auto"/>
          <w:highlight w:val="none"/>
        </w:rPr>
        <w:t>1.1.2.7 总监理工程师（总监）：指由监理人委派常驻施工场地对合同履行实施管理的全权负责人。</w:t>
      </w:r>
    </w:p>
    <w:p w14:paraId="47787BCB">
      <w:pPr>
        <w:pStyle w:val="9"/>
        <w:spacing w:line="400" w:lineRule="exact"/>
        <w:ind w:firstLine="420" w:firstLineChars="200"/>
        <w:rPr>
          <w:rFonts w:ascii="宋体" w:hAnsi="宋体"/>
          <w:color w:val="auto"/>
          <w:highlight w:val="none"/>
        </w:rPr>
      </w:pPr>
      <w:r>
        <w:rPr>
          <w:rFonts w:hint="eastAsia" w:ascii="宋体" w:hAnsi="宋体"/>
          <w:color w:val="auto"/>
          <w:highlight w:val="none"/>
        </w:rPr>
        <w:t>1.1.3 工程和设备</w:t>
      </w:r>
    </w:p>
    <w:p w14:paraId="78E88CC3">
      <w:pPr>
        <w:pStyle w:val="9"/>
        <w:spacing w:line="400" w:lineRule="exact"/>
        <w:ind w:firstLine="420" w:firstLineChars="200"/>
        <w:rPr>
          <w:rFonts w:ascii="宋体" w:hAnsi="宋体"/>
          <w:color w:val="auto"/>
          <w:highlight w:val="none"/>
        </w:rPr>
      </w:pPr>
      <w:r>
        <w:rPr>
          <w:rFonts w:hint="eastAsia" w:ascii="宋体" w:hAnsi="宋体"/>
          <w:color w:val="auto"/>
          <w:highlight w:val="none"/>
        </w:rPr>
        <w:t>1.1.3.1 工程：指永久工程和（或）临时工程。</w:t>
      </w:r>
    </w:p>
    <w:p w14:paraId="31E8289E">
      <w:pPr>
        <w:pStyle w:val="9"/>
        <w:spacing w:line="400" w:lineRule="exact"/>
        <w:ind w:firstLine="420" w:firstLineChars="200"/>
        <w:rPr>
          <w:rFonts w:ascii="宋体" w:hAnsi="宋体"/>
          <w:color w:val="auto"/>
          <w:highlight w:val="none"/>
        </w:rPr>
      </w:pPr>
      <w:r>
        <w:rPr>
          <w:rFonts w:hint="eastAsia" w:ascii="宋体" w:hAnsi="宋体"/>
          <w:color w:val="auto"/>
          <w:highlight w:val="none"/>
        </w:rPr>
        <w:t>1.1.3.2 永久工程：指按合同约定建造并移交给发包人的工程，包括工程设备。</w:t>
      </w:r>
    </w:p>
    <w:p w14:paraId="6E412731">
      <w:pPr>
        <w:pStyle w:val="9"/>
        <w:spacing w:line="400" w:lineRule="exact"/>
        <w:ind w:firstLine="420" w:firstLineChars="200"/>
        <w:rPr>
          <w:rFonts w:ascii="宋体" w:hAnsi="宋体"/>
          <w:color w:val="auto"/>
          <w:highlight w:val="none"/>
        </w:rPr>
      </w:pPr>
      <w:r>
        <w:rPr>
          <w:rFonts w:hint="eastAsia" w:ascii="宋体" w:hAnsi="宋体"/>
          <w:color w:val="auto"/>
          <w:highlight w:val="none"/>
        </w:rPr>
        <w:t>1.1.3.3 临时工程：指为完成合同约定的永久工程所修建的各类临时性工程，不包括施工设备。</w:t>
      </w:r>
    </w:p>
    <w:p w14:paraId="12C82E87">
      <w:pPr>
        <w:pStyle w:val="9"/>
        <w:spacing w:line="400" w:lineRule="exact"/>
        <w:ind w:firstLine="420" w:firstLineChars="200"/>
        <w:rPr>
          <w:rFonts w:ascii="宋体" w:hAnsi="宋体"/>
          <w:color w:val="auto"/>
          <w:highlight w:val="none"/>
        </w:rPr>
      </w:pPr>
      <w:r>
        <w:rPr>
          <w:rFonts w:hint="eastAsia" w:ascii="宋体" w:hAnsi="宋体"/>
          <w:color w:val="auto"/>
          <w:highlight w:val="none"/>
        </w:rPr>
        <w:t>1.1.3.4 单位工程：指专用合同条款中指明特定范围的永久工程。</w:t>
      </w:r>
    </w:p>
    <w:p w14:paraId="6E78F9D4">
      <w:pPr>
        <w:pStyle w:val="9"/>
        <w:spacing w:line="400" w:lineRule="exact"/>
        <w:ind w:firstLine="420" w:firstLineChars="200"/>
        <w:rPr>
          <w:rFonts w:ascii="宋体" w:hAnsi="宋体"/>
          <w:color w:val="auto"/>
          <w:highlight w:val="none"/>
        </w:rPr>
      </w:pPr>
      <w:r>
        <w:rPr>
          <w:rFonts w:hint="eastAsia" w:ascii="宋体" w:hAnsi="宋体"/>
          <w:color w:val="auto"/>
          <w:highlight w:val="none"/>
        </w:rPr>
        <w:t>1.1.3.5 工程设备：指构成或计划构成永久工程一部分的机电设备、金属结构设备、仪器装置及其他类似的设备和装置。</w:t>
      </w:r>
    </w:p>
    <w:p w14:paraId="6FBFA667">
      <w:pPr>
        <w:pStyle w:val="9"/>
        <w:spacing w:line="400" w:lineRule="exact"/>
        <w:ind w:firstLine="420" w:firstLineChars="200"/>
        <w:rPr>
          <w:rFonts w:ascii="宋体" w:hAnsi="宋体"/>
          <w:color w:val="auto"/>
          <w:highlight w:val="none"/>
        </w:rPr>
      </w:pPr>
      <w:r>
        <w:rPr>
          <w:rFonts w:hint="eastAsia" w:ascii="宋体" w:hAnsi="宋体"/>
          <w:color w:val="auto"/>
          <w:highlight w:val="none"/>
        </w:rPr>
        <w:t>1.1.3.6 施工设备：指为完成合同约定的各项工作所需的设备、器具和其他物品，不包括临时工程和材料。</w:t>
      </w:r>
    </w:p>
    <w:p w14:paraId="5D998750">
      <w:pPr>
        <w:pStyle w:val="9"/>
        <w:spacing w:line="400" w:lineRule="exact"/>
        <w:ind w:firstLine="420" w:firstLineChars="200"/>
        <w:rPr>
          <w:rFonts w:ascii="宋体" w:hAnsi="宋体"/>
          <w:color w:val="auto"/>
          <w:highlight w:val="none"/>
        </w:rPr>
      </w:pPr>
      <w:r>
        <w:rPr>
          <w:rFonts w:hint="eastAsia" w:ascii="宋体" w:hAnsi="宋体"/>
          <w:color w:val="auto"/>
          <w:highlight w:val="none"/>
        </w:rPr>
        <w:t>1.1.3.7 临时设施：指为完成合同约定的各项工作所服务的临时性生产和生活设施。</w:t>
      </w:r>
    </w:p>
    <w:p w14:paraId="76577476">
      <w:pPr>
        <w:pStyle w:val="9"/>
        <w:spacing w:line="400" w:lineRule="exact"/>
        <w:ind w:firstLine="420" w:firstLineChars="200"/>
        <w:rPr>
          <w:rFonts w:ascii="宋体" w:hAnsi="宋体"/>
          <w:color w:val="auto"/>
          <w:highlight w:val="none"/>
        </w:rPr>
      </w:pPr>
      <w:r>
        <w:rPr>
          <w:rFonts w:hint="eastAsia" w:ascii="宋体" w:hAnsi="宋体"/>
          <w:color w:val="auto"/>
          <w:highlight w:val="none"/>
        </w:rPr>
        <w:t>1.1.3.8 承包人设备：指承包人自带的施工设备。</w:t>
      </w:r>
    </w:p>
    <w:p w14:paraId="2DD4F992">
      <w:pPr>
        <w:pStyle w:val="9"/>
        <w:spacing w:line="400" w:lineRule="exact"/>
        <w:ind w:firstLine="420" w:firstLineChars="200"/>
        <w:rPr>
          <w:rFonts w:ascii="宋体" w:hAnsi="宋体"/>
          <w:color w:val="auto"/>
          <w:highlight w:val="none"/>
        </w:rPr>
      </w:pPr>
      <w:r>
        <w:rPr>
          <w:rFonts w:hint="eastAsia" w:ascii="宋体" w:hAnsi="宋体"/>
          <w:color w:val="auto"/>
          <w:highlight w:val="none"/>
        </w:rPr>
        <w:t>1.1.3.9 施工场地（或称工地、现场）：指用于合同工程施工的场所，以及在合同中指定作为施工场地组成部分的其他场所，包括永久占地和临时占地。</w:t>
      </w:r>
    </w:p>
    <w:p w14:paraId="4D55697C">
      <w:pPr>
        <w:pStyle w:val="9"/>
        <w:spacing w:line="400" w:lineRule="exact"/>
        <w:ind w:firstLine="420" w:firstLineChars="200"/>
        <w:rPr>
          <w:rFonts w:ascii="宋体" w:hAnsi="宋体"/>
          <w:color w:val="auto"/>
          <w:highlight w:val="none"/>
        </w:rPr>
      </w:pPr>
      <w:r>
        <w:rPr>
          <w:rFonts w:hint="eastAsia" w:ascii="宋体" w:hAnsi="宋体"/>
          <w:color w:val="auto"/>
          <w:highlight w:val="none"/>
        </w:rPr>
        <w:t>1.1.3.10 永久占地：指专用合同条款中指明为实施合同工程需永久占用的土地。</w:t>
      </w:r>
    </w:p>
    <w:p w14:paraId="7376D9A1">
      <w:pPr>
        <w:pStyle w:val="9"/>
        <w:spacing w:line="400" w:lineRule="exact"/>
        <w:ind w:firstLine="420" w:firstLineChars="200"/>
        <w:rPr>
          <w:rFonts w:ascii="宋体" w:hAnsi="宋体"/>
          <w:color w:val="auto"/>
          <w:highlight w:val="none"/>
        </w:rPr>
      </w:pPr>
      <w:r>
        <w:rPr>
          <w:rFonts w:hint="eastAsia" w:ascii="宋体" w:hAnsi="宋体"/>
          <w:color w:val="auto"/>
          <w:highlight w:val="none"/>
        </w:rPr>
        <w:t>1.1.3.11 临时占地：指专用合同条款中指明为实施合同工程需临时占用的土地。</w:t>
      </w:r>
    </w:p>
    <w:p w14:paraId="0B6490A4">
      <w:pPr>
        <w:pStyle w:val="9"/>
        <w:spacing w:line="400" w:lineRule="exact"/>
        <w:ind w:firstLine="420" w:firstLineChars="200"/>
        <w:rPr>
          <w:rFonts w:ascii="宋体" w:hAnsi="宋体"/>
          <w:color w:val="auto"/>
          <w:highlight w:val="none"/>
        </w:rPr>
      </w:pPr>
      <w:r>
        <w:rPr>
          <w:rFonts w:hint="eastAsia" w:ascii="宋体" w:hAnsi="宋体"/>
          <w:color w:val="auto"/>
          <w:highlight w:val="none"/>
        </w:rPr>
        <w:t>1.1.4 日期</w:t>
      </w:r>
    </w:p>
    <w:p w14:paraId="0BAEE1C6">
      <w:pPr>
        <w:pStyle w:val="9"/>
        <w:spacing w:line="400" w:lineRule="exact"/>
        <w:ind w:firstLine="420" w:firstLineChars="200"/>
        <w:rPr>
          <w:rFonts w:ascii="宋体" w:hAnsi="宋体"/>
          <w:color w:val="auto"/>
          <w:highlight w:val="none"/>
        </w:rPr>
      </w:pPr>
      <w:r>
        <w:rPr>
          <w:rFonts w:hint="eastAsia" w:ascii="宋体" w:hAnsi="宋体"/>
          <w:color w:val="auto"/>
          <w:highlight w:val="none"/>
        </w:rPr>
        <w:t>1.1.4.1 开工通知：指监理人按第11.1款通知承包人开工的函件。</w:t>
      </w:r>
    </w:p>
    <w:p w14:paraId="6B74CCB1">
      <w:pPr>
        <w:pStyle w:val="9"/>
        <w:spacing w:line="400" w:lineRule="exact"/>
        <w:ind w:firstLine="420" w:firstLineChars="200"/>
        <w:rPr>
          <w:rFonts w:ascii="宋体" w:hAnsi="宋体"/>
          <w:color w:val="auto"/>
          <w:highlight w:val="none"/>
        </w:rPr>
      </w:pPr>
      <w:r>
        <w:rPr>
          <w:rFonts w:hint="eastAsia" w:ascii="宋体" w:hAnsi="宋体"/>
          <w:color w:val="auto"/>
          <w:highlight w:val="none"/>
        </w:rPr>
        <w:t>1.1.4.2 开工日期：指监理人按第11.1款发出的开工通知中写明的开工日期。</w:t>
      </w:r>
    </w:p>
    <w:p w14:paraId="7DD85EBB">
      <w:pPr>
        <w:pStyle w:val="9"/>
        <w:spacing w:line="400" w:lineRule="exact"/>
        <w:ind w:firstLine="420" w:firstLineChars="200"/>
        <w:rPr>
          <w:rFonts w:ascii="宋体" w:hAnsi="宋体"/>
          <w:color w:val="auto"/>
          <w:highlight w:val="none"/>
        </w:rPr>
      </w:pPr>
      <w:r>
        <w:rPr>
          <w:rFonts w:hint="eastAsia" w:ascii="宋体" w:hAnsi="宋体"/>
          <w:color w:val="auto"/>
          <w:highlight w:val="none"/>
        </w:rPr>
        <w:t>1.1.4.3工期：指承包人在投标函中承诺的完成合同工程所需的期限，包括按第11.3款、第11.4款和第11.6款约定所作的变更。</w:t>
      </w:r>
    </w:p>
    <w:p w14:paraId="2AB46583">
      <w:pPr>
        <w:pStyle w:val="9"/>
        <w:spacing w:line="400" w:lineRule="exact"/>
        <w:ind w:firstLine="420" w:firstLineChars="200"/>
        <w:rPr>
          <w:rFonts w:ascii="宋体" w:hAnsi="宋体"/>
          <w:color w:val="auto"/>
          <w:highlight w:val="none"/>
        </w:rPr>
      </w:pPr>
      <w:r>
        <w:rPr>
          <w:rFonts w:hint="eastAsia" w:ascii="宋体" w:hAnsi="宋体"/>
          <w:color w:val="auto"/>
          <w:highlight w:val="none"/>
        </w:rPr>
        <w:t>1.1.4.4 竣工日期：指第1.1.4.3目约定工期届满时的日期。实际竣工日期以工程接收证书中写明的日期为准。</w:t>
      </w:r>
    </w:p>
    <w:p w14:paraId="62ED53CD">
      <w:pPr>
        <w:pStyle w:val="9"/>
        <w:spacing w:line="400" w:lineRule="exact"/>
        <w:ind w:firstLine="420" w:firstLineChars="200"/>
        <w:rPr>
          <w:rFonts w:ascii="宋体" w:hAnsi="宋体"/>
          <w:color w:val="auto"/>
          <w:highlight w:val="none"/>
        </w:rPr>
      </w:pPr>
      <w:r>
        <w:rPr>
          <w:rFonts w:hint="eastAsia" w:ascii="宋体" w:hAnsi="宋体"/>
          <w:color w:val="auto"/>
          <w:highlight w:val="none"/>
        </w:rPr>
        <w:t>1.1.4.5 缺陷责任期：指履行第19.2款约定的缺陷责任的期限，具体期限由专用合同条款约定，包括根据第19.3款约定所作的延长。</w:t>
      </w:r>
    </w:p>
    <w:p w14:paraId="3459071F">
      <w:pPr>
        <w:pStyle w:val="9"/>
        <w:spacing w:line="400" w:lineRule="exact"/>
        <w:ind w:firstLine="420" w:firstLineChars="200"/>
        <w:rPr>
          <w:rFonts w:ascii="宋体" w:hAnsi="宋体"/>
          <w:color w:val="auto"/>
          <w:highlight w:val="none"/>
        </w:rPr>
      </w:pPr>
      <w:r>
        <w:rPr>
          <w:rFonts w:hint="eastAsia" w:ascii="宋体" w:hAnsi="宋体"/>
          <w:color w:val="auto"/>
          <w:highlight w:val="none"/>
        </w:rPr>
        <w:t>1.1.4.6 基准日期：指投标截止时间前28天的日期。</w:t>
      </w:r>
    </w:p>
    <w:p w14:paraId="3BA2FB60">
      <w:pPr>
        <w:pStyle w:val="9"/>
        <w:spacing w:line="400" w:lineRule="exact"/>
        <w:ind w:firstLine="420" w:firstLineChars="200"/>
        <w:rPr>
          <w:rFonts w:ascii="宋体" w:hAnsi="宋体"/>
          <w:color w:val="auto"/>
          <w:highlight w:val="none"/>
        </w:rPr>
      </w:pPr>
      <w:r>
        <w:rPr>
          <w:rFonts w:hint="eastAsia" w:ascii="宋体" w:hAnsi="宋体"/>
          <w:color w:val="auto"/>
          <w:highlight w:val="none"/>
        </w:rPr>
        <w:t>1.1.4.7 天：除特别指明外，指日历天。合同中按天计算时间的，开始当天不计入，从次日开始计算。期限最后一天的截止时间为当天24:00。</w:t>
      </w:r>
    </w:p>
    <w:p w14:paraId="514A5479">
      <w:pPr>
        <w:pStyle w:val="9"/>
        <w:spacing w:line="400" w:lineRule="exact"/>
        <w:ind w:firstLine="420" w:firstLineChars="200"/>
        <w:rPr>
          <w:rFonts w:ascii="宋体" w:hAnsi="宋体"/>
          <w:color w:val="auto"/>
          <w:highlight w:val="none"/>
        </w:rPr>
      </w:pPr>
      <w:r>
        <w:rPr>
          <w:rFonts w:hint="eastAsia" w:ascii="宋体" w:hAnsi="宋体"/>
          <w:color w:val="auto"/>
          <w:highlight w:val="none"/>
        </w:rPr>
        <w:t>1.1.5 合同价格和费用</w:t>
      </w:r>
    </w:p>
    <w:p w14:paraId="50E242BF">
      <w:pPr>
        <w:pStyle w:val="9"/>
        <w:spacing w:line="400" w:lineRule="exact"/>
        <w:ind w:firstLine="420" w:firstLineChars="200"/>
        <w:rPr>
          <w:rFonts w:ascii="宋体" w:hAnsi="宋体"/>
          <w:color w:val="auto"/>
          <w:highlight w:val="none"/>
        </w:rPr>
      </w:pPr>
      <w:r>
        <w:rPr>
          <w:rFonts w:hint="eastAsia" w:ascii="宋体" w:hAnsi="宋体"/>
          <w:color w:val="auto"/>
          <w:highlight w:val="none"/>
        </w:rPr>
        <w:t>1.1.5.1 签约合同价：指签定合同时合同协议书中写明的，包括了暂列金额、暂估价的合同总金额。</w:t>
      </w:r>
    </w:p>
    <w:p w14:paraId="1FDC9F94">
      <w:pPr>
        <w:pStyle w:val="9"/>
        <w:spacing w:line="400" w:lineRule="exact"/>
        <w:ind w:firstLine="420" w:firstLineChars="200"/>
        <w:rPr>
          <w:rFonts w:ascii="宋体" w:hAnsi="宋体"/>
          <w:color w:val="auto"/>
          <w:highlight w:val="none"/>
        </w:rPr>
      </w:pPr>
      <w:r>
        <w:rPr>
          <w:rFonts w:hint="eastAsia" w:ascii="宋体" w:hAnsi="宋体"/>
          <w:color w:val="auto"/>
          <w:highlight w:val="none"/>
        </w:rPr>
        <w:t>1.1.5.2 合同价格：指承包人按合同约定完成了包括缺陷责任期内的全部承包工作后，发包人应付给承包人的金额，包括在履行合同过程中按合同约定进行的变更和调整。</w:t>
      </w:r>
    </w:p>
    <w:p w14:paraId="643BBD89">
      <w:pPr>
        <w:pStyle w:val="9"/>
        <w:spacing w:line="400" w:lineRule="exact"/>
        <w:ind w:firstLine="420" w:firstLineChars="200"/>
        <w:rPr>
          <w:rFonts w:ascii="宋体" w:hAnsi="宋体"/>
          <w:color w:val="auto"/>
          <w:highlight w:val="none"/>
        </w:rPr>
      </w:pPr>
      <w:r>
        <w:rPr>
          <w:rFonts w:hint="eastAsia" w:ascii="宋体" w:hAnsi="宋体"/>
          <w:color w:val="auto"/>
          <w:highlight w:val="none"/>
        </w:rPr>
        <w:t>1.1.5.3 费用：指为履行合同所发生的或将要发生的所有合理开支，包括管理费和应分摊的其他费用，但不包括利润。</w:t>
      </w:r>
    </w:p>
    <w:p w14:paraId="51520E01">
      <w:pPr>
        <w:pStyle w:val="9"/>
        <w:spacing w:line="400" w:lineRule="exact"/>
        <w:ind w:firstLine="420" w:firstLineChars="200"/>
        <w:rPr>
          <w:rFonts w:ascii="宋体" w:hAnsi="宋体"/>
          <w:color w:val="auto"/>
          <w:highlight w:val="none"/>
        </w:rPr>
      </w:pPr>
      <w:r>
        <w:rPr>
          <w:rFonts w:hint="eastAsia" w:ascii="宋体" w:hAnsi="宋体"/>
          <w:color w:val="auto"/>
          <w:highlight w:val="none"/>
        </w:rPr>
        <w:t>1.1.5.4 暂列金额：指已标价工程量清单中所列的暂列金额，用于在签订协议书时尚未确定或不可预见变更的施工及其所需材料、工程设备、服务等的金额，包括以计日工方式支付的金额。</w:t>
      </w:r>
    </w:p>
    <w:p w14:paraId="7856C36A">
      <w:pPr>
        <w:pStyle w:val="9"/>
        <w:spacing w:line="400" w:lineRule="exact"/>
        <w:ind w:firstLine="420" w:firstLineChars="200"/>
        <w:rPr>
          <w:rFonts w:ascii="宋体" w:hAnsi="宋体"/>
          <w:color w:val="auto"/>
          <w:highlight w:val="none"/>
        </w:rPr>
      </w:pPr>
      <w:r>
        <w:rPr>
          <w:rFonts w:hint="eastAsia" w:ascii="宋体" w:hAnsi="宋体"/>
          <w:color w:val="auto"/>
          <w:highlight w:val="none"/>
        </w:rPr>
        <w:t>1.1.5.5暂估价：指发包人在工程量清单中给定的用于支付必然发生但暂时不能确定价格的材料、设备以及专业工程的金额。</w:t>
      </w:r>
    </w:p>
    <w:p w14:paraId="047D4915">
      <w:pPr>
        <w:pStyle w:val="9"/>
        <w:spacing w:line="400" w:lineRule="exact"/>
        <w:ind w:firstLine="420" w:firstLineChars="200"/>
        <w:rPr>
          <w:rFonts w:ascii="宋体" w:hAnsi="宋体"/>
          <w:color w:val="auto"/>
          <w:highlight w:val="none"/>
        </w:rPr>
      </w:pPr>
      <w:r>
        <w:rPr>
          <w:rFonts w:hint="eastAsia" w:ascii="宋体" w:hAnsi="宋体"/>
          <w:color w:val="auto"/>
          <w:highlight w:val="none"/>
        </w:rPr>
        <w:t>1.1.5.6 计日工：指对零星工作采取的一种计价方式，按合同中的计日工子目及其单价计价付款。</w:t>
      </w:r>
    </w:p>
    <w:p w14:paraId="173F3C55">
      <w:pPr>
        <w:pStyle w:val="9"/>
        <w:spacing w:line="400" w:lineRule="exact"/>
        <w:ind w:firstLine="420" w:firstLineChars="200"/>
        <w:rPr>
          <w:rFonts w:ascii="宋体" w:hAnsi="宋体"/>
          <w:color w:val="auto"/>
          <w:highlight w:val="none"/>
        </w:rPr>
      </w:pPr>
      <w:r>
        <w:rPr>
          <w:rFonts w:hint="eastAsia" w:ascii="宋体" w:hAnsi="宋体"/>
          <w:color w:val="auto"/>
          <w:highlight w:val="none"/>
        </w:rPr>
        <w:t>1.1.5.7 质量保证金（或称保留金）：指按第17.4.1项约定用于保证在缺陷责任期内履行缺陷修复义务的金额。</w:t>
      </w:r>
    </w:p>
    <w:p w14:paraId="19DF5D7B">
      <w:pPr>
        <w:pStyle w:val="9"/>
        <w:spacing w:line="400" w:lineRule="exact"/>
        <w:ind w:firstLine="420" w:firstLineChars="200"/>
        <w:rPr>
          <w:rFonts w:ascii="宋体" w:hAnsi="宋体"/>
          <w:color w:val="auto"/>
          <w:highlight w:val="none"/>
        </w:rPr>
      </w:pPr>
      <w:r>
        <w:rPr>
          <w:rFonts w:hint="eastAsia" w:ascii="宋体" w:hAnsi="宋体"/>
          <w:color w:val="auto"/>
          <w:highlight w:val="none"/>
        </w:rPr>
        <w:t>1.1.6 其他</w:t>
      </w:r>
    </w:p>
    <w:p w14:paraId="7458D163">
      <w:pPr>
        <w:pStyle w:val="9"/>
        <w:spacing w:line="400" w:lineRule="exact"/>
        <w:ind w:firstLine="420" w:firstLineChars="200"/>
        <w:rPr>
          <w:rFonts w:ascii="隶书" w:eastAsia="隶书"/>
          <w:color w:val="auto"/>
          <w:highlight w:val="none"/>
        </w:rPr>
      </w:pPr>
      <w:r>
        <w:rPr>
          <w:rFonts w:hint="eastAsia" w:ascii="宋体" w:hAnsi="宋体"/>
          <w:color w:val="auto"/>
          <w:highlight w:val="none"/>
        </w:rPr>
        <w:t>1.1.6.1 书面形式：指合同文件、信函、电报、传真等可以有形地表现所载内容的形式。</w:t>
      </w:r>
    </w:p>
    <w:p w14:paraId="0263430D">
      <w:pPr>
        <w:pStyle w:val="51"/>
        <w:outlineLvl w:val="3"/>
        <w:rPr>
          <w:color w:val="auto"/>
          <w:highlight w:val="none"/>
        </w:rPr>
      </w:pPr>
      <w:bookmarkStart w:id="126" w:name="_Toc240967036"/>
      <w:bookmarkStart w:id="127" w:name="_Toc15797"/>
      <w:bookmarkStart w:id="128" w:name="_Toc32007"/>
      <w:r>
        <w:rPr>
          <w:rFonts w:hint="eastAsia"/>
          <w:color w:val="auto"/>
          <w:highlight w:val="none"/>
        </w:rPr>
        <w:t>1.2 语言文字</w:t>
      </w:r>
      <w:bookmarkEnd w:id="126"/>
      <w:bookmarkEnd w:id="127"/>
      <w:bookmarkEnd w:id="128"/>
    </w:p>
    <w:p w14:paraId="7651B7C9">
      <w:pPr>
        <w:pStyle w:val="9"/>
        <w:spacing w:line="400" w:lineRule="exact"/>
        <w:ind w:firstLine="420" w:firstLineChars="200"/>
        <w:rPr>
          <w:rFonts w:ascii="宋体" w:hAnsi="宋体"/>
          <w:color w:val="auto"/>
          <w:highlight w:val="none"/>
        </w:rPr>
      </w:pPr>
      <w:r>
        <w:rPr>
          <w:rFonts w:hint="eastAsia" w:ascii="宋体" w:hAnsi="宋体"/>
          <w:color w:val="auto"/>
          <w:highlight w:val="none"/>
        </w:rPr>
        <w:t>除专用术语外，合同使用的语言文字为中文。必要时专用术语应附有中文注释。</w:t>
      </w:r>
    </w:p>
    <w:p w14:paraId="079E0F44">
      <w:pPr>
        <w:pStyle w:val="51"/>
        <w:outlineLvl w:val="3"/>
        <w:rPr>
          <w:color w:val="auto"/>
          <w:highlight w:val="none"/>
        </w:rPr>
      </w:pPr>
      <w:bookmarkStart w:id="129" w:name="_Toc24404"/>
      <w:bookmarkStart w:id="130" w:name="_Toc3533"/>
      <w:bookmarkStart w:id="131" w:name="_Toc240967037"/>
      <w:r>
        <w:rPr>
          <w:rFonts w:hint="eastAsia"/>
          <w:color w:val="auto"/>
          <w:highlight w:val="none"/>
        </w:rPr>
        <w:t>1.3 法律</w:t>
      </w:r>
      <w:bookmarkEnd w:id="129"/>
      <w:bookmarkEnd w:id="130"/>
      <w:bookmarkEnd w:id="131"/>
    </w:p>
    <w:p w14:paraId="0BD19F80">
      <w:pPr>
        <w:pStyle w:val="9"/>
        <w:spacing w:line="400" w:lineRule="exact"/>
        <w:ind w:firstLine="420" w:firstLineChars="200"/>
        <w:rPr>
          <w:rFonts w:ascii="宋体" w:hAnsi="宋体"/>
          <w:color w:val="auto"/>
          <w:highlight w:val="none"/>
        </w:rPr>
      </w:pPr>
      <w:r>
        <w:rPr>
          <w:rFonts w:hint="eastAsia" w:ascii="宋体" w:hAnsi="宋体"/>
          <w:color w:val="auto"/>
          <w:highlight w:val="none"/>
        </w:rPr>
        <w:t>适用于合同的法律包括中华人民共和国法律、行政法规、部门规章，以及工程所在地的地方法规、自治条例、单行条例和地方政府规章。</w:t>
      </w:r>
    </w:p>
    <w:p w14:paraId="38A7260B">
      <w:pPr>
        <w:pStyle w:val="51"/>
        <w:outlineLvl w:val="3"/>
        <w:rPr>
          <w:color w:val="auto"/>
          <w:highlight w:val="none"/>
        </w:rPr>
      </w:pPr>
      <w:bookmarkStart w:id="132" w:name="_Toc5833"/>
      <w:bookmarkStart w:id="133" w:name="_Toc240967038"/>
      <w:bookmarkStart w:id="134" w:name="_Toc3745"/>
      <w:r>
        <w:rPr>
          <w:rFonts w:hint="eastAsia"/>
          <w:color w:val="auto"/>
          <w:highlight w:val="none"/>
        </w:rPr>
        <w:t>1.4 合同文件的优先顺序</w:t>
      </w:r>
      <w:bookmarkEnd w:id="132"/>
      <w:bookmarkEnd w:id="133"/>
      <w:bookmarkEnd w:id="134"/>
    </w:p>
    <w:p w14:paraId="00F9EEDF">
      <w:pPr>
        <w:pStyle w:val="9"/>
        <w:spacing w:line="400" w:lineRule="exact"/>
        <w:ind w:firstLine="420" w:firstLineChars="200"/>
        <w:rPr>
          <w:rFonts w:ascii="宋体" w:hAnsi="宋体"/>
          <w:color w:val="auto"/>
          <w:highlight w:val="none"/>
        </w:rPr>
      </w:pPr>
      <w:r>
        <w:rPr>
          <w:rFonts w:hint="eastAsia" w:ascii="宋体" w:hAnsi="宋体"/>
          <w:color w:val="auto"/>
          <w:highlight w:val="none"/>
        </w:rPr>
        <w:t>组成合同的各项文件应互相解释，互为说明。除专用合同条款另有约定外，解释合同文件的优先顺序如下：</w:t>
      </w:r>
    </w:p>
    <w:p w14:paraId="24CA4D2C">
      <w:pPr>
        <w:pStyle w:val="9"/>
        <w:spacing w:line="400" w:lineRule="exact"/>
        <w:ind w:firstLine="359" w:firstLineChars="171"/>
        <w:rPr>
          <w:rFonts w:ascii="宋体" w:hAnsi="宋体"/>
          <w:color w:val="auto"/>
          <w:highlight w:val="none"/>
        </w:rPr>
      </w:pPr>
      <w:r>
        <w:rPr>
          <w:rFonts w:hint="eastAsia" w:ascii="宋体" w:hAnsi="宋体"/>
          <w:color w:val="auto"/>
          <w:highlight w:val="none"/>
        </w:rPr>
        <w:t>（1）合同协议书；</w:t>
      </w:r>
    </w:p>
    <w:p w14:paraId="2753DB2E">
      <w:pPr>
        <w:pStyle w:val="9"/>
        <w:spacing w:line="400" w:lineRule="exact"/>
        <w:ind w:firstLine="359" w:firstLineChars="171"/>
        <w:rPr>
          <w:rFonts w:ascii="宋体" w:hAnsi="宋体"/>
          <w:color w:val="auto"/>
          <w:highlight w:val="none"/>
        </w:rPr>
      </w:pPr>
      <w:r>
        <w:rPr>
          <w:rFonts w:hint="eastAsia" w:ascii="宋体" w:hAnsi="宋体"/>
          <w:color w:val="auto"/>
          <w:highlight w:val="none"/>
        </w:rPr>
        <w:t>（2）中标通知书；</w:t>
      </w:r>
    </w:p>
    <w:p w14:paraId="21A4A91A">
      <w:pPr>
        <w:pStyle w:val="9"/>
        <w:spacing w:line="400" w:lineRule="exact"/>
        <w:ind w:firstLine="359" w:firstLineChars="171"/>
        <w:rPr>
          <w:rFonts w:ascii="宋体" w:hAnsi="宋体"/>
          <w:color w:val="auto"/>
          <w:highlight w:val="none"/>
        </w:rPr>
      </w:pPr>
      <w:r>
        <w:rPr>
          <w:rFonts w:hint="eastAsia" w:ascii="宋体" w:hAnsi="宋体"/>
          <w:color w:val="auto"/>
          <w:highlight w:val="none"/>
        </w:rPr>
        <w:t>（3）投标函及投标函附录；</w:t>
      </w:r>
    </w:p>
    <w:p w14:paraId="450DB518">
      <w:pPr>
        <w:pStyle w:val="9"/>
        <w:spacing w:line="400" w:lineRule="exact"/>
        <w:ind w:firstLine="359" w:firstLineChars="171"/>
        <w:rPr>
          <w:rFonts w:ascii="宋体" w:hAnsi="宋体"/>
          <w:color w:val="auto"/>
          <w:highlight w:val="none"/>
        </w:rPr>
      </w:pPr>
      <w:r>
        <w:rPr>
          <w:rFonts w:hint="eastAsia" w:ascii="宋体" w:hAnsi="宋体"/>
          <w:color w:val="auto"/>
          <w:highlight w:val="none"/>
        </w:rPr>
        <w:t>（4）专用合同条款；</w:t>
      </w:r>
    </w:p>
    <w:p w14:paraId="16336D08">
      <w:pPr>
        <w:pStyle w:val="9"/>
        <w:spacing w:line="400" w:lineRule="exact"/>
        <w:ind w:firstLine="359" w:firstLineChars="171"/>
        <w:rPr>
          <w:rFonts w:ascii="宋体" w:hAnsi="宋体"/>
          <w:color w:val="auto"/>
          <w:highlight w:val="none"/>
        </w:rPr>
      </w:pPr>
      <w:r>
        <w:rPr>
          <w:rFonts w:hint="eastAsia" w:ascii="宋体" w:hAnsi="宋体"/>
          <w:color w:val="auto"/>
          <w:highlight w:val="none"/>
        </w:rPr>
        <w:t>（5）通用合同条款；</w:t>
      </w:r>
    </w:p>
    <w:p w14:paraId="603C233B">
      <w:pPr>
        <w:pStyle w:val="9"/>
        <w:spacing w:line="400" w:lineRule="exact"/>
        <w:ind w:firstLine="359" w:firstLineChars="171"/>
        <w:rPr>
          <w:rFonts w:ascii="宋体" w:hAnsi="宋体"/>
          <w:color w:val="auto"/>
          <w:highlight w:val="none"/>
        </w:rPr>
      </w:pPr>
      <w:r>
        <w:rPr>
          <w:rFonts w:hint="eastAsia" w:ascii="宋体" w:hAnsi="宋体"/>
          <w:color w:val="auto"/>
          <w:highlight w:val="none"/>
        </w:rPr>
        <w:t>（6）技术标准和要求；</w:t>
      </w:r>
    </w:p>
    <w:p w14:paraId="5AD30DBD">
      <w:pPr>
        <w:pStyle w:val="9"/>
        <w:spacing w:line="400" w:lineRule="exact"/>
        <w:ind w:firstLine="359" w:firstLineChars="171"/>
        <w:rPr>
          <w:rFonts w:ascii="宋体" w:hAnsi="宋体"/>
          <w:color w:val="auto"/>
          <w:highlight w:val="none"/>
        </w:rPr>
      </w:pPr>
      <w:r>
        <w:rPr>
          <w:rFonts w:hint="eastAsia" w:ascii="宋体" w:hAnsi="宋体"/>
          <w:color w:val="auto"/>
          <w:highlight w:val="none"/>
        </w:rPr>
        <w:t>（7）图纸；</w:t>
      </w:r>
    </w:p>
    <w:p w14:paraId="510B5A9D">
      <w:pPr>
        <w:pStyle w:val="9"/>
        <w:spacing w:line="400" w:lineRule="exact"/>
        <w:ind w:firstLine="359" w:firstLineChars="171"/>
        <w:rPr>
          <w:rFonts w:ascii="宋体" w:hAnsi="宋体"/>
          <w:color w:val="auto"/>
          <w:highlight w:val="none"/>
        </w:rPr>
      </w:pPr>
      <w:r>
        <w:rPr>
          <w:rFonts w:hint="eastAsia" w:ascii="宋体" w:hAnsi="宋体"/>
          <w:color w:val="auto"/>
          <w:highlight w:val="none"/>
        </w:rPr>
        <w:t>（8）已标价工程量清单；</w:t>
      </w:r>
    </w:p>
    <w:p w14:paraId="507B575C">
      <w:pPr>
        <w:pStyle w:val="9"/>
        <w:spacing w:line="400" w:lineRule="exact"/>
        <w:ind w:firstLine="359" w:firstLineChars="171"/>
        <w:rPr>
          <w:rFonts w:ascii="宋体" w:hAnsi="宋体"/>
          <w:color w:val="auto"/>
          <w:highlight w:val="none"/>
        </w:rPr>
      </w:pPr>
      <w:r>
        <w:rPr>
          <w:rFonts w:hint="eastAsia" w:ascii="宋体" w:hAnsi="宋体"/>
          <w:color w:val="auto"/>
          <w:highlight w:val="none"/>
        </w:rPr>
        <w:t>（9）其他合同文件。</w:t>
      </w:r>
    </w:p>
    <w:p w14:paraId="531457F2">
      <w:pPr>
        <w:pStyle w:val="51"/>
        <w:outlineLvl w:val="3"/>
        <w:rPr>
          <w:color w:val="auto"/>
          <w:highlight w:val="none"/>
        </w:rPr>
      </w:pPr>
      <w:bookmarkStart w:id="135" w:name="_Toc570"/>
      <w:bookmarkStart w:id="136" w:name="_Toc240967039"/>
      <w:bookmarkStart w:id="137" w:name="_Toc18785"/>
      <w:r>
        <w:rPr>
          <w:rFonts w:hint="eastAsia"/>
          <w:color w:val="auto"/>
          <w:highlight w:val="none"/>
        </w:rPr>
        <w:t>1.5 合同协议书</w:t>
      </w:r>
      <w:bookmarkEnd w:id="135"/>
      <w:bookmarkEnd w:id="136"/>
      <w:bookmarkEnd w:id="137"/>
    </w:p>
    <w:p w14:paraId="2F4B0ED5">
      <w:pPr>
        <w:pStyle w:val="9"/>
        <w:spacing w:line="400" w:lineRule="exact"/>
        <w:ind w:firstLine="420" w:firstLineChars="200"/>
        <w:rPr>
          <w:rFonts w:hint="eastAsia"/>
          <w:color w:val="auto"/>
          <w:highlight w:val="none"/>
        </w:rPr>
      </w:pPr>
      <w:r>
        <w:rPr>
          <w:rFonts w:hint="eastAsia" w:ascii="宋体" w:hAnsi="宋体"/>
          <w:color w:val="auto"/>
          <w:highlight w:val="none"/>
        </w:rPr>
        <w:t>承包人按中标通知书规定的时间与发包人签订合同协议书。除法律另有规定或合同另有约定外，发包人和承包人的法定代表人或其委托代理人在合同协议书上签字并盖单位章后，合同生效。</w:t>
      </w:r>
      <w:bookmarkStart w:id="138" w:name="_Toc240967040"/>
      <w:bookmarkStart w:id="139" w:name="_Toc23778"/>
    </w:p>
    <w:p w14:paraId="45576709">
      <w:pPr>
        <w:pStyle w:val="51"/>
        <w:outlineLvl w:val="3"/>
        <w:rPr>
          <w:color w:val="auto"/>
          <w:highlight w:val="none"/>
        </w:rPr>
      </w:pPr>
      <w:bookmarkStart w:id="140" w:name="_Toc4769"/>
      <w:r>
        <w:rPr>
          <w:rFonts w:hint="eastAsia"/>
          <w:color w:val="auto"/>
          <w:highlight w:val="none"/>
        </w:rPr>
        <w:t>1.6 图纸和承包人文件</w:t>
      </w:r>
      <w:bookmarkEnd w:id="138"/>
      <w:bookmarkEnd w:id="139"/>
      <w:bookmarkEnd w:id="140"/>
    </w:p>
    <w:p w14:paraId="36514D3D">
      <w:pPr>
        <w:pStyle w:val="9"/>
        <w:spacing w:line="400" w:lineRule="exact"/>
        <w:ind w:firstLine="420" w:firstLineChars="200"/>
        <w:rPr>
          <w:rFonts w:ascii="宋体" w:hAnsi="宋体"/>
          <w:color w:val="auto"/>
          <w:highlight w:val="none"/>
        </w:rPr>
      </w:pPr>
      <w:r>
        <w:rPr>
          <w:rFonts w:hint="eastAsia" w:ascii="宋体" w:hAnsi="宋体"/>
          <w:color w:val="auto"/>
          <w:highlight w:val="none"/>
        </w:rPr>
        <w:t>1.6.1图纸的提供</w:t>
      </w:r>
    </w:p>
    <w:p w14:paraId="408185BF">
      <w:pPr>
        <w:pStyle w:val="9"/>
        <w:spacing w:line="400" w:lineRule="exact"/>
        <w:ind w:firstLine="420" w:firstLineChars="200"/>
        <w:rPr>
          <w:rFonts w:ascii="宋体" w:hAnsi="宋体"/>
          <w:color w:val="auto"/>
          <w:highlight w:val="none"/>
        </w:rPr>
      </w:pPr>
      <w:r>
        <w:rPr>
          <w:rFonts w:hint="eastAsia" w:ascii="宋体" w:hAnsi="宋体"/>
          <w:color w:val="auto"/>
          <w:highlight w:val="none"/>
        </w:rPr>
        <w:t>除专用合同条款另有约定外，图纸应在合理的期限内按照合同约定的数量提供给承包人。由于发包人未按时提供图纸造成工期延误的，按第11.3款的约定办理。</w:t>
      </w:r>
    </w:p>
    <w:p w14:paraId="0722BF56">
      <w:pPr>
        <w:pStyle w:val="9"/>
        <w:spacing w:line="400" w:lineRule="exact"/>
        <w:ind w:firstLine="420" w:firstLineChars="200"/>
        <w:rPr>
          <w:rFonts w:ascii="宋体" w:hAnsi="宋体"/>
          <w:color w:val="auto"/>
          <w:highlight w:val="none"/>
        </w:rPr>
      </w:pPr>
      <w:r>
        <w:rPr>
          <w:rFonts w:hint="eastAsia" w:ascii="宋体" w:hAnsi="宋体"/>
          <w:color w:val="auto"/>
          <w:highlight w:val="none"/>
        </w:rPr>
        <w:t>1.6.2 承包人提供的文件</w:t>
      </w:r>
    </w:p>
    <w:p w14:paraId="5681F1E1">
      <w:pPr>
        <w:pStyle w:val="9"/>
        <w:spacing w:line="400" w:lineRule="exact"/>
        <w:rPr>
          <w:rFonts w:ascii="宋体" w:hAnsi="宋体"/>
          <w:color w:val="auto"/>
          <w:highlight w:val="none"/>
        </w:rPr>
      </w:pPr>
      <w:r>
        <w:rPr>
          <w:rFonts w:hint="eastAsia" w:ascii="宋体" w:hAnsi="宋体"/>
          <w:color w:val="auto"/>
          <w:highlight w:val="none"/>
        </w:rPr>
        <w:t>　　按专用合同条款约定由承包人提供的文件，包括部分工程的大样图、加工图等，承包人应按约定的数量和期限报送监理人。监理人应在专用合同条款约定的期限内批复。</w:t>
      </w:r>
    </w:p>
    <w:p w14:paraId="65CF028F">
      <w:pPr>
        <w:pStyle w:val="9"/>
        <w:spacing w:line="400" w:lineRule="exact"/>
        <w:ind w:firstLine="420" w:firstLineChars="200"/>
        <w:rPr>
          <w:rFonts w:ascii="宋体" w:hAnsi="宋体"/>
          <w:color w:val="auto"/>
          <w:highlight w:val="none"/>
        </w:rPr>
      </w:pPr>
      <w:r>
        <w:rPr>
          <w:rFonts w:hint="eastAsia" w:ascii="宋体" w:hAnsi="宋体"/>
          <w:color w:val="auto"/>
          <w:highlight w:val="none"/>
        </w:rPr>
        <w:t>1.6.3 图纸的修改</w:t>
      </w:r>
    </w:p>
    <w:p w14:paraId="65591770">
      <w:pPr>
        <w:pStyle w:val="9"/>
        <w:spacing w:line="400" w:lineRule="exact"/>
        <w:ind w:firstLine="420" w:firstLineChars="200"/>
        <w:rPr>
          <w:rFonts w:ascii="宋体" w:hAnsi="宋体"/>
          <w:color w:val="auto"/>
          <w:highlight w:val="none"/>
        </w:rPr>
      </w:pPr>
      <w:r>
        <w:rPr>
          <w:rFonts w:hint="eastAsia" w:ascii="宋体" w:hAnsi="宋体"/>
          <w:color w:val="auto"/>
          <w:highlight w:val="none"/>
        </w:rPr>
        <w:t xml:space="preserve">图纸需要修改和补充的，应由监理人取得发包人同意后，在该工程或工程相应部位施工前的合理期限内签发图纸修改图给承包人，具体签发期限在专用合同条款中约定。承包人应按修改后的图纸施工。 </w:t>
      </w:r>
    </w:p>
    <w:p w14:paraId="67506077">
      <w:pPr>
        <w:pStyle w:val="9"/>
        <w:spacing w:line="400" w:lineRule="exact"/>
        <w:ind w:firstLine="420" w:firstLineChars="200"/>
        <w:rPr>
          <w:rFonts w:ascii="宋体" w:hAnsi="宋体"/>
          <w:color w:val="auto"/>
          <w:highlight w:val="none"/>
        </w:rPr>
      </w:pPr>
      <w:r>
        <w:rPr>
          <w:rFonts w:hint="eastAsia" w:ascii="宋体" w:hAnsi="宋体"/>
          <w:color w:val="auto"/>
          <w:highlight w:val="none"/>
        </w:rPr>
        <w:t>1.6.4 图纸的错误</w:t>
      </w:r>
    </w:p>
    <w:p w14:paraId="18E9EC37">
      <w:pPr>
        <w:pStyle w:val="9"/>
        <w:spacing w:line="400" w:lineRule="exact"/>
        <w:ind w:firstLine="420" w:firstLineChars="200"/>
        <w:rPr>
          <w:rFonts w:ascii="宋体" w:hAnsi="宋体"/>
          <w:color w:val="auto"/>
          <w:highlight w:val="none"/>
        </w:rPr>
      </w:pPr>
      <w:r>
        <w:rPr>
          <w:rFonts w:hint="eastAsia" w:ascii="宋体" w:hAnsi="宋体"/>
          <w:color w:val="auto"/>
          <w:highlight w:val="none"/>
        </w:rPr>
        <w:t>承包人发现发包人提供的图纸存在明显错误或疏忽，应及时通知监理人。</w:t>
      </w:r>
    </w:p>
    <w:p w14:paraId="1FD0A8B4">
      <w:pPr>
        <w:pStyle w:val="9"/>
        <w:spacing w:line="400" w:lineRule="exact"/>
        <w:ind w:firstLine="420" w:firstLineChars="200"/>
        <w:rPr>
          <w:rFonts w:ascii="宋体" w:hAnsi="宋体"/>
          <w:color w:val="auto"/>
          <w:highlight w:val="none"/>
        </w:rPr>
      </w:pPr>
      <w:r>
        <w:rPr>
          <w:rFonts w:hint="eastAsia" w:ascii="宋体" w:hAnsi="宋体"/>
          <w:color w:val="auto"/>
          <w:highlight w:val="none"/>
        </w:rPr>
        <w:t>1.6.5 图纸和承包人文件的保管</w:t>
      </w:r>
    </w:p>
    <w:p w14:paraId="24827664">
      <w:pPr>
        <w:pStyle w:val="9"/>
        <w:spacing w:line="400" w:lineRule="exact"/>
        <w:ind w:firstLine="420" w:firstLineChars="200"/>
        <w:rPr>
          <w:rFonts w:ascii="隶书" w:eastAsia="隶书"/>
          <w:color w:val="auto"/>
          <w:highlight w:val="none"/>
        </w:rPr>
      </w:pPr>
      <w:r>
        <w:rPr>
          <w:rFonts w:hint="eastAsia" w:ascii="宋体" w:hAnsi="宋体"/>
          <w:color w:val="auto"/>
          <w:highlight w:val="none"/>
        </w:rPr>
        <w:t>监理人和承包人均应在施工场地各保存一套完整的包含第1.6.1项、第1.6.2项、第1.6.3项约定内容的图纸和承包人文件。</w:t>
      </w:r>
    </w:p>
    <w:p w14:paraId="5158EAFC">
      <w:pPr>
        <w:pStyle w:val="51"/>
        <w:outlineLvl w:val="3"/>
        <w:rPr>
          <w:color w:val="auto"/>
          <w:highlight w:val="none"/>
        </w:rPr>
      </w:pPr>
      <w:bookmarkStart w:id="141" w:name="_Toc30597"/>
      <w:bookmarkStart w:id="142" w:name="_Toc240967041"/>
      <w:bookmarkStart w:id="143" w:name="_Toc15859"/>
      <w:r>
        <w:rPr>
          <w:rFonts w:hint="eastAsia"/>
          <w:color w:val="auto"/>
          <w:highlight w:val="none"/>
        </w:rPr>
        <w:t>1.7 联络</w:t>
      </w:r>
      <w:bookmarkEnd w:id="141"/>
      <w:bookmarkEnd w:id="142"/>
      <w:bookmarkEnd w:id="143"/>
    </w:p>
    <w:p w14:paraId="6767870B">
      <w:pPr>
        <w:pStyle w:val="9"/>
        <w:spacing w:line="400" w:lineRule="exact"/>
        <w:ind w:firstLine="420" w:firstLineChars="200"/>
        <w:rPr>
          <w:rFonts w:ascii="宋体" w:hAnsi="宋体"/>
          <w:color w:val="auto"/>
          <w:highlight w:val="none"/>
        </w:rPr>
      </w:pPr>
      <w:r>
        <w:rPr>
          <w:rFonts w:hint="eastAsia" w:ascii="宋体" w:hAnsi="宋体"/>
          <w:color w:val="auto"/>
          <w:highlight w:val="none"/>
        </w:rPr>
        <w:t>1.7.1 与合同有关的通知、批准、证明、证书、指示、要求、请求、同意、意见、确定和决定等，均应采用书面形式。</w:t>
      </w:r>
    </w:p>
    <w:p w14:paraId="235E1809">
      <w:pPr>
        <w:pStyle w:val="9"/>
        <w:spacing w:line="400" w:lineRule="exact"/>
        <w:ind w:firstLine="420" w:firstLineChars="200"/>
        <w:rPr>
          <w:rFonts w:ascii="隶书" w:eastAsia="隶书"/>
          <w:color w:val="auto"/>
          <w:highlight w:val="none"/>
        </w:rPr>
      </w:pPr>
      <w:r>
        <w:rPr>
          <w:rFonts w:hint="eastAsia" w:ascii="宋体" w:hAnsi="宋体"/>
          <w:color w:val="auto"/>
          <w:highlight w:val="none"/>
        </w:rPr>
        <w:t>1.7.2 第1.7.1项中的通知、批准、证明、证书、指示、要求、请求、同意、意见、确定和决定等来往函件，均应在合同约定的期限内送达指定地点和接收人，并办理签收手续。</w:t>
      </w:r>
    </w:p>
    <w:p w14:paraId="5FC20E3C">
      <w:pPr>
        <w:pStyle w:val="51"/>
        <w:outlineLvl w:val="3"/>
        <w:rPr>
          <w:color w:val="auto"/>
          <w:highlight w:val="none"/>
        </w:rPr>
      </w:pPr>
      <w:bookmarkStart w:id="144" w:name="_Toc240967042"/>
      <w:bookmarkStart w:id="145" w:name="_Toc12206"/>
      <w:bookmarkStart w:id="146" w:name="_Toc16254"/>
      <w:r>
        <w:rPr>
          <w:rFonts w:hint="eastAsia"/>
          <w:color w:val="auto"/>
          <w:highlight w:val="none"/>
        </w:rPr>
        <w:t>1.8 转让</w:t>
      </w:r>
      <w:bookmarkEnd w:id="144"/>
      <w:bookmarkEnd w:id="145"/>
      <w:bookmarkEnd w:id="146"/>
    </w:p>
    <w:p w14:paraId="15FD162A">
      <w:pPr>
        <w:pStyle w:val="9"/>
        <w:spacing w:line="400" w:lineRule="exact"/>
        <w:ind w:firstLine="420" w:firstLineChars="200"/>
        <w:rPr>
          <w:rFonts w:ascii="宋体" w:hAnsi="宋体"/>
          <w:color w:val="auto"/>
          <w:highlight w:val="none"/>
        </w:rPr>
      </w:pPr>
      <w:r>
        <w:rPr>
          <w:rFonts w:hint="eastAsia" w:ascii="宋体" w:hAnsi="宋体"/>
          <w:color w:val="auto"/>
          <w:highlight w:val="none"/>
        </w:rPr>
        <w:t>除合同另有约定外，未经对方当事人同意，一方当事人不得将合同权利全部或部分转让给第三人，也不得全部或部分转移合同义务。</w:t>
      </w:r>
    </w:p>
    <w:p w14:paraId="73F7441B">
      <w:pPr>
        <w:pStyle w:val="51"/>
        <w:outlineLvl w:val="3"/>
        <w:rPr>
          <w:color w:val="auto"/>
          <w:highlight w:val="none"/>
        </w:rPr>
      </w:pPr>
      <w:bookmarkStart w:id="147" w:name="_Toc6359"/>
      <w:bookmarkStart w:id="148" w:name="_Toc240967043"/>
      <w:bookmarkStart w:id="149" w:name="_Toc9382"/>
      <w:r>
        <w:rPr>
          <w:rFonts w:hint="eastAsia"/>
          <w:color w:val="auto"/>
          <w:highlight w:val="none"/>
        </w:rPr>
        <w:t>1.9 严禁贿赂</w:t>
      </w:r>
      <w:bookmarkEnd w:id="147"/>
      <w:bookmarkEnd w:id="148"/>
      <w:bookmarkEnd w:id="149"/>
    </w:p>
    <w:p w14:paraId="514F455D">
      <w:pPr>
        <w:pStyle w:val="9"/>
        <w:spacing w:line="400" w:lineRule="exact"/>
        <w:ind w:firstLine="420" w:firstLineChars="200"/>
        <w:rPr>
          <w:rFonts w:ascii="宋体" w:hAnsi="宋体"/>
          <w:color w:val="auto"/>
          <w:highlight w:val="none"/>
        </w:rPr>
      </w:pPr>
      <w:r>
        <w:rPr>
          <w:rFonts w:hint="eastAsia" w:ascii="宋体" w:hAnsi="宋体"/>
          <w:color w:val="auto"/>
          <w:highlight w:val="none"/>
        </w:rPr>
        <w:t>合同双方当事人不得以贿赂或变相贿赂的方式，谋取不当利益或损害对方权益。因贿赂造成对方损失的，行为人应赔偿损失，并承担相应的法律责任。</w:t>
      </w:r>
    </w:p>
    <w:p w14:paraId="40ED68AD">
      <w:pPr>
        <w:pStyle w:val="51"/>
        <w:outlineLvl w:val="3"/>
        <w:rPr>
          <w:color w:val="auto"/>
          <w:highlight w:val="none"/>
        </w:rPr>
      </w:pPr>
      <w:bookmarkStart w:id="150" w:name="_Toc3191"/>
      <w:bookmarkStart w:id="151" w:name="_Toc240967044"/>
      <w:bookmarkStart w:id="152" w:name="_Toc31084"/>
      <w:r>
        <w:rPr>
          <w:rFonts w:hint="eastAsia"/>
          <w:color w:val="auto"/>
          <w:highlight w:val="none"/>
        </w:rPr>
        <w:t>1.10 化石、文物</w:t>
      </w:r>
      <w:bookmarkEnd w:id="150"/>
      <w:bookmarkEnd w:id="151"/>
      <w:bookmarkEnd w:id="152"/>
    </w:p>
    <w:p w14:paraId="46F5216D">
      <w:pPr>
        <w:pStyle w:val="9"/>
        <w:spacing w:line="400" w:lineRule="exact"/>
        <w:ind w:firstLine="420" w:firstLineChars="200"/>
        <w:rPr>
          <w:rFonts w:ascii="宋体" w:hAnsi="宋体"/>
          <w:color w:val="auto"/>
          <w:highlight w:val="none"/>
        </w:rPr>
      </w:pPr>
      <w:r>
        <w:rPr>
          <w:rFonts w:hint="eastAsia" w:ascii="宋体" w:hAnsi="宋体"/>
          <w:color w:val="auto"/>
          <w:highlight w:val="none"/>
        </w:rPr>
        <w:t>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14:paraId="4CDE9A71">
      <w:pPr>
        <w:pStyle w:val="9"/>
        <w:spacing w:line="400" w:lineRule="exact"/>
        <w:ind w:firstLine="420" w:firstLineChars="200"/>
        <w:rPr>
          <w:rFonts w:ascii="隶书" w:eastAsia="隶书"/>
          <w:color w:val="auto"/>
          <w:highlight w:val="none"/>
        </w:rPr>
      </w:pPr>
      <w:r>
        <w:rPr>
          <w:rFonts w:hint="eastAsia" w:ascii="宋体" w:hAnsi="宋体"/>
          <w:color w:val="auto"/>
          <w:highlight w:val="none"/>
        </w:rPr>
        <w:t>1.10.2 承包人发现文物后不及时报告或隐瞒不报，致使文物丢失或损坏的，应赔偿损失，并承担相应的法律责任。</w:t>
      </w:r>
    </w:p>
    <w:p w14:paraId="58C291AD">
      <w:pPr>
        <w:pStyle w:val="51"/>
        <w:outlineLvl w:val="3"/>
        <w:rPr>
          <w:color w:val="auto"/>
          <w:highlight w:val="none"/>
        </w:rPr>
      </w:pPr>
      <w:bookmarkStart w:id="153" w:name="_Toc20809"/>
      <w:bookmarkStart w:id="154" w:name="_Toc240967045"/>
      <w:bookmarkStart w:id="155" w:name="_Toc20605"/>
      <w:r>
        <w:rPr>
          <w:rFonts w:hint="eastAsia"/>
          <w:color w:val="auto"/>
          <w:highlight w:val="none"/>
        </w:rPr>
        <w:t>1.11 专利技术</w:t>
      </w:r>
      <w:bookmarkEnd w:id="153"/>
      <w:bookmarkEnd w:id="154"/>
      <w:bookmarkEnd w:id="155"/>
    </w:p>
    <w:p w14:paraId="1DD2F31D">
      <w:pPr>
        <w:pStyle w:val="9"/>
        <w:spacing w:line="400" w:lineRule="exact"/>
        <w:ind w:firstLine="420" w:firstLineChars="200"/>
        <w:rPr>
          <w:rFonts w:ascii="宋体" w:hAnsi="宋体"/>
          <w:color w:val="auto"/>
          <w:highlight w:val="none"/>
        </w:rPr>
      </w:pPr>
      <w:r>
        <w:rPr>
          <w:rFonts w:hint="eastAsia" w:ascii="宋体" w:hAnsi="宋体"/>
          <w:color w:val="auto"/>
          <w:highlight w:val="none"/>
        </w:rPr>
        <w:t>1.11.1 承包人在使用任何材料、承包人设备、工程设备或采用施工工艺时，因侵犯专利权或其他知识产权所引起的责任，由承包人承担，但由于遵照发包人提供的设计或技术标准和要求引起的除外。</w:t>
      </w:r>
    </w:p>
    <w:p w14:paraId="6339C517">
      <w:pPr>
        <w:pStyle w:val="9"/>
        <w:spacing w:line="400" w:lineRule="exact"/>
        <w:ind w:firstLine="420" w:firstLineChars="200"/>
        <w:rPr>
          <w:rFonts w:ascii="宋体" w:hAnsi="宋体"/>
          <w:color w:val="auto"/>
          <w:highlight w:val="none"/>
        </w:rPr>
      </w:pPr>
      <w:r>
        <w:rPr>
          <w:rFonts w:hint="eastAsia" w:ascii="宋体" w:hAnsi="宋体"/>
          <w:color w:val="auto"/>
          <w:highlight w:val="none"/>
        </w:rPr>
        <w:t>1.11.2 承包人在投标文件中采用专利技术的，专利技术的使用费包含在投标报价内。</w:t>
      </w:r>
    </w:p>
    <w:p w14:paraId="5CFC9FE9">
      <w:pPr>
        <w:pStyle w:val="9"/>
        <w:spacing w:line="400" w:lineRule="exact"/>
        <w:ind w:firstLine="420" w:firstLineChars="200"/>
        <w:rPr>
          <w:rFonts w:ascii="隶书" w:eastAsia="隶书"/>
          <w:color w:val="auto"/>
          <w:highlight w:val="none"/>
        </w:rPr>
      </w:pPr>
      <w:r>
        <w:rPr>
          <w:rFonts w:hint="eastAsia" w:ascii="宋体" w:hAnsi="宋体"/>
          <w:color w:val="auto"/>
          <w:highlight w:val="none"/>
        </w:rPr>
        <w:t>1.11.3 承包人的技术秘密和声明需要保密的资料和信息，发包人和监理人不得为合同以外的目的泄露给他人。</w:t>
      </w:r>
    </w:p>
    <w:p w14:paraId="09EF6292">
      <w:pPr>
        <w:pStyle w:val="51"/>
        <w:outlineLvl w:val="3"/>
        <w:rPr>
          <w:color w:val="auto"/>
          <w:highlight w:val="none"/>
        </w:rPr>
      </w:pPr>
      <w:bookmarkStart w:id="156" w:name="_Toc240967046"/>
      <w:bookmarkStart w:id="157" w:name="_Toc25802"/>
      <w:bookmarkStart w:id="158" w:name="_Toc23734"/>
      <w:r>
        <w:rPr>
          <w:rFonts w:hint="eastAsia"/>
          <w:color w:val="auto"/>
          <w:highlight w:val="none"/>
        </w:rPr>
        <w:t>1.12 图纸和文件的保密</w:t>
      </w:r>
      <w:bookmarkEnd w:id="156"/>
      <w:bookmarkEnd w:id="157"/>
      <w:bookmarkEnd w:id="158"/>
    </w:p>
    <w:p w14:paraId="01035205">
      <w:pPr>
        <w:pStyle w:val="9"/>
        <w:spacing w:line="400" w:lineRule="exact"/>
        <w:ind w:firstLine="420" w:firstLineChars="200"/>
        <w:rPr>
          <w:rFonts w:ascii="宋体" w:hAnsi="宋体"/>
          <w:color w:val="auto"/>
          <w:highlight w:val="none"/>
        </w:rPr>
      </w:pPr>
      <w:r>
        <w:rPr>
          <w:rFonts w:hint="eastAsia" w:ascii="宋体" w:hAnsi="宋体"/>
          <w:color w:val="auto"/>
          <w:highlight w:val="none"/>
        </w:rPr>
        <w:t>1.12.1 发包人提供的图纸和文件，未经发包人同意，承包人不得为合同以外的目的泄露给他人或公开发表与引用。</w:t>
      </w:r>
    </w:p>
    <w:p w14:paraId="282869EF">
      <w:pPr>
        <w:pStyle w:val="9"/>
        <w:spacing w:line="400" w:lineRule="exact"/>
        <w:ind w:firstLine="420" w:firstLineChars="200"/>
        <w:rPr>
          <w:rFonts w:ascii="隶书" w:eastAsia="隶书"/>
          <w:color w:val="auto"/>
          <w:highlight w:val="none"/>
        </w:rPr>
      </w:pPr>
      <w:r>
        <w:rPr>
          <w:rFonts w:hint="eastAsia" w:ascii="宋体" w:hAnsi="宋体"/>
          <w:color w:val="auto"/>
          <w:highlight w:val="none"/>
        </w:rPr>
        <w:t>1.12.2 承包人提供的文件，未经承包人同意，发包人和监理人不得为合同以外的目的泄露给他人或公开发表与引用。</w:t>
      </w:r>
    </w:p>
    <w:p w14:paraId="376F4541">
      <w:pPr>
        <w:pStyle w:val="52"/>
        <w:outlineLvl w:val="2"/>
        <w:rPr>
          <w:color w:val="auto"/>
          <w:highlight w:val="none"/>
        </w:rPr>
      </w:pPr>
      <w:bookmarkStart w:id="159" w:name="_Toc3990"/>
      <w:bookmarkStart w:id="160" w:name="_Toc178"/>
      <w:bookmarkStart w:id="161" w:name="_Toc240967047"/>
      <w:r>
        <w:rPr>
          <w:rFonts w:hint="eastAsia"/>
          <w:color w:val="auto"/>
          <w:highlight w:val="none"/>
        </w:rPr>
        <w:t>2. 发包人义务</w:t>
      </w:r>
      <w:bookmarkEnd w:id="159"/>
      <w:bookmarkEnd w:id="160"/>
      <w:bookmarkEnd w:id="161"/>
    </w:p>
    <w:p w14:paraId="36AFA819">
      <w:pPr>
        <w:pStyle w:val="51"/>
        <w:outlineLvl w:val="3"/>
        <w:rPr>
          <w:color w:val="auto"/>
          <w:highlight w:val="none"/>
        </w:rPr>
      </w:pPr>
      <w:bookmarkStart w:id="162" w:name="_Toc240967048"/>
      <w:bookmarkStart w:id="163" w:name="_Toc1573"/>
      <w:bookmarkStart w:id="164" w:name="_Toc31627"/>
      <w:r>
        <w:rPr>
          <w:rFonts w:hint="eastAsia"/>
          <w:color w:val="auto"/>
          <w:highlight w:val="none"/>
        </w:rPr>
        <w:t>2.1 遵守法律</w:t>
      </w:r>
      <w:bookmarkEnd w:id="162"/>
      <w:bookmarkEnd w:id="163"/>
      <w:bookmarkEnd w:id="164"/>
    </w:p>
    <w:p w14:paraId="09B9D600">
      <w:pPr>
        <w:pStyle w:val="9"/>
        <w:spacing w:line="400" w:lineRule="exact"/>
        <w:ind w:firstLine="420" w:firstLineChars="200"/>
        <w:rPr>
          <w:rFonts w:ascii="宋体" w:hAnsi="宋体"/>
          <w:color w:val="auto"/>
          <w:highlight w:val="none"/>
        </w:rPr>
      </w:pPr>
      <w:r>
        <w:rPr>
          <w:rFonts w:hint="eastAsia" w:ascii="宋体" w:hAnsi="宋体"/>
          <w:color w:val="auto"/>
          <w:highlight w:val="none"/>
        </w:rPr>
        <w:t>发包人在履行合同过程中应遵守法律，并保证承包人免于承担因发包人违反法律而引起的任何责任。</w:t>
      </w:r>
    </w:p>
    <w:p w14:paraId="324ECCBE">
      <w:pPr>
        <w:pStyle w:val="51"/>
        <w:outlineLvl w:val="3"/>
        <w:rPr>
          <w:color w:val="auto"/>
          <w:highlight w:val="none"/>
        </w:rPr>
      </w:pPr>
      <w:bookmarkStart w:id="165" w:name="_Toc18510"/>
      <w:bookmarkStart w:id="166" w:name="_Toc5384"/>
      <w:bookmarkStart w:id="167" w:name="_Toc240967049"/>
      <w:r>
        <w:rPr>
          <w:rFonts w:hint="eastAsia"/>
          <w:color w:val="auto"/>
          <w:highlight w:val="none"/>
        </w:rPr>
        <w:t>2.2 发出开工通知</w:t>
      </w:r>
      <w:bookmarkEnd w:id="165"/>
      <w:bookmarkEnd w:id="166"/>
      <w:bookmarkEnd w:id="167"/>
    </w:p>
    <w:p w14:paraId="22706889">
      <w:pPr>
        <w:pStyle w:val="9"/>
        <w:spacing w:line="400" w:lineRule="exact"/>
        <w:ind w:firstLine="420" w:firstLineChars="200"/>
        <w:rPr>
          <w:rFonts w:hint="eastAsia" w:ascii="宋体" w:hAnsi="宋体" w:eastAsia="Times New Roman" w:cs="Times New Roman"/>
          <w:color w:val="auto"/>
          <w:highlight w:val="none"/>
        </w:rPr>
      </w:pPr>
      <w:r>
        <w:rPr>
          <w:rFonts w:hint="eastAsia" w:ascii="宋体" w:hAnsi="宋体" w:eastAsia="Times New Roman" w:cs="Times New Roman"/>
          <w:color w:val="auto"/>
          <w:highlight w:val="none"/>
        </w:rPr>
        <w:t>发包人应委托监理人按第11.1款的约定向承包人发出开工通知。</w:t>
      </w:r>
    </w:p>
    <w:p w14:paraId="786D3483">
      <w:pPr>
        <w:pStyle w:val="51"/>
        <w:outlineLvl w:val="3"/>
        <w:rPr>
          <w:color w:val="auto"/>
          <w:highlight w:val="none"/>
        </w:rPr>
      </w:pPr>
      <w:bookmarkStart w:id="168" w:name="_Toc28758"/>
      <w:bookmarkStart w:id="169" w:name="_Toc28429"/>
      <w:bookmarkStart w:id="170" w:name="_Toc240967050"/>
      <w:r>
        <w:rPr>
          <w:rFonts w:hint="eastAsia"/>
          <w:color w:val="auto"/>
          <w:highlight w:val="none"/>
        </w:rPr>
        <w:t>2.3 提供施工场地</w:t>
      </w:r>
      <w:bookmarkEnd w:id="168"/>
      <w:bookmarkEnd w:id="169"/>
      <w:bookmarkEnd w:id="170"/>
    </w:p>
    <w:p w14:paraId="4C6B6854">
      <w:pPr>
        <w:pStyle w:val="9"/>
        <w:spacing w:line="400" w:lineRule="exact"/>
        <w:ind w:firstLine="420" w:firstLineChars="200"/>
        <w:rPr>
          <w:rFonts w:ascii="宋体" w:hAnsi="宋体"/>
          <w:color w:val="auto"/>
          <w:highlight w:val="none"/>
        </w:rPr>
      </w:pPr>
      <w:r>
        <w:rPr>
          <w:rFonts w:hint="eastAsia" w:ascii="宋体" w:hAnsi="宋体"/>
          <w:color w:val="auto"/>
          <w:highlight w:val="none"/>
        </w:rPr>
        <w:t>发包人应按专用合同条款约定向承包人提供施工场地，以及施工场地内地下管线和地下设施等有关资料，并保证资料的真实、准确、完整。</w:t>
      </w:r>
    </w:p>
    <w:p w14:paraId="34E53CF3">
      <w:pPr>
        <w:pStyle w:val="51"/>
        <w:outlineLvl w:val="3"/>
        <w:rPr>
          <w:color w:val="auto"/>
          <w:highlight w:val="none"/>
        </w:rPr>
      </w:pPr>
      <w:bookmarkStart w:id="171" w:name="_Toc22250"/>
      <w:bookmarkStart w:id="172" w:name="_Toc21881"/>
      <w:bookmarkStart w:id="173" w:name="_Toc240967051"/>
      <w:r>
        <w:rPr>
          <w:rFonts w:hint="eastAsia"/>
          <w:color w:val="auto"/>
          <w:highlight w:val="none"/>
        </w:rPr>
        <w:t>2.4 协助承包人办理证件和批件</w:t>
      </w:r>
      <w:bookmarkEnd w:id="171"/>
      <w:bookmarkEnd w:id="172"/>
      <w:bookmarkEnd w:id="173"/>
    </w:p>
    <w:p w14:paraId="779752B5">
      <w:pPr>
        <w:pStyle w:val="9"/>
        <w:spacing w:line="400" w:lineRule="exact"/>
        <w:ind w:firstLine="420" w:firstLineChars="200"/>
        <w:rPr>
          <w:rFonts w:ascii="宋体" w:hAnsi="宋体"/>
          <w:color w:val="auto"/>
          <w:highlight w:val="none"/>
        </w:rPr>
      </w:pPr>
      <w:r>
        <w:rPr>
          <w:rFonts w:hint="eastAsia" w:ascii="宋体" w:hAnsi="宋体"/>
          <w:color w:val="auto"/>
          <w:highlight w:val="none"/>
        </w:rPr>
        <w:t>发包人应协助承包人办理法律规定的有关施工证件和批件。</w:t>
      </w:r>
    </w:p>
    <w:p w14:paraId="164C7EB8">
      <w:pPr>
        <w:pStyle w:val="51"/>
        <w:outlineLvl w:val="3"/>
        <w:rPr>
          <w:color w:val="auto"/>
          <w:highlight w:val="none"/>
        </w:rPr>
      </w:pPr>
      <w:bookmarkStart w:id="174" w:name="_Toc240967052"/>
      <w:bookmarkStart w:id="175" w:name="_Toc21534"/>
      <w:bookmarkStart w:id="176" w:name="_Toc16754"/>
      <w:r>
        <w:rPr>
          <w:rFonts w:hint="eastAsia"/>
          <w:color w:val="auto"/>
          <w:highlight w:val="none"/>
        </w:rPr>
        <w:t>2.5 组织设计交底</w:t>
      </w:r>
      <w:bookmarkEnd w:id="174"/>
      <w:bookmarkEnd w:id="175"/>
      <w:bookmarkEnd w:id="176"/>
    </w:p>
    <w:p w14:paraId="48F921DC">
      <w:pPr>
        <w:pStyle w:val="9"/>
        <w:spacing w:line="400" w:lineRule="exact"/>
        <w:ind w:firstLine="420" w:firstLineChars="200"/>
        <w:rPr>
          <w:rFonts w:ascii="宋体" w:hAnsi="宋体"/>
          <w:color w:val="auto"/>
          <w:highlight w:val="none"/>
        </w:rPr>
      </w:pPr>
      <w:r>
        <w:rPr>
          <w:rFonts w:hint="eastAsia" w:ascii="宋体" w:hAnsi="宋体"/>
          <w:color w:val="auto"/>
          <w:highlight w:val="none"/>
        </w:rPr>
        <w:t>发包人应根据合同进度计划，组织设计单位向承包人进行设计交底。</w:t>
      </w:r>
    </w:p>
    <w:p w14:paraId="6DFE33ED">
      <w:pPr>
        <w:pStyle w:val="51"/>
        <w:outlineLvl w:val="3"/>
        <w:rPr>
          <w:color w:val="auto"/>
          <w:highlight w:val="none"/>
        </w:rPr>
      </w:pPr>
      <w:bookmarkStart w:id="177" w:name="_Toc14381"/>
      <w:bookmarkStart w:id="178" w:name="_Toc21617"/>
      <w:bookmarkStart w:id="179" w:name="_Toc240967053"/>
      <w:r>
        <w:rPr>
          <w:rFonts w:hint="eastAsia"/>
          <w:color w:val="auto"/>
          <w:highlight w:val="none"/>
        </w:rPr>
        <w:t>2.6 支付合同价款</w:t>
      </w:r>
      <w:bookmarkEnd w:id="177"/>
      <w:bookmarkEnd w:id="178"/>
      <w:bookmarkEnd w:id="179"/>
    </w:p>
    <w:p w14:paraId="165B388B">
      <w:pPr>
        <w:pStyle w:val="9"/>
        <w:spacing w:line="400" w:lineRule="exact"/>
        <w:ind w:firstLine="420" w:firstLineChars="200"/>
        <w:rPr>
          <w:rFonts w:ascii="宋体" w:hAnsi="宋体"/>
          <w:color w:val="auto"/>
          <w:highlight w:val="none"/>
        </w:rPr>
      </w:pPr>
      <w:r>
        <w:rPr>
          <w:rFonts w:hint="eastAsia" w:ascii="宋体" w:hAnsi="宋体"/>
          <w:color w:val="auto"/>
          <w:highlight w:val="none"/>
        </w:rPr>
        <w:t>发包人应按合同约定向承包人及时支付合同价款。</w:t>
      </w:r>
    </w:p>
    <w:p w14:paraId="4187EBCB">
      <w:pPr>
        <w:pStyle w:val="51"/>
        <w:outlineLvl w:val="3"/>
        <w:rPr>
          <w:color w:val="auto"/>
          <w:highlight w:val="none"/>
        </w:rPr>
      </w:pPr>
      <w:bookmarkStart w:id="180" w:name="_Toc6903"/>
      <w:bookmarkStart w:id="181" w:name="_Toc2910"/>
      <w:bookmarkStart w:id="182" w:name="_Toc240967054"/>
      <w:r>
        <w:rPr>
          <w:rFonts w:hint="eastAsia"/>
          <w:color w:val="auto"/>
          <w:highlight w:val="none"/>
        </w:rPr>
        <w:t>2.7 组织竣工验收</w:t>
      </w:r>
      <w:bookmarkEnd w:id="180"/>
      <w:bookmarkEnd w:id="181"/>
      <w:bookmarkEnd w:id="182"/>
    </w:p>
    <w:p w14:paraId="5473FED7">
      <w:pPr>
        <w:pStyle w:val="9"/>
        <w:spacing w:line="400" w:lineRule="exact"/>
        <w:ind w:firstLine="420" w:firstLineChars="200"/>
        <w:rPr>
          <w:rFonts w:ascii="宋体" w:hAnsi="宋体"/>
          <w:color w:val="auto"/>
          <w:highlight w:val="none"/>
        </w:rPr>
      </w:pPr>
      <w:r>
        <w:rPr>
          <w:rFonts w:hint="eastAsia" w:ascii="宋体" w:hAnsi="宋体"/>
          <w:color w:val="auto"/>
          <w:highlight w:val="none"/>
        </w:rPr>
        <w:t>发包人应按合同约定及时组织竣工验收。</w:t>
      </w:r>
    </w:p>
    <w:p w14:paraId="4FFF86F2">
      <w:pPr>
        <w:pStyle w:val="51"/>
        <w:outlineLvl w:val="3"/>
        <w:rPr>
          <w:color w:val="auto"/>
          <w:highlight w:val="none"/>
        </w:rPr>
      </w:pPr>
      <w:bookmarkStart w:id="183" w:name="_Toc240967055"/>
      <w:bookmarkStart w:id="184" w:name="_Toc30934"/>
      <w:bookmarkStart w:id="185" w:name="_Toc8153"/>
      <w:r>
        <w:rPr>
          <w:rFonts w:hint="eastAsia"/>
          <w:color w:val="auto"/>
          <w:highlight w:val="none"/>
        </w:rPr>
        <w:t>2.8 其他义务</w:t>
      </w:r>
      <w:bookmarkEnd w:id="183"/>
      <w:bookmarkEnd w:id="184"/>
      <w:bookmarkEnd w:id="185"/>
    </w:p>
    <w:p w14:paraId="0B569F86">
      <w:pPr>
        <w:pStyle w:val="9"/>
        <w:spacing w:line="400" w:lineRule="exact"/>
        <w:ind w:firstLine="420" w:firstLineChars="200"/>
        <w:rPr>
          <w:rFonts w:ascii="宋体" w:hAnsi="宋体"/>
          <w:color w:val="auto"/>
          <w:highlight w:val="none"/>
        </w:rPr>
      </w:pPr>
      <w:r>
        <w:rPr>
          <w:rFonts w:hint="eastAsia" w:ascii="宋体" w:hAnsi="宋体"/>
          <w:color w:val="auto"/>
          <w:highlight w:val="none"/>
        </w:rPr>
        <w:t>发包人应履行合同约定的其他义务。</w:t>
      </w:r>
    </w:p>
    <w:p w14:paraId="60B7E2F4">
      <w:pPr>
        <w:pStyle w:val="52"/>
        <w:outlineLvl w:val="2"/>
        <w:rPr>
          <w:color w:val="auto"/>
          <w:highlight w:val="none"/>
        </w:rPr>
      </w:pPr>
      <w:bookmarkStart w:id="186" w:name="_Toc17123"/>
      <w:bookmarkStart w:id="187" w:name="_Toc240967056"/>
      <w:bookmarkStart w:id="188" w:name="_Toc3043"/>
      <w:r>
        <w:rPr>
          <w:rFonts w:hint="eastAsia"/>
          <w:color w:val="auto"/>
          <w:highlight w:val="none"/>
        </w:rPr>
        <w:t>3. 监理人</w:t>
      </w:r>
      <w:bookmarkEnd w:id="186"/>
      <w:bookmarkEnd w:id="187"/>
      <w:bookmarkEnd w:id="188"/>
    </w:p>
    <w:p w14:paraId="16EA2995">
      <w:pPr>
        <w:pStyle w:val="51"/>
        <w:outlineLvl w:val="3"/>
        <w:rPr>
          <w:color w:val="auto"/>
          <w:highlight w:val="none"/>
        </w:rPr>
      </w:pPr>
      <w:bookmarkStart w:id="189" w:name="_Toc22626"/>
      <w:bookmarkStart w:id="190" w:name="_Toc18898"/>
      <w:bookmarkStart w:id="191" w:name="_Toc240967057"/>
      <w:r>
        <w:rPr>
          <w:rFonts w:hint="eastAsia"/>
          <w:color w:val="auto"/>
          <w:highlight w:val="none"/>
        </w:rPr>
        <w:t>3.1 监理人的职责和权力</w:t>
      </w:r>
      <w:bookmarkEnd w:id="189"/>
      <w:bookmarkEnd w:id="190"/>
      <w:bookmarkEnd w:id="191"/>
    </w:p>
    <w:p w14:paraId="0C12837D">
      <w:pPr>
        <w:pStyle w:val="9"/>
        <w:spacing w:line="400" w:lineRule="exact"/>
        <w:ind w:firstLine="420" w:firstLineChars="200"/>
        <w:rPr>
          <w:rFonts w:ascii="宋体" w:hAnsi="宋体"/>
          <w:color w:val="auto"/>
          <w:highlight w:val="none"/>
        </w:rPr>
      </w:pPr>
      <w:r>
        <w:rPr>
          <w:rFonts w:hint="eastAsia" w:ascii="宋体" w:hAnsi="宋体"/>
          <w:color w:val="auto"/>
          <w:highlight w:val="none"/>
        </w:rPr>
        <w:t>3.1.1 监理人受发包人委托，享有合同约定的权力。监理人在行使某项权力前需要经发包人事先批准而通用合同条款没有指明的，应在专用合同条款中指明。</w:t>
      </w:r>
    </w:p>
    <w:p w14:paraId="3AD70B51">
      <w:pPr>
        <w:pStyle w:val="9"/>
        <w:spacing w:line="400" w:lineRule="exact"/>
        <w:ind w:firstLine="420" w:firstLineChars="200"/>
        <w:rPr>
          <w:rFonts w:ascii="宋体" w:hAnsi="宋体"/>
          <w:color w:val="auto"/>
          <w:highlight w:val="none"/>
        </w:rPr>
      </w:pPr>
      <w:r>
        <w:rPr>
          <w:rFonts w:hint="eastAsia" w:ascii="宋体" w:hAnsi="宋体"/>
          <w:color w:val="auto"/>
          <w:highlight w:val="none"/>
        </w:rPr>
        <w:t>3.1.2 监理人发出的任何指示应视为已得到发包人的批准，但监理人无权免除或变更合同约定的发包人和承包人的权利、义务和责任。</w:t>
      </w:r>
    </w:p>
    <w:p w14:paraId="61AFCED6">
      <w:pPr>
        <w:pStyle w:val="9"/>
        <w:spacing w:line="400" w:lineRule="exact"/>
        <w:ind w:firstLine="420" w:firstLineChars="200"/>
        <w:rPr>
          <w:rFonts w:ascii="隶书" w:eastAsia="隶书"/>
          <w:color w:val="auto"/>
          <w:highlight w:val="none"/>
        </w:rPr>
      </w:pPr>
      <w:r>
        <w:rPr>
          <w:rFonts w:hint="eastAsia" w:ascii="宋体" w:hAnsi="宋体"/>
          <w:color w:val="auto"/>
          <w:highlight w:val="none"/>
        </w:rPr>
        <w:t>3.1.3 合同约定应由承包人承担的义务和责任，不因监理人对承包人提交文件的审查或批准，对工程、材料和设备的检查和检验，以及为实施监理作出的指示等职务行为而减轻或解除。</w:t>
      </w:r>
    </w:p>
    <w:p w14:paraId="5854D4D5">
      <w:pPr>
        <w:pStyle w:val="51"/>
        <w:outlineLvl w:val="3"/>
        <w:rPr>
          <w:color w:val="auto"/>
          <w:highlight w:val="none"/>
        </w:rPr>
      </w:pPr>
      <w:bookmarkStart w:id="192" w:name="_Toc8446"/>
      <w:bookmarkStart w:id="193" w:name="_Toc240967058"/>
      <w:bookmarkStart w:id="194" w:name="_Toc20084"/>
      <w:r>
        <w:rPr>
          <w:rFonts w:hint="eastAsia"/>
          <w:color w:val="auto"/>
          <w:highlight w:val="none"/>
        </w:rPr>
        <w:t>3.2 总监理工程师</w:t>
      </w:r>
      <w:bookmarkEnd w:id="192"/>
      <w:bookmarkEnd w:id="193"/>
      <w:bookmarkEnd w:id="194"/>
    </w:p>
    <w:p w14:paraId="0F82A425">
      <w:pPr>
        <w:pStyle w:val="9"/>
        <w:spacing w:line="400" w:lineRule="exact"/>
        <w:ind w:firstLine="420" w:firstLineChars="200"/>
        <w:rPr>
          <w:rFonts w:ascii="宋体" w:hAnsi="宋体"/>
          <w:color w:val="auto"/>
          <w:highlight w:val="none"/>
        </w:rPr>
      </w:pPr>
      <w:r>
        <w:rPr>
          <w:rFonts w:hint="eastAsia" w:ascii="宋体" w:hAnsi="宋体"/>
          <w:color w:val="auto"/>
          <w:highlight w:val="none"/>
        </w:rPr>
        <w:t>发包人应在发出开工通知前将总监理工程师的任命通知承包人。总监理工程师更换时，应在调离14天前通知承包人。总监理工程师短期离开施工场地的，应委派代表代行其职责，并通知承包人。</w:t>
      </w:r>
    </w:p>
    <w:p w14:paraId="087CE026">
      <w:pPr>
        <w:pStyle w:val="51"/>
        <w:outlineLvl w:val="3"/>
        <w:rPr>
          <w:color w:val="auto"/>
          <w:highlight w:val="none"/>
        </w:rPr>
      </w:pPr>
      <w:bookmarkStart w:id="195" w:name="_Toc23085"/>
      <w:bookmarkStart w:id="196" w:name="_Toc240967059"/>
      <w:bookmarkStart w:id="197" w:name="_Toc23819"/>
      <w:r>
        <w:rPr>
          <w:rFonts w:hint="eastAsia"/>
          <w:color w:val="auto"/>
          <w:highlight w:val="none"/>
        </w:rPr>
        <w:t>3.3 监理人员</w:t>
      </w:r>
      <w:bookmarkEnd w:id="195"/>
      <w:bookmarkEnd w:id="196"/>
      <w:bookmarkEnd w:id="197"/>
    </w:p>
    <w:p w14:paraId="2CC4A6B1">
      <w:pPr>
        <w:pStyle w:val="9"/>
        <w:spacing w:line="400" w:lineRule="exact"/>
        <w:ind w:firstLine="420" w:firstLineChars="200"/>
        <w:rPr>
          <w:rFonts w:ascii="宋体" w:hAnsi="宋体"/>
          <w:color w:val="auto"/>
          <w:highlight w:val="none"/>
        </w:rPr>
      </w:pPr>
      <w:r>
        <w:rPr>
          <w:rFonts w:hint="eastAsia" w:ascii="宋体" w:hAnsi="宋体"/>
          <w:color w:val="auto"/>
          <w:highlight w:val="none"/>
        </w:rPr>
        <w:t>3.3.1 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p>
    <w:p w14:paraId="70D4DD74">
      <w:pPr>
        <w:pStyle w:val="9"/>
        <w:spacing w:line="400" w:lineRule="exact"/>
        <w:ind w:firstLine="420" w:firstLineChars="200"/>
        <w:rPr>
          <w:rFonts w:ascii="宋体" w:hAnsi="宋体"/>
          <w:color w:val="auto"/>
          <w:highlight w:val="none"/>
        </w:rPr>
      </w:pPr>
      <w:r>
        <w:rPr>
          <w:rFonts w:hint="eastAsia" w:ascii="宋体" w:hAnsi="宋体"/>
          <w:color w:val="auto"/>
          <w:highlight w:val="none"/>
        </w:rPr>
        <w:t>3.3.2 监理人员对承包人的任何工作、工程或其采用的材料和工程设备未在约定的或合理的期限内提出否定意见的，视为已获批准，但不影响监理人在以后拒绝该项工作、工程、材料或工程设备的权利。</w:t>
      </w:r>
    </w:p>
    <w:p w14:paraId="533D748C">
      <w:pPr>
        <w:pStyle w:val="9"/>
        <w:spacing w:line="400" w:lineRule="exact"/>
        <w:ind w:firstLine="420" w:firstLineChars="200"/>
        <w:rPr>
          <w:rFonts w:ascii="宋体" w:hAnsi="宋体"/>
          <w:color w:val="auto"/>
          <w:highlight w:val="none"/>
        </w:rPr>
      </w:pPr>
      <w:r>
        <w:rPr>
          <w:rFonts w:hint="eastAsia" w:ascii="宋体" w:hAnsi="宋体"/>
          <w:color w:val="auto"/>
          <w:highlight w:val="none"/>
        </w:rPr>
        <w:t>3.3.3 承包人对总监理工程师授权的监理人员发出的指示有疑问的，可向总监理工程师提出书面异议，总监理工程师应在48小时内对该指示予以确认、更改或撤销。</w:t>
      </w:r>
    </w:p>
    <w:p w14:paraId="5390EC9C">
      <w:pPr>
        <w:pStyle w:val="9"/>
        <w:spacing w:line="400" w:lineRule="exact"/>
        <w:ind w:firstLine="420" w:firstLineChars="200"/>
        <w:rPr>
          <w:rFonts w:ascii="隶书" w:eastAsia="隶书"/>
          <w:color w:val="auto"/>
          <w:highlight w:val="none"/>
        </w:rPr>
      </w:pPr>
      <w:r>
        <w:rPr>
          <w:rFonts w:hint="eastAsia" w:ascii="宋体" w:hAnsi="宋体"/>
          <w:color w:val="auto"/>
          <w:highlight w:val="none"/>
        </w:rPr>
        <w:t>3.3.4 除专用合同条款另有约定外，总监理工程师不应将第3.5款约定应由总监理工程师作出确定的权力授权或委托给其他监理人员。</w:t>
      </w:r>
    </w:p>
    <w:p w14:paraId="19E45877">
      <w:pPr>
        <w:pStyle w:val="51"/>
        <w:outlineLvl w:val="3"/>
        <w:rPr>
          <w:color w:val="auto"/>
          <w:highlight w:val="none"/>
        </w:rPr>
      </w:pPr>
      <w:bookmarkStart w:id="198" w:name="_Toc240967060"/>
      <w:bookmarkStart w:id="199" w:name="_Toc11094"/>
      <w:bookmarkStart w:id="200" w:name="_Toc5044"/>
      <w:r>
        <w:rPr>
          <w:rFonts w:hint="eastAsia"/>
          <w:color w:val="auto"/>
          <w:highlight w:val="none"/>
        </w:rPr>
        <w:t>3.4 监理人的指示</w:t>
      </w:r>
      <w:bookmarkEnd w:id="198"/>
      <w:bookmarkEnd w:id="199"/>
      <w:bookmarkEnd w:id="200"/>
    </w:p>
    <w:p w14:paraId="4872C178">
      <w:pPr>
        <w:pStyle w:val="9"/>
        <w:spacing w:line="400" w:lineRule="exact"/>
        <w:ind w:firstLine="420" w:firstLineChars="200"/>
        <w:rPr>
          <w:rFonts w:ascii="宋体" w:hAnsi="宋体"/>
          <w:color w:val="auto"/>
          <w:highlight w:val="none"/>
        </w:rPr>
      </w:pPr>
      <w:r>
        <w:rPr>
          <w:rFonts w:hint="eastAsia" w:ascii="宋体" w:hAnsi="宋体"/>
          <w:color w:val="auto"/>
          <w:highlight w:val="none"/>
        </w:rPr>
        <w:t>3.4.1 监理人应按第3.1款的约定向承包人发出指示，监理人的指示应盖有监理人授权的施工场地机构章，并由总监理工程师或总监理工程师按第3.3.1项约定授权的监理人员签字。</w:t>
      </w:r>
    </w:p>
    <w:p w14:paraId="3B1FCFB6">
      <w:pPr>
        <w:pStyle w:val="9"/>
        <w:spacing w:line="400" w:lineRule="exact"/>
        <w:ind w:firstLine="420" w:firstLineChars="200"/>
        <w:rPr>
          <w:rFonts w:ascii="宋体" w:hAnsi="宋体"/>
          <w:color w:val="auto"/>
          <w:highlight w:val="none"/>
        </w:rPr>
      </w:pPr>
      <w:r>
        <w:rPr>
          <w:rFonts w:hint="eastAsia" w:ascii="宋体" w:hAnsi="宋体"/>
          <w:color w:val="auto"/>
          <w:highlight w:val="none"/>
        </w:rPr>
        <w:t>3.4.2 承包人收到监理人按第3.4.1项作出的指示后应遵照执行。指示构成变更的，应按第15条处理。</w:t>
      </w:r>
    </w:p>
    <w:p w14:paraId="708C378E">
      <w:pPr>
        <w:pStyle w:val="9"/>
        <w:spacing w:line="400" w:lineRule="exact"/>
        <w:ind w:firstLine="420" w:firstLineChars="200"/>
        <w:rPr>
          <w:rFonts w:ascii="宋体" w:hAnsi="宋体"/>
          <w:color w:val="auto"/>
          <w:highlight w:val="none"/>
        </w:rPr>
      </w:pPr>
      <w:r>
        <w:rPr>
          <w:rFonts w:hint="eastAsia" w:ascii="宋体" w:hAnsi="宋体"/>
          <w:color w:val="auto"/>
          <w:highlight w:val="none"/>
        </w:rPr>
        <w:t>3.4.3 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p>
    <w:p w14:paraId="025D66B9">
      <w:pPr>
        <w:pStyle w:val="9"/>
        <w:spacing w:line="400" w:lineRule="exact"/>
        <w:ind w:firstLine="420" w:firstLineChars="200"/>
        <w:rPr>
          <w:rFonts w:ascii="宋体" w:hAnsi="宋体"/>
          <w:color w:val="auto"/>
          <w:highlight w:val="none"/>
        </w:rPr>
      </w:pPr>
      <w:r>
        <w:rPr>
          <w:rFonts w:hint="eastAsia" w:ascii="宋体" w:hAnsi="宋体"/>
          <w:color w:val="auto"/>
          <w:highlight w:val="none"/>
        </w:rPr>
        <w:t>3.4.4 除合同另有约定外，承包人只从总监理工程师或按第3.3.1项被授权的监理人员处取得指示。</w:t>
      </w:r>
    </w:p>
    <w:p w14:paraId="3726E6A6">
      <w:pPr>
        <w:pStyle w:val="9"/>
        <w:spacing w:line="400" w:lineRule="exact"/>
        <w:ind w:firstLine="420" w:firstLineChars="200"/>
        <w:rPr>
          <w:rFonts w:ascii="隶书" w:eastAsia="隶书"/>
          <w:color w:val="auto"/>
          <w:highlight w:val="none"/>
        </w:rPr>
      </w:pPr>
      <w:r>
        <w:rPr>
          <w:rFonts w:hint="eastAsia" w:ascii="宋体" w:hAnsi="宋体"/>
          <w:color w:val="auto"/>
          <w:highlight w:val="none"/>
        </w:rPr>
        <w:t>3.4.5 由于监理人未能按合同约定发出指示、指示延误或指示错误而导致承包人费用增加和（或）工期延误的，由发包人承担赔偿责任。</w:t>
      </w:r>
      <w:r>
        <w:rPr>
          <w:rFonts w:hint="eastAsia" w:ascii="隶书" w:eastAsia="隶书"/>
          <w:color w:val="auto"/>
          <w:highlight w:val="none"/>
        </w:rPr>
        <w:t xml:space="preserve"> </w:t>
      </w:r>
    </w:p>
    <w:p w14:paraId="7525C79E">
      <w:pPr>
        <w:pStyle w:val="51"/>
        <w:outlineLvl w:val="3"/>
        <w:rPr>
          <w:color w:val="auto"/>
          <w:highlight w:val="none"/>
        </w:rPr>
      </w:pPr>
      <w:bookmarkStart w:id="201" w:name="_Toc22349"/>
      <w:bookmarkStart w:id="202" w:name="_Toc27133"/>
      <w:bookmarkStart w:id="203" w:name="_Toc240967061"/>
      <w:r>
        <w:rPr>
          <w:rFonts w:hint="eastAsia"/>
          <w:color w:val="auto"/>
          <w:highlight w:val="none"/>
        </w:rPr>
        <w:t>3.5 商定或确定</w:t>
      </w:r>
      <w:bookmarkEnd w:id="201"/>
      <w:bookmarkEnd w:id="202"/>
      <w:bookmarkEnd w:id="203"/>
    </w:p>
    <w:p w14:paraId="4DFF66D0">
      <w:pPr>
        <w:pStyle w:val="9"/>
        <w:spacing w:line="400" w:lineRule="exact"/>
        <w:ind w:firstLine="420" w:firstLineChars="200"/>
        <w:rPr>
          <w:rFonts w:ascii="宋体" w:hAnsi="宋体"/>
          <w:color w:val="auto"/>
          <w:highlight w:val="none"/>
        </w:rPr>
      </w:pPr>
      <w:r>
        <w:rPr>
          <w:rFonts w:hint="eastAsia" w:ascii="宋体" w:hAnsi="宋体"/>
          <w:color w:val="auto"/>
          <w:highlight w:val="none"/>
        </w:rPr>
        <w:t>3.5.1合同约定总监理工程师应按照本款对任何事项进行商定或确定时，总监理工程师应与合同当事人协商，尽量达成一致。不能达成一致的，总监理工程师应认真研究后审慎确定。</w:t>
      </w:r>
    </w:p>
    <w:p w14:paraId="52BFE3D1">
      <w:pPr>
        <w:pStyle w:val="9"/>
        <w:spacing w:line="400" w:lineRule="exact"/>
        <w:ind w:firstLine="420" w:firstLineChars="200"/>
        <w:rPr>
          <w:rFonts w:ascii="宋体" w:hAnsi="宋体"/>
          <w:color w:val="auto"/>
          <w:highlight w:val="none"/>
        </w:rPr>
      </w:pPr>
      <w:r>
        <w:rPr>
          <w:rFonts w:hint="eastAsia" w:ascii="宋体" w:hAnsi="宋体"/>
          <w:color w:val="auto"/>
          <w:highlight w:val="none"/>
        </w:rPr>
        <w:t>3.5.2 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p>
    <w:p w14:paraId="31EEC2E8">
      <w:pPr>
        <w:pStyle w:val="52"/>
        <w:outlineLvl w:val="2"/>
        <w:rPr>
          <w:color w:val="auto"/>
          <w:highlight w:val="none"/>
        </w:rPr>
      </w:pPr>
      <w:bookmarkStart w:id="204" w:name="_Toc240967062"/>
      <w:bookmarkStart w:id="205" w:name="_Toc16321"/>
      <w:bookmarkStart w:id="206" w:name="_Toc2121"/>
      <w:r>
        <w:rPr>
          <w:rFonts w:hint="eastAsia"/>
          <w:color w:val="auto"/>
          <w:highlight w:val="none"/>
        </w:rPr>
        <w:t>4. 承包人</w:t>
      </w:r>
      <w:bookmarkEnd w:id="204"/>
      <w:bookmarkEnd w:id="205"/>
      <w:bookmarkEnd w:id="206"/>
    </w:p>
    <w:p w14:paraId="1302E819">
      <w:pPr>
        <w:pStyle w:val="51"/>
        <w:outlineLvl w:val="3"/>
        <w:rPr>
          <w:color w:val="auto"/>
          <w:highlight w:val="none"/>
        </w:rPr>
      </w:pPr>
      <w:bookmarkStart w:id="207" w:name="_Toc240967063"/>
      <w:bookmarkStart w:id="208" w:name="_Toc23073"/>
      <w:bookmarkStart w:id="209" w:name="_Toc8527"/>
      <w:r>
        <w:rPr>
          <w:rFonts w:hint="eastAsia"/>
          <w:color w:val="auto"/>
          <w:highlight w:val="none"/>
        </w:rPr>
        <w:t>4.1 承包人的一般义务</w:t>
      </w:r>
      <w:bookmarkEnd w:id="207"/>
      <w:bookmarkEnd w:id="208"/>
      <w:bookmarkEnd w:id="209"/>
    </w:p>
    <w:p w14:paraId="14B5AEF5">
      <w:pPr>
        <w:pStyle w:val="9"/>
        <w:spacing w:line="400" w:lineRule="exact"/>
        <w:ind w:firstLine="420" w:firstLineChars="200"/>
        <w:rPr>
          <w:rFonts w:ascii="宋体" w:hAnsi="宋体"/>
          <w:color w:val="auto"/>
          <w:highlight w:val="none"/>
        </w:rPr>
      </w:pPr>
      <w:r>
        <w:rPr>
          <w:rFonts w:hint="eastAsia" w:ascii="宋体" w:hAnsi="宋体"/>
          <w:color w:val="auto"/>
          <w:highlight w:val="none"/>
        </w:rPr>
        <w:t>4.1.1 遵守法律</w:t>
      </w:r>
    </w:p>
    <w:p w14:paraId="7A369AA6">
      <w:pPr>
        <w:pStyle w:val="9"/>
        <w:spacing w:line="400" w:lineRule="exact"/>
        <w:ind w:firstLine="420" w:firstLineChars="200"/>
        <w:rPr>
          <w:rFonts w:ascii="宋体" w:hAnsi="宋体"/>
          <w:color w:val="auto"/>
          <w:highlight w:val="none"/>
        </w:rPr>
      </w:pPr>
      <w:r>
        <w:rPr>
          <w:rFonts w:hint="eastAsia" w:ascii="宋体" w:hAnsi="宋体"/>
          <w:color w:val="auto"/>
          <w:highlight w:val="none"/>
        </w:rPr>
        <w:t>承包人在履行合同过程中应遵守法律，并保证发包人免于承担因承包人违反法律而引起的任何责任。</w:t>
      </w:r>
    </w:p>
    <w:p w14:paraId="5F2329D1">
      <w:pPr>
        <w:pStyle w:val="9"/>
        <w:spacing w:line="400" w:lineRule="exact"/>
        <w:ind w:firstLine="420" w:firstLineChars="200"/>
        <w:rPr>
          <w:rFonts w:ascii="宋体" w:hAnsi="宋体"/>
          <w:color w:val="auto"/>
          <w:highlight w:val="none"/>
        </w:rPr>
      </w:pPr>
      <w:r>
        <w:rPr>
          <w:rFonts w:hint="eastAsia" w:ascii="宋体" w:hAnsi="宋体"/>
          <w:color w:val="auto"/>
          <w:highlight w:val="none"/>
        </w:rPr>
        <w:t>4.1.2 依法纳税</w:t>
      </w:r>
    </w:p>
    <w:p w14:paraId="3C49B9E8">
      <w:pPr>
        <w:pStyle w:val="9"/>
        <w:spacing w:line="400" w:lineRule="exact"/>
        <w:ind w:firstLine="420" w:firstLineChars="200"/>
        <w:rPr>
          <w:rFonts w:ascii="宋体" w:hAnsi="宋体"/>
          <w:color w:val="auto"/>
          <w:highlight w:val="none"/>
        </w:rPr>
      </w:pPr>
      <w:r>
        <w:rPr>
          <w:rFonts w:hint="eastAsia" w:ascii="宋体" w:hAnsi="宋体"/>
          <w:color w:val="auto"/>
          <w:highlight w:val="none"/>
        </w:rPr>
        <w:t>承包人应按有关法律规定纳税，应缴纳的税金包括在合同价格内。</w:t>
      </w:r>
    </w:p>
    <w:p w14:paraId="5982615A">
      <w:pPr>
        <w:pStyle w:val="9"/>
        <w:spacing w:line="400" w:lineRule="exact"/>
        <w:ind w:firstLine="420" w:firstLineChars="200"/>
        <w:rPr>
          <w:rFonts w:ascii="宋体" w:hAnsi="宋体"/>
          <w:color w:val="auto"/>
          <w:highlight w:val="none"/>
        </w:rPr>
      </w:pPr>
      <w:r>
        <w:rPr>
          <w:rFonts w:hint="eastAsia" w:ascii="宋体" w:hAnsi="宋体"/>
          <w:color w:val="auto"/>
          <w:highlight w:val="none"/>
        </w:rPr>
        <w:t>4.1.3 完成各项承包工作</w:t>
      </w:r>
    </w:p>
    <w:p w14:paraId="35F3AF5D">
      <w:pPr>
        <w:pStyle w:val="9"/>
        <w:spacing w:line="400" w:lineRule="exact"/>
        <w:ind w:firstLine="420" w:firstLineChars="200"/>
        <w:rPr>
          <w:rFonts w:ascii="宋体" w:hAnsi="宋体"/>
          <w:color w:val="auto"/>
          <w:highlight w:val="none"/>
        </w:rPr>
      </w:pPr>
      <w:r>
        <w:rPr>
          <w:rFonts w:hint="eastAsia" w:ascii="宋体" w:hAnsi="宋体"/>
          <w:color w:val="auto"/>
          <w:highlight w:val="none"/>
        </w:rPr>
        <w:t>承包人应按合同约定以及监理人根据第3.4款作出的指示，实施、完成全部工程，并修补工程中的任何缺陷。除专用合同条款另有约定外，承包人应提供为完成合同工作所需的劳务、材料、施工设备、工程设备和其他物品，并按合同约定负责临时设施的设计、建造、运行、维护、管理和拆除。</w:t>
      </w:r>
    </w:p>
    <w:p w14:paraId="634EBD7F">
      <w:pPr>
        <w:pStyle w:val="9"/>
        <w:spacing w:line="400" w:lineRule="exact"/>
        <w:ind w:firstLine="420" w:firstLineChars="200"/>
        <w:rPr>
          <w:rFonts w:ascii="宋体" w:hAnsi="宋体"/>
          <w:color w:val="auto"/>
          <w:highlight w:val="none"/>
        </w:rPr>
      </w:pPr>
      <w:r>
        <w:rPr>
          <w:rFonts w:hint="eastAsia" w:ascii="宋体" w:hAnsi="宋体"/>
          <w:color w:val="auto"/>
          <w:highlight w:val="none"/>
        </w:rPr>
        <w:t>4.1.4 对施工作业和施工方法的完备性负责</w:t>
      </w:r>
    </w:p>
    <w:p w14:paraId="6E7B8631">
      <w:pPr>
        <w:pStyle w:val="9"/>
        <w:spacing w:line="400" w:lineRule="exact"/>
        <w:ind w:firstLine="420" w:firstLineChars="200"/>
        <w:rPr>
          <w:rFonts w:ascii="宋体" w:hAnsi="宋体"/>
          <w:color w:val="auto"/>
          <w:highlight w:val="none"/>
        </w:rPr>
      </w:pPr>
      <w:r>
        <w:rPr>
          <w:rFonts w:hint="eastAsia" w:ascii="宋体" w:hAnsi="宋体"/>
          <w:color w:val="auto"/>
          <w:highlight w:val="none"/>
        </w:rPr>
        <w:t>承包人应按合同约定的工作内容和施工进度要求，编制施工组织设计和施工措施计划，并对所有施工作业和施工方法的完备性和安全可靠性负责。</w:t>
      </w:r>
    </w:p>
    <w:p w14:paraId="264F0720">
      <w:pPr>
        <w:pStyle w:val="9"/>
        <w:spacing w:line="400" w:lineRule="exact"/>
        <w:ind w:firstLine="420" w:firstLineChars="200"/>
        <w:rPr>
          <w:rFonts w:ascii="宋体" w:hAnsi="宋体"/>
          <w:color w:val="auto"/>
          <w:highlight w:val="none"/>
        </w:rPr>
      </w:pPr>
      <w:r>
        <w:rPr>
          <w:rFonts w:hint="eastAsia" w:ascii="宋体" w:hAnsi="宋体"/>
          <w:color w:val="auto"/>
          <w:highlight w:val="none"/>
        </w:rPr>
        <w:t>4.1.5 保证工程施工和人员的安全</w:t>
      </w:r>
    </w:p>
    <w:p w14:paraId="1579C15D">
      <w:pPr>
        <w:pStyle w:val="9"/>
        <w:spacing w:line="400" w:lineRule="exact"/>
        <w:ind w:firstLine="420" w:firstLineChars="200"/>
        <w:rPr>
          <w:rFonts w:ascii="宋体" w:hAnsi="宋体"/>
          <w:color w:val="auto"/>
          <w:highlight w:val="none"/>
        </w:rPr>
      </w:pPr>
      <w:r>
        <w:rPr>
          <w:rFonts w:hint="eastAsia" w:ascii="宋体" w:hAnsi="宋体"/>
          <w:color w:val="auto"/>
          <w:highlight w:val="none"/>
        </w:rPr>
        <w:t>承包人应按第9.2款约定采取施工安全措施，确保工程及其人员、材料、设备和设施的安全，防止因工程施工造成的人身伤害和财产损失。</w:t>
      </w:r>
    </w:p>
    <w:p w14:paraId="2914F676">
      <w:pPr>
        <w:pStyle w:val="9"/>
        <w:spacing w:line="400" w:lineRule="exact"/>
        <w:ind w:firstLine="420" w:firstLineChars="200"/>
        <w:rPr>
          <w:rFonts w:ascii="宋体" w:hAnsi="宋体"/>
          <w:color w:val="auto"/>
          <w:highlight w:val="none"/>
        </w:rPr>
      </w:pPr>
      <w:r>
        <w:rPr>
          <w:rFonts w:hint="eastAsia" w:ascii="宋体" w:hAnsi="宋体"/>
          <w:color w:val="auto"/>
          <w:highlight w:val="none"/>
        </w:rPr>
        <w:t>4.1.6 负责施工场地及其周边环境与生态的保护工作</w:t>
      </w:r>
    </w:p>
    <w:p w14:paraId="4DB7B29E">
      <w:pPr>
        <w:pStyle w:val="9"/>
        <w:spacing w:line="400" w:lineRule="exact"/>
        <w:ind w:firstLine="420" w:firstLineChars="200"/>
        <w:rPr>
          <w:rFonts w:ascii="宋体" w:hAnsi="宋体"/>
          <w:color w:val="auto"/>
          <w:highlight w:val="none"/>
        </w:rPr>
      </w:pPr>
      <w:r>
        <w:rPr>
          <w:rFonts w:hint="eastAsia" w:ascii="宋体" w:hAnsi="宋体"/>
          <w:color w:val="auto"/>
          <w:highlight w:val="none"/>
        </w:rPr>
        <w:t>承包人应按照第9.4款约定负责施工场地及其周边环境与生态的保护工作。</w:t>
      </w:r>
    </w:p>
    <w:p w14:paraId="21EAEA8D">
      <w:pPr>
        <w:pStyle w:val="9"/>
        <w:spacing w:line="400" w:lineRule="exact"/>
        <w:ind w:firstLine="420" w:firstLineChars="200"/>
        <w:rPr>
          <w:rFonts w:ascii="宋体" w:hAnsi="宋体"/>
          <w:color w:val="auto"/>
          <w:highlight w:val="none"/>
        </w:rPr>
      </w:pPr>
      <w:r>
        <w:rPr>
          <w:rFonts w:hint="eastAsia" w:ascii="宋体" w:hAnsi="宋体"/>
          <w:color w:val="auto"/>
          <w:highlight w:val="none"/>
        </w:rPr>
        <w:t>4.1.7 避免施工对公众与他人的利益造成损害</w:t>
      </w:r>
    </w:p>
    <w:p w14:paraId="4B642EAC">
      <w:pPr>
        <w:pStyle w:val="9"/>
        <w:spacing w:line="400" w:lineRule="exact"/>
        <w:ind w:firstLine="420" w:firstLineChars="200"/>
        <w:rPr>
          <w:rFonts w:ascii="宋体" w:hAnsi="宋体"/>
          <w:color w:val="auto"/>
          <w:highlight w:val="none"/>
        </w:rPr>
      </w:pPr>
      <w:r>
        <w:rPr>
          <w:rFonts w:hint="eastAsia" w:ascii="宋体" w:hAnsi="宋体"/>
          <w:color w:val="auto"/>
          <w:highlight w:val="none"/>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0D92F39C">
      <w:pPr>
        <w:pStyle w:val="9"/>
        <w:spacing w:line="400" w:lineRule="exact"/>
        <w:ind w:firstLine="420" w:firstLineChars="200"/>
        <w:rPr>
          <w:rFonts w:ascii="宋体" w:hAnsi="宋体"/>
          <w:color w:val="auto"/>
          <w:highlight w:val="none"/>
        </w:rPr>
      </w:pPr>
      <w:r>
        <w:rPr>
          <w:rFonts w:hint="eastAsia" w:ascii="宋体" w:hAnsi="宋体"/>
          <w:color w:val="auto"/>
          <w:highlight w:val="none"/>
        </w:rPr>
        <w:t>4.1.8 为他人提供方便</w:t>
      </w:r>
    </w:p>
    <w:p w14:paraId="5A6E85E5">
      <w:pPr>
        <w:pStyle w:val="9"/>
        <w:spacing w:line="400" w:lineRule="exact"/>
        <w:ind w:firstLine="420" w:firstLineChars="200"/>
        <w:rPr>
          <w:rFonts w:ascii="宋体" w:hAnsi="宋体"/>
          <w:color w:val="auto"/>
          <w:highlight w:val="none"/>
        </w:rPr>
      </w:pPr>
      <w:r>
        <w:rPr>
          <w:rFonts w:hint="eastAsia" w:ascii="宋体" w:hAnsi="宋体"/>
          <w:color w:val="auto"/>
          <w:highlight w:val="none"/>
        </w:rPr>
        <w:t>承包人应按监理人的指示为他人在施工场地或附近实施与工程有关的其他各项工作提供可能的条件。除合同另有约定外，提供有关条件的内容和可能发生的费用，由监理人按第3.5款商定或确定。</w:t>
      </w:r>
    </w:p>
    <w:p w14:paraId="5F0D5EA4">
      <w:pPr>
        <w:pStyle w:val="9"/>
        <w:spacing w:line="400" w:lineRule="exact"/>
        <w:ind w:firstLine="420" w:firstLineChars="200"/>
        <w:rPr>
          <w:rFonts w:ascii="宋体" w:hAnsi="宋体"/>
          <w:color w:val="auto"/>
          <w:highlight w:val="none"/>
        </w:rPr>
      </w:pPr>
      <w:r>
        <w:rPr>
          <w:rFonts w:hint="eastAsia" w:ascii="宋体" w:hAnsi="宋体"/>
          <w:color w:val="auto"/>
          <w:highlight w:val="none"/>
        </w:rPr>
        <w:t>4.1.9 工程的维护和照管</w:t>
      </w:r>
    </w:p>
    <w:p w14:paraId="37511445">
      <w:pPr>
        <w:pStyle w:val="9"/>
        <w:spacing w:line="400" w:lineRule="exact"/>
        <w:ind w:firstLine="420" w:firstLineChars="200"/>
        <w:rPr>
          <w:rFonts w:ascii="宋体" w:hAnsi="宋体"/>
          <w:color w:val="auto"/>
          <w:highlight w:val="none"/>
        </w:rPr>
      </w:pPr>
      <w:r>
        <w:rPr>
          <w:rFonts w:hint="eastAsia" w:ascii="宋体" w:hAnsi="宋体"/>
          <w:color w:val="auto"/>
          <w:highlight w:val="none"/>
        </w:rPr>
        <w:t>工程接收证书颁发前，承包人应负责照管和维护工程。工程接收证书颁发时尚有部分未竣工工程的，承包人还应负责该未竣工工程的照管和维护工作，直至竣工后移交给发包人为止。</w:t>
      </w:r>
    </w:p>
    <w:p w14:paraId="30380615">
      <w:pPr>
        <w:pStyle w:val="9"/>
        <w:spacing w:line="400" w:lineRule="exact"/>
        <w:ind w:firstLine="420" w:firstLineChars="200"/>
        <w:rPr>
          <w:rFonts w:ascii="宋体" w:hAnsi="宋体"/>
          <w:color w:val="auto"/>
          <w:highlight w:val="none"/>
        </w:rPr>
      </w:pPr>
      <w:r>
        <w:rPr>
          <w:rFonts w:hint="eastAsia" w:ascii="宋体" w:hAnsi="宋体"/>
          <w:color w:val="auto"/>
          <w:highlight w:val="none"/>
        </w:rPr>
        <w:t>4.1.10 其他义务</w:t>
      </w:r>
    </w:p>
    <w:p w14:paraId="453732D9">
      <w:pPr>
        <w:pStyle w:val="9"/>
        <w:spacing w:line="400" w:lineRule="exact"/>
        <w:ind w:firstLine="420" w:firstLineChars="200"/>
        <w:rPr>
          <w:rFonts w:ascii="隶书" w:eastAsia="隶书"/>
          <w:color w:val="auto"/>
          <w:highlight w:val="none"/>
        </w:rPr>
      </w:pPr>
      <w:r>
        <w:rPr>
          <w:rFonts w:hint="eastAsia" w:ascii="宋体" w:hAnsi="宋体"/>
          <w:color w:val="auto"/>
          <w:highlight w:val="none"/>
        </w:rPr>
        <w:t>承包人应履行合同约定的其他义务。</w:t>
      </w:r>
    </w:p>
    <w:p w14:paraId="2A7C871A">
      <w:pPr>
        <w:pStyle w:val="51"/>
        <w:outlineLvl w:val="3"/>
        <w:rPr>
          <w:color w:val="auto"/>
          <w:highlight w:val="none"/>
        </w:rPr>
      </w:pPr>
      <w:bookmarkStart w:id="210" w:name="_Toc19479"/>
      <w:bookmarkStart w:id="211" w:name="_Toc28114"/>
      <w:bookmarkStart w:id="212" w:name="_Toc240967064"/>
      <w:r>
        <w:rPr>
          <w:rFonts w:hint="eastAsia"/>
          <w:color w:val="auto"/>
          <w:highlight w:val="none"/>
        </w:rPr>
        <w:t>4.2 履约担保</w:t>
      </w:r>
      <w:bookmarkEnd w:id="210"/>
      <w:bookmarkEnd w:id="211"/>
      <w:bookmarkEnd w:id="212"/>
    </w:p>
    <w:p w14:paraId="279865C6">
      <w:pPr>
        <w:pStyle w:val="9"/>
        <w:spacing w:line="400" w:lineRule="exact"/>
        <w:ind w:firstLine="420" w:firstLineChars="200"/>
        <w:rPr>
          <w:rFonts w:ascii="隶书" w:eastAsia="隶书"/>
          <w:color w:val="auto"/>
          <w:highlight w:val="none"/>
        </w:rPr>
      </w:pPr>
      <w:r>
        <w:rPr>
          <w:rFonts w:hint="eastAsia" w:ascii="宋体" w:hAnsi="宋体"/>
          <w:color w:val="auto"/>
          <w:highlight w:val="none"/>
        </w:rPr>
        <w:t>承包人应保证其履约担保在发包人颁发工程接收证书前一直有效。发包人应在工程接收证书颁发后28天内把履约担保退还给承包人</w:t>
      </w:r>
      <w:r>
        <w:rPr>
          <w:rFonts w:hint="eastAsia" w:ascii="隶书" w:eastAsia="隶书"/>
          <w:color w:val="auto"/>
          <w:highlight w:val="none"/>
        </w:rPr>
        <w:t>。</w:t>
      </w:r>
    </w:p>
    <w:p w14:paraId="3B8134DA">
      <w:pPr>
        <w:pStyle w:val="51"/>
        <w:outlineLvl w:val="3"/>
        <w:rPr>
          <w:color w:val="auto"/>
          <w:highlight w:val="none"/>
        </w:rPr>
      </w:pPr>
      <w:bookmarkStart w:id="213" w:name="_Toc10436"/>
      <w:bookmarkStart w:id="214" w:name="_Toc15578"/>
      <w:bookmarkStart w:id="215" w:name="_Toc240967065"/>
      <w:r>
        <w:rPr>
          <w:rFonts w:hint="eastAsia"/>
          <w:color w:val="auto"/>
          <w:highlight w:val="none"/>
        </w:rPr>
        <w:t>4.3 分包</w:t>
      </w:r>
      <w:bookmarkEnd w:id="213"/>
      <w:bookmarkEnd w:id="214"/>
      <w:bookmarkEnd w:id="215"/>
    </w:p>
    <w:p w14:paraId="6F42292C">
      <w:pPr>
        <w:pStyle w:val="9"/>
        <w:spacing w:line="400" w:lineRule="exact"/>
        <w:ind w:firstLine="420" w:firstLineChars="200"/>
        <w:rPr>
          <w:rFonts w:ascii="宋体" w:hAnsi="宋体"/>
          <w:color w:val="auto"/>
          <w:highlight w:val="none"/>
        </w:rPr>
      </w:pPr>
      <w:r>
        <w:rPr>
          <w:rFonts w:hint="eastAsia" w:ascii="宋体" w:hAnsi="宋体"/>
          <w:color w:val="auto"/>
          <w:highlight w:val="none"/>
        </w:rPr>
        <w:t>4.3.1 承包人不得将其承包的全部工程转包给第三人，或将其承包的全部工程肢解后以分包的名义转包给第三人。</w:t>
      </w:r>
    </w:p>
    <w:p w14:paraId="6EE2CB57">
      <w:pPr>
        <w:pStyle w:val="9"/>
        <w:spacing w:line="400" w:lineRule="exact"/>
        <w:ind w:firstLine="420" w:firstLineChars="200"/>
        <w:rPr>
          <w:rFonts w:ascii="宋体" w:hAnsi="宋体"/>
          <w:color w:val="auto"/>
          <w:highlight w:val="none"/>
        </w:rPr>
      </w:pPr>
      <w:r>
        <w:rPr>
          <w:rFonts w:hint="eastAsia" w:ascii="宋体" w:hAnsi="宋体"/>
          <w:color w:val="auto"/>
          <w:highlight w:val="none"/>
        </w:rPr>
        <w:t>4.3.2 承包人不得将工程主体、关键性工作分包给第三人。除专用合同条款另有约定外，未经发包人同意，承包人不得将工程的其他部分或工作分包给第三人。</w:t>
      </w:r>
    </w:p>
    <w:p w14:paraId="3BCCE84B">
      <w:pPr>
        <w:pStyle w:val="9"/>
        <w:spacing w:line="400" w:lineRule="exact"/>
        <w:ind w:firstLine="420" w:firstLineChars="200"/>
        <w:rPr>
          <w:rFonts w:ascii="宋体" w:hAnsi="宋体"/>
          <w:color w:val="auto"/>
          <w:highlight w:val="none"/>
        </w:rPr>
      </w:pPr>
      <w:r>
        <w:rPr>
          <w:rFonts w:hint="eastAsia" w:ascii="宋体" w:hAnsi="宋体"/>
          <w:color w:val="auto"/>
          <w:highlight w:val="none"/>
        </w:rPr>
        <w:t>4.3.3 分包人的资格能力应与其分包工程的标准和规模相适应。</w:t>
      </w:r>
    </w:p>
    <w:p w14:paraId="490AFB05">
      <w:pPr>
        <w:pStyle w:val="9"/>
        <w:spacing w:line="400" w:lineRule="exact"/>
        <w:ind w:firstLine="420" w:firstLineChars="200"/>
        <w:rPr>
          <w:rFonts w:ascii="宋体" w:hAnsi="宋体"/>
          <w:color w:val="auto"/>
          <w:highlight w:val="none"/>
        </w:rPr>
      </w:pPr>
      <w:r>
        <w:rPr>
          <w:rFonts w:hint="eastAsia" w:ascii="宋体" w:hAnsi="宋体"/>
          <w:color w:val="auto"/>
          <w:highlight w:val="none"/>
        </w:rPr>
        <w:t>4.3.4 按投标函附录约定分包工程的，承包人应向发包人和监理人提交分包合同副本。</w:t>
      </w:r>
    </w:p>
    <w:p w14:paraId="65D6FB36">
      <w:pPr>
        <w:pStyle w:val="9"/>
        <w:spacing w:line="400" w:lineRule="exact"/>
        <w:ind w:firstLine="420" w:firstLineChars="200"/>
        <w:rPr>
          <w:rFonts w:ascii="隶书" w:eastAsia="隶书"/>
          <w:color w:val="auto"/>
          <w:highlight w:val="none"/>
        </w:rPr>
      </w:pPr>
      <w:r>
        <w:rPr>
          <w:rFonts w:hint="eastAsia" w:ascii="宋体" w:hAnsi="宋体"/>
          <w:color w:val="auto"/>
          <w:highlight w:val="none"/>
        </w:rPr>
        <w:t>4.3.5 承包人应与分包人就分包工程向发包人承担连带责任。</w:t>
      </w:r>
    </w:p>
    <w:p w14:paraId="74C7667F">
      <w:pPr>
        <w:pStyle w:val="51"/>
        <w:outlineLvl w:val="3"/>
        <w:rPr>
          <w:color w:val="auto"/>
          <w:highlight w:val="none"/>
        </w:rPr>
      </w:pPr>
      <w:bookmarkStart w:id="216" w:name="_Toc8397"/>
      <w:bookmarkStart w:id="217" w:name="_Toc14570"/>
      <w:bookmarkStart w:id="218" w:name="_Toc240967066"/>
      <w:r>
        <w:rPr>
          <w:rFonts w:hint="eastAsia"/>
          <w:color w:val="auto"/>
          <w:highlight w:val="none"/>
        </w:rPr>
        <w:t>4.4 联合体</w:t>
      </w:r>
      <w:bookmarkEnd w:id="216"/>
      <w:bookmarkEnd w:id="217"/>
      <w:bookmarkEnd w:id="218"/>
    </w:p>
    <w:p w14:paraId="7EEF53F9">
      <w:pPr>
        <w:pStyle w:val="9"/>
        <w:spacing w:line="400" w:lineRule="exact"/>
        <w:ind w:firstLine="420" w:firstLineChars="200"/>
        <w:rPr>
          <w:rFonts w:ascii="宋体" w:hAnsi="宋体"/>
          <w:color w:val="auto"/>
          <w:highlight w:val="none"/>
        </w:rPr>
      </w:pPr>
      <w:r>
        <w:rPr>
          <w:rFonts w:hint="eastAsia" w:ascii="宋体" w:hAnsi="宋体"/>
          <w:color w:val="auto"/>
          <w:highlight w:val="none"/>
        </w:rPr>
        <w:t>4.4.1 联合体各方应共同与发包人签订合同协议书。联合体各方应为履行合同承担连带责任。</w:t>
      </w:r>
    </w:p>
    <w:p w14:paraId="48631328">
      <w:pPr>
        <w:pStyle w:val="9"/>
        <w:spacing w:line="400" w:lineRule="exact"/>
        <w:ind w:firstLine="420" w:firstLineChars="200"/>
        <w:rPr>
          <w:rFonts w:ascii="宋体" w:hAnsi="宋体"/>
          <w:color w:val="auto"/>
          <w:highlight w:val="none"/>
        </w:rPr>
      </w:pPr>
      <w:r>
        <w:rPr>
          <w:rFonts w:hint="eastAsia" w:ascii="宋体" w:hAnsi="宋体"/>
          <w:color w:val="auto"/>
          <w:highlight w:val="none"/>
        </w:rPr>
        <w:t>4.4.2 联合体协议经发包人确认后作为合同附件。在履行合同过程中，未经发包人同意，不得修改联合体协议。</w:t>
      </w:r>
    </w:p>
    <w:p w14:paraId="103B1665">
      <w:pPr>
        <w:pStyle w:val="9"/>
        <w:spacing w:line="400" w:lineRule="exact"/>
        <w:ind w:firstLine="420" w:firstLineChars="200"/>
        <w:rPr>
          <w:rFonts w:ascii="宋体" w:hAnsi="宋体"/>
          <w:color w:val="auto"/>
          <w:highlight w:val="none"/>
        </w:rPr>
      </w:pPr>
      <w:r>
        <w:rPr>
          <w:rFonts w:hint="eastAsia" w:ascii="宋体" w:hAnsi="宋体"/>
          <w:color w:val="auto"/>
          <w:highlight w:val="none"/>
        </w:rPr>
        <w:t>4.4.3 联合体牵头人负责与发包人和监理人联系，并接受指示，负责组织联合体各成员全面履行合同。</w:t>
      </w:r>
    </w:p>
    <w:p w14:paraId="28D284FC">
      <w:pPr>
        <w:pStyle w:val="51"/>
        <w:outlineLvl w:val="3"/>
        <w:rPr>
          <w:color w:val="auto"/>
          <w:highlight w:val="none"/>
        </w:rPr>
      </w:pPr>
      <w:bookmarkStart w:id="219" w:name="_Toc240967067"/>
      <w:bookmarkStart w:id="220" w:name="_Toc23880"/>
      <w:bookmarkStart w:id="221" w:name="_Toc13469"/>
      <w:r>
        <w:rPr>
          <w:rFonts w:hint="eastAsia"/>
          <w:color w:val="auto"/>
          <w:highlight w:val="none"/>
        </w:rPr>
        <w:t>4.5 承包人项目经理</w:t>
      </w:r>
      <w:bookmarkEnd w:id="219"/>
      <w:bookmarkEnd w:id="220"/>
      <w:bookmarkEnd w:id="221"/>
    </w:p>
    <w:p w14:paraId="63032D7E">
      <w:pPr>
        <w:pStyle w:val="9"/>
        <w:spacing w:line="400" w:lineRule="exact"/>
        <w:ind w:firstLine="420" w:firstLineChars="200"/>
        <w:rPr>
          <w:rFonts w:ascii="宋体" w:hAnsi="宋体"/>
          <w:color w:val="auto"/>
          <w:highlight w:val="none"/>
        </w:rPr>
      </w:pPr>
      <w:r>
        <w:rPr>
          <w:rFonts w:hint="eastAsia" w:ascii="宋体" w:hAnsi="宋体"/>
          <w:color w:val="auto"/>
          <w:highlight w:val="none"/>
        </w:rPr>
        <w:t>4.5.1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p>
    <w:p w14:paraId="71E767BB">
      <w:pPr>
        <w:pStyle w:val="9"/>
        <w:spacing w:line="400" w:lineRule="exact"/>
        <w:ind w:firstLine="420" w:firstLineChars="200"/>
        <w:rPr>
          <w:rFonts w:ascii="宋体" w:hAnsi="宋体"/>
          <w:color w:val="auto"/>
          <w:highlight w:val="none"/>
        </w:rPr>
      </w:pPr>
      <w:r>
        <w:rPr>
          <w:rFonts w:hint="eastAsia" w:ascii="宋体" w:hAnsi="宋体"/>
          <w:color w:val="auto"/>
          <w:highlight w:val="none"/>
        </w:rPr>
        <w:t>4.5.2 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p>
    <w:p w14:paraId="4B9A17EF">
      <w:pPr>
        <w:pStyle w:val="9"/>
        <w:spacing w:line="400" w:lineRule="exact"/>
        <w:ind w:firstLine="420" w:firstLineChars="200"/>
        <w:rPr>
          <w:rFonts w:ascii="宋体" w:hAnsi="宋体"/>
          <w:color w:val="auto"/>
          <w:highlight w:val="none"/>
        </w:rPr>
      </w:pPr>
      <w:r>
        <w:rPr>
          <w:rFonts w:hint="eastAsia" w:ascii="宋体" w:hAnsi="宋体"/>
          <w:color w:val="auto"/>
          <w:highlight w:val="none"/>
        </w:rPr>
        <w:t>4.5.3承包人为履行合同发出的一切函件均应盖有承包人授权的施工场地管理机构章，并由承包人项目经理或其授权代表签字。</w:t>
      </w:r>
    </w:p>
    <w:p w14:paraId="77511902">
      <w:pPr>
        <w:pStyle w:val="9"/>
        <w:spacing w:line="400" w:lineRule="exact"/>
        <w:ind w:firstLine="420" w:firstLineChars="200"/>
        <w:rPr>
          <w:rFonts w:ascii="宋体" w:hAnsi="宋体"/>
          <w:color w:val="auto"/>
          <w:highlight w:val="none"/>
        </w:rPr>
      </w:pPr>
      <w:r>
        <w:rPr>
          <w:rFonts w:hint="eastAsia" w:ascii="宋体" w:hAnsi="宋体"/>
          <w:color w:val="auto"/>
          <w:highlight w:val="none"/>
        </w:rPr>
        <w:t>4.5.4 承包人项目经理可以授权其下属人员履行其某项职责，但事先应将这些人员的姓名和授权范围通知监理人。</w:t>
      </w:r>
    </w:p>
    <w:p w14:paraId="653A42CB">
      <w:pPr>
        <w:pStyle w:val="51"/>
        <w:outlineLvl w:val="3"/>
        <w:rPr>
          <w:color w:val="auto"/>
          <w:highlight w:val="none"/>
        </w:rPr>
      </w:pPr>
      <w:bookmarkStart w:id="222" w:name="_Toc7302"/>
      <w:bookmarkStart w:id="223" w:name="_Toc240967068"/>
      <w:bookmarkStart w:id="224" w:name="_Toc8461"/>
      <w:r>
        <w:rPr>
          <w:rFonts w:hint="eastAsia"/>
          <w:color w:val="auto"/>
          <w:highlight w:val="none"/>
        </w:rPr>
        <w:t>4.6 承包人人员的管理</w:t>
      </w:r>
      <w:bookmarkEnd w:id="222"/>
      <w:bookmarkEnd w:id="223"/>
      <w:bookmarkEnd w:id="224"/>
    </w:p>
    <w:p w14:paraId="406736A1">
      <w:pPr>
        <w:pStyle w:val="9"/>
        <w:spacing w:line="400" w:lineRule="exact"/>
        <w:ind w:firstLine="420" w:firstLineChars="200"/>
        <w:rPr>
          <w:rFonts w:ascii="宋体" w:hAnsi="宋体"/>
          <w:color w:val="auto"/>
          <w:highlight w:val="none"/>
        </w:rPr>
      </w:pPr>
      <w:r>
        <w:rPr>
          <w:rFonts w:hint="eastAsia" w:ascii="宋体" w:hAnsi="宋体"/>
          <w:color w:val="auto"/>
          <w:highlight w:val="none"/>
        </w:rPr>
        <w:t>4.6.1 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14:paraId="5D066D1E">
      <w:pPr>
        <w:pStyle w:val="9"/>
        <w:spacing w:line="400" w:lineRule="exact"/>
        <w:ind w:firstLine="420" w:firstLineChars="200"/>
        <w:rPr>
          <w:rFonts w:ascii="宋体" w:hAnsi="宋体"/>
          <w:color w:val="auto"/>
          <w:highlight w:val="none"/>
        </w:rPr>
      </w:pPr>
      <w:r>
        <w:rPr>
          <w:rFonts w:hint="eastAsia" w:ascii="宋体" w:hAnsi="宋体"/>
          <w:color w:val="auto"/>
          <w:highlight w:val="none"/>
        </w:rPr>
        <w:t>4.6.2 为完成合同约定的各项工作，承包人应向施工场地派遣或雇佣足够数量的下列人员：</w:t>
      </w:r>
    </w:p>
    <w:p w14:paraId="0B617E4E">
      <w:pPr>
        <w:pStyle w:val="9"/>
        <w:spacing w:line="400" w:lineRule="exact"/>
        <w:ind w:firstLine="420" w:firstLineChars="200"/>
        <w:rPr>
          <w:rFonts w:ascii="宋体" w:hAnsi="宋体"/>
          <w:color w:val="auto"/>
          <w:highlight w:val="none"/>
        </w:rPr>
      </w:pPr>
      <w:r>
        <w:rPr>
          <w:rFonts w:hint="eastAsia" w:ascii="宋体" w:hAnsi="宋体"/>
          <w:color w:val="auto"/>
          <w:highlight w:val="none"/>
        </w:rPr>
        <w:t>（1）具有相应资格的专业技工和合格的普工；</w:t>
      </w:r>
    </w:p>
    <w:p w14:paraId="0343A163">
      <w:pPr>
        <w:pStyle w:val="9"/>
        <w:spacing w:line="400" w:lineRule="exact"/>
        <w:ind w:firstLine="420" w:firstLineChars="200"/>
        <w:rPr>
          <w:rFonts w:ascii="宋体" w:hAnsi="宋体"/>
          <w:color w:val="auto"/>
          <w:highlight w:val="none"/>
        </w:rPr>
      </w:pPr>
      <w:r>
        <w:rPr>
          <w:rFonts w:hint="eastAsia" w:ascii="宋体" w:hAnsi="宋体"/>
          <w:color w:val="auto"/>
          <w:highlight w:val="none"/>
        </w:rPr>
        <w:t>（2）具有相应施工经验的技术人员；</w:t>
      </w:r>
    </w:p>
    <w:p w14:paraId="1896D483">
      <w:pPr>
        <w:pStyle w:val="9"/>
        <w:spacing w:line="400" w:lineRule="exact"/>
        <w:ind w:firstLine="420" w:firstLineChars="200"/>
        <w:rPr>
          <w:rFonts w:ascii="宋体" w:hAnsi="宋体"/>
          <w:color w:val="auto"/>
          <w:highlight w:val="none"/>
        </w:rPr>
      </w:pPr>
      <w:r>
        <w:rPr>
          <w:rFonts w:hint="eastAsia" w:ascii="宋体" w:hAnsi="宋体"/>
          <w:color w:val="auto"/>
          <w:highlight w:val="none"/>
        </w:rPr>
        <w:t>（3）具有相应岗位资格的各级管理人员。</w:t>
      </w:r>
    </w:p>
    <w:p w14:paraId="372FC199">
      <w:pPr>
        <w:pStyle w:val="9"/>
        <w:spacing w:line="400" w:lineRule="exact"/>
        <w:ind w:firstLine="420" w:firstLineChars="200"/>
        <w:rPr>
          <w:rFonts w:ascii="宋体" w:hAnsi="宋体"/>
          <w:color w:val="auto"/>
          <w:highlight w:val="none"/>
        </w:rPr>
      </w:pPr>
      <w:r>
        <w:rPr>
          <w:rFonts w:hint="eastAsia" w:ascii="宋体" w:hAnsi="宋体"/>
          <w:color w:val="auto"/>
          <w:highlight w:val="none"/>
        </w:rPr>
        <w:t>4.6.3 承包人安排在施工场地的主要管理人员和技术骨干应相对稳定。承包人更换主要管理人员和技术骨干时，应取得监理人的同意。</w:t>
      </w:r>
    </w:p>
    <w:p w14:paraId="3C6A240D">
      <w:pPr>
        <w:pStyle w:val="9"/>
        <w:spacing w:line="400" w:lineRule="exact"/>
        <w:ind w:firstLine="420" w:firstLineChars="200"/>
        <w:rPr>
          <w:rFonts w:ascii="宋体" w:hAnsi="宋体"/>
          <w:color w:val="auto"/>
          <w:highlight w:val="none"/>
        </w:rPr>
      </w:pPr>
      <w:r>
        <w:rPr>
          <w:rFonts w:hint="eastAsia" w:ascii="宋体" w:hAnsi="宋体"/>
          <w:color w:val="auto"/>
          <w:highlight w:val="none"/>
        </w:rPr>
        <w:t>4.6.4 特殊岗位的工作人员均应持有相应的资格证明，监理人有权随时检查。监理人认为有必要时，可进行现场考核。</w:t>
      </w:r>
    </w:p>
    <w:p w14:paraId="64992EF7">
      <w:pPr>
        <w:pStyle w:val="51"/>
        <w:outlineLvl w:val="3"/>
        <w:rPr>
          <w:color w:val="auto"/>
          <w:highlight w:val="none"/>
        </w:rPr>
      </w:pPr>
      <w:bookmarkStart w:id="225" w:name="_Toc240967069"/>
      <w:bookmarkStart w:id="226" w:name="_Toc28559"/>
      <w:bookmarkStart w:id="227" w:name="_Toc6511"/>
      <w:r>
        <w:rPr>
          <w:rFonts w:hint="eastAsia"/>
          <w:color w:val="auto"/>
          <w:highlight w:val="none"/>
        </w:rPr>
        <w:t>4.7 撤换承包人项目经理和其他人员</w:t>
      </w:r>
      <w:bookmarkEnd w:id="225"/>
      <w:bookmarkEnd w:id="226"/>
      <w:bookmarkEnd w:id="227"/>
    </w:p>
    <w:p w14:paraId="12C3E018">
      <w:pPr>
        <w:pStyle w:val="9"/>
        <w:spacing w:line="400" w:lineRule="exact"/>
        <w:ind w:firstLine="420" w:firstLineChars="200"/>
        <w:rPr>
          <w:rFonts w:ascii="宋体" w:hAnsi="宋体"/>
          <w:color w:val="auto"/>
          <w:highlight w:val="none"/>
        </w:rPr>
      </w:pPr>
      <w:r>
        <w:rPr>
          <w:rFonts w:hint="eastAsia" w:ascii="宋体" w:hAnsi="宋体"/>
          <w:color w:val="auto"/>
          <w:highlight w:val="none"/>
        </w:rPr>
        <w:t>承包人应对其项目经理和其他人员进行有效管理。监理人要求撤换不能胜任本职工作、行为不端或玩忽职守的承包人项目经理和其他人员的，承包人应予以撤换。</w:t>
      </w:r>
    </w:p>
    <w:p w14:paraId="43F1D9A5">
      <w:pPr>
        <w:pStyle w:val="51"/>
        <w:outlineLvl w:val="3"/>
        <w:rPr>
          <w:color w:val="auto"/>
          <w:highlight w:val="none"/>
        </w:rPr>
      </w:pPr>
      <w:bookmarkStart w:id="228" w:name="_Toc28994"/>
      <w:bookmarkStart w:id="229" w:name="_Toc240967070"/>
      <w:bookmarkStart w:id="230" w:name="_Toc26806"/>
      <w:r>
        <w:rPr>
          <w:rFonts w:hint="eastAsia"/>
          <w:color w:val="auto"/>
          <w:highlight w:val="none"/>
        </w:rPr>
        <w:t>4.8 保障承包人人员的合法权益</w:t>
      </w:r>
      <w:bookmarkEnd w:id="228"/>
      <w:bookmarkEnd w:id="229"/>
      <w:bookmarkEnd w:id="230"/>
    </w:p>
    <w:p w14:paraId="1C60F456">
      <w:pPr>
        <w:pStyle w:val="9"/>
        <w:spacing w:line="400" w:lineRule="exact"/>
        <w:ind w:firstLine="420" w:firstLineChars="200"/>
        <w:rPr>
          <w:rFonts w:ascii="宋体" w:hAnsi="宋体"/>
          <w:color w:val="auto"/>
          <w:highlight w:val="none"/>
        </w:rPr>
      </w:pPr>
      <w:r>
        <w:rPr>
          <w:rFonts w:hint="eastAsia" w:ascii="宋体" w:hAnsi="宋体"/>
          <w:color w:val="auto"/>
          <w:highlight w:val="none"/>
        </w:rPr>
        <w:t>4.8.1 承包人应与其雇佣的人员签订劳动合同，并按时发放工资。</w:t>
      </w:r>
    </w:p>
    <w:p w14:paraId="26798376">
      <w:pPr>
        <w:pStyle w:val="9"/>
        <w:spacing w:line="400" w:lineRule="exact"/>
        <w:ind w:firstLine="420" w:firstLineChars="200"/>
        <w:rPr>
          <w:rFonts w:ascii="宋体" w:hAnsi="宋体"/>
          <w:color w:val="auto"/>
          <w:highlight w:val="none"/>
        </w:rPr>
      </w:pPr>
      <w:r>
        <w:rPr>
          <w:rFonts w:hint="eastAsia" w:ascii="宋体" w:hAnsi="宋体"/>
          <w:color w:val="auto"/>
          <w:highlight w:val="none"/>
        </w:rPr>
        <w:t>4.8.2 承包人应按劳动法的规定安排工作时间，保证其雇佣人员享有休息和休假的权利。因工程施工的特殊需要占用休假日或延长工作时间的，应不超过法律规定的限度，并按法律规定给予补休或付酬。</w:t>
      </w:r>
    </w:p>
    <w:p w14:paraId="6C89FD09">
      <w:pPr>
        <w:pStyle w:val="9"/>
        <w:spacing w:line="400" w:lineRule="exact"/>
        <w:ind w:firstLine="420" w:firstLineChars="200"/>
        <w:rPr>
          <w:rFonts w:ascii="宋体" w:hAnsi="宋体"/>
          <w:color w:val="auto"/>
          <w:highlight w:val="none"/>
        </w:rPr>
      </w:pPr>
      <w:r>
        <w:rPr>
          <w:rFonts w:hint="eastAsia" w:ascii="宋体" w:hAnsi="宋体"/>
          <w:color w:val="auto"/>
          <w:highlight w:val="none"/>
        </w:rPr>
        <w:t>4.8.3 承包人应为其雇佣人员提供必要的食宿条件，以及符合环境保护和卫生要求的生活环境，在远离城镇的施工场地，还应配备必要的伤病防治和急救的医务人员与医疗设施。</w:t>
      </w:r>
    </w:p>
    <w:p w14:paraId="03AB5970">
      <w:pPr>
        <w:pStyle w:val="9"/>
        <w:spacing w:line="400" w:lineRule="exact"/>
        <w:ind w:firstLine="420" w:firstLineChars="200"/>
        <w:rPr>
          <w:rFonts w:ascii="宋体" w:hAnsi="宋体"/>
          <w:color w:val="auto"/>
          <w:highlight w:val="none"/>
        </w:rPr>
      </w:pPr>
      <w:r>
        <w:rPr>
          <w:rFonts w:hint="eastAsia" w:ascii="宋体" w:hAnsi="宋体"/>
          <w:color w:val="auto"/>
          <w:highlight w:val="none"/>
        </w:rPr>
        <w:t>4.8.4 承包人应按国家有关劳动保护的规定，采取有效的防止粉尘、降低噪声、控制有害气体和保障高温、高寒、高空作业安全等劳动保护措施。其雇佣人员在施工中受到伤害的，承包人应立即采取有效措施进行抢救和治疗。</w:t>
      </w:r>
    </w:p>
    <w:p w14:paraId="48D1BB0A">
      <w:pPr>
        <w:pStyle w:val="9"/>
        <w:spacing w:line="400" w:lineRule="exact"/>
        <w:ind w:firstLine="420" w:firstLineChars="200"/>
        <w:rPr>
          <w:rFonts w:ascii="宋体" w:hAnsi="宋体"/>
          <w:color w:val="auto"/>
          <w:highlight w:val="none"/>
        </w:rPr>
      </w:pPr>
      <w:r>
        <w:rPr>
          <w:rFonts w:hint="eastAsia" w:ascii="宋体" w:hAnsi="宋体"/>
          <w:color w:val="auto"/>
          <w:highlight w:val="none"/>
        </w:rPr>
        <w:t>4.8.5 承包人应按有关法律规定和合同约定，为其雇佣人员办理保险。</w:t>
      </w:r>
    </w:p>
    <w:p w14:paraId="0BD99FF2">
      <w:pPr>
        <w:pStyle w:val="9"/>
        <w:spacing w:line="400" w:lineRule="exact"/>
        <w:ind w:firstLine="420" w:firstLineChars="200"/>
        <w:rPr>
          <w:rFonts w:ascii="隶书" w:eastAsia="隶书"/>
          <w:color w:val="auto"/>
          <w:highlight w:val="none"/>
        </w:rPr>
      </w:pPr>
      <w:r>
        <w:rPr>
          <w:rFonts w:hint="eastAsia" w:ascii="宋体" w:hAnsi="宋体"/>
          <w:color w:val="auto"/>
          <w:highlight w:val="none"/>
        </w:rPr>
        <w:t>4.8.6 承包人应负责处理其雇佣人员因工伤亡事故的善后事宜。</w:t>
      </w:r>
    </w:p>
    <w:p w14:paraId="4A1ACB98">
      <w:pPr>
        <w:pStyle w:val="51"/>
        <w:outlineLvl w:val="3"/>
        <w:rPr>
          <w:color w:val="auto"/>
          <w:highlight w:val="none"/>
        </w:rPr>
      </w:pPr>
      <w:bookmarkStart w:id="231" w:name="_Toc27249"/>
      <w:bookmarkStart w:id="232" w:name="_Toc1805"/>
      <w:bookmarkStart w:id="233" w:name="_Toc240967071"/>
      <w:r>
        <w:rPr>
          <w:rFonts w:hint="eastAsia"/>
          <w:color w:val="auto"/>
          <w:highlight w:val="none"/>
        </w:rPr>
        <w:t>4.9 工程价款应专款专用</w:t>
      </w:r>
      <w:bookmarkEnd w:id="231"/>
      <w:bookmarkEnd w:id="232"/>
      <w:bookmarkEnd w:id="233"/>
    </w:p>
    <w:p w14:paraId="35F25CED">
      <w:pPr>
        <w:pStyle w:val="9"/>
        <w:spacing w:line="400" w:lineRule="exact"/>
        <w:ind w:firstLine="420" w:firstLineChars="200"/>
        <w:rPr>
          <w:rFonts w:ascii="隶书" w:eastAsia="隶书"/>
          <w:color w:val="auto"/>
          <w:highlight w:val="none"/>
        </w:rPr>
      </w:pPr>
      <w:r>
        <w:rPr>
          <w:rFonts w:hint="eastAsia" w:ascii="宋体" w:hAnsi="宋体"/>
          <w:color w:val="auto"/>
          <w:highlight w:val="none"/>
        </w:rPr>
        <w:t>发包人按合同约定支付给承包人的各项价款应专用于合同工程。</w:t>
      </w:r>
    </w:p>
    <w:p w14:paraId="570239F9">
      <w:pPr>
        <w:pStyle w:val="51"/>
        <w:outlineLvl w:val="3"/>
        <w:rPr>
          <w:color w:val="auto"/>
          <w:highlight w:val="none"/>
        </w:rPr>
      </w:pPr>
      <w:bookmarkStart w:id="234" w:name="_Toc11511"/>
      <w:bookmarkStart w:id="235" w:name="_Toc240967072"/>
      <w:bookmarkStart w:id="236" w:name="_Toc29251"/>
      <w:r>
        <w:rPr>
          <w:rFonts w:hint="eastAsia"/>
          <w:color w:val="auto"/>
          <w:highlight w:val="none"/>
        </w:rPr>
        <w:t>4.10 承包人现场查勘</w:t>
      </w:r>
      <w:bookmarkEnd w:id="234"/>
      <w:bookmarkEnd w:id="235"/>
      <w:bookmarkEnd w:id="236"/>
      <w:r>
        <w:rPr>
          <w:rFonts w:hint="eastAsia"/>
          <w:color w:val="auto"/>
          <w:highlight w:val="none"/>
        </w:rPr>
        <w:t xml:space="preserve">                                                                                                           </w:t>
      </w:r>
    </w:p>
    <w:p w14:paraId="7E9346F1">
      <w:pPr>
        <w:pStyle w:val="9"/>
        <w:spacing w:line="400" w:lineRule="exact"/>
        <w:ind w:firstLine="420" w:firstLineChars="200"/>
        <w:rPr>
          <w:rFonts w:ascii="宋体" w:hAnsi="宋体"/>
          <w:color w:val="auto"/>
          <w:highlight w:val="none"/>
        </w:rPr>
      </w:pPr>
      <w:r>
        <w:rPr>
          <w:rFonts w:hint="eastAsia" w:ascii="宋体" w:hAnsi="宋体"/>
          <w:color w:val="auto"/>
          <w:highlight w:val="none"/>
        </w:rPr>
        <w:t>4.10.1 发包人应将其持有的现场地质勘探资料、水文气象资料提供给承包人，并对其准确性负责。但承包人应对其阅读上述有关资料后所作出的解释和推断负责。</w:t>
      </w:r>
    </w:p>
    <w:p w14:paraId="5286343E">
      <w:pPr>
        <w:pStyle w:val="9"/>
        <w:spacing w:line="400" w:lineRule="exact"/>
        <w:ind w:firstLine="420" w:firstLineChars="200"/>
        <w:rPr>
          <w:rFonts w:ascii="隶书" w:eastAsia="隶书"/>
          <w:color w:val="auto"/>
          <w:highlight w:val="none"/>
        </w:rPr>
      </w:pPr>
      <w:r>
        <w:rPr>
          <w:rFonts w:hint="eastAsia" w:ascii="宋体" w:hAnsi="宋体"/>
          <w:color w:val="auto"/>
          <w:highlight w:val="none"/>
        </w:rPr>
        <w:t>4.10.2 承包人应对施工场地和周围环境进行查勘，并收集有关地质、水文、气象条件、交通条件、风俗习惯以及其他为完成合同工作有关的当地资料。在全部合同工作中，应视为承包人已充分估计了应承担的责任和风险。</w:t>
      </w:r>
    </w:p>
    <w:p w14:paraId="1AD624B7">
      <w:pPr>
        <w:pStyle w:val="51"/>
        <w:outlineLvl w:val="3"/>
        <w:rPr>
          <w:color w:val="auto"/>
          <w:highlight w:val="none"/>
        </w:rPr>
      </w:pPr>
      <w:bookmarkStart w:id="237" w:name="_Toc2072"/>
      <w:bookmarkStart w:id="238" w:name="_Toc240967073"/>
      <w:bookmarkStart w:id="239" w:name="_Toc30240"/>
      <w:r>
        <w:rPr>
          <w:rFonts w:hint="eastAsia"/>
          <w:color w:val="auto"/>
          <w:highlight w:val="none"/>
        </w:rPr>
        <w:t>4.11 不利物质条件</w:t>
      </w:r>
      <w:bookmarkEnd w:id="237"/>
      <w:bookmarkEnd w:id="238"/>
      <w:bookmarkEnd w:id="239"/>
    </w:p>
    <w:p w14:paraId="7CE1C333">
      <w:pPr>
        <w:pStyle w:val="9"/>
        <w:spacing w:line="400" w:lineRule="exact"/>
        <w:ind w:firstLine="420" w:firstLineChars="200"/>
        <w:rPr>
          <w:rFonts w:ascii="宋体" w:hAnsi="宋体"/>
          <w:color w:val="auto"/>
          <w:highlight w:val="none"/>
        </w:rPr>
      </w:pPr>
      <w:r>
        <w:rPr>
          <w:rFonts w:hint="eastAsia" w:ascii="宋体" w:hAnsi="宋体"/>
          <w:color w:val="auto"/>
          <w:highlight w:val="none"/>
        </w:rPr>
        <w:t>4.11.1 不利物质条件，除专用合同条款另有约定外，是指承包人在施工场地遇到的不可预见的自然物质条件、非自然的物质障碍和污染物，包括地下和水文条件，但不包括气候条件。</w:t>
      </w:r>
    </w:p>
    <w:p w14:paraId="737CBF2D">
      <w:pPr>
        <w:pStyle w:val="9"/>
        <w:spacing w:line="400" w:lineRule="exact"/>
        <w:ind w:firstLine="420" w:firstLineChars="200"/>
        <w:rPr>
          <w:rFonts w:ascii="宋体" w:hAnsi="宋体"/>
          <w:color w:val="auto"/>
          <w:highlight w:val="none"/>
        </w:rPr>
      </w:pPr>
      <w:r>
        <w:rPr>
          <w:rFonts w:hint="eastAsia" w:ascii="宋体" w:hAnsi="宋体"/>
          <w:color w:val="auto"/>
          <w:highlight w:val="none"/>
        </w:rPr>
        <w:t>4.11.2 承包人遇到不利物质条件时，应采取适应不利物质条件的合理措施继续施工，并及时通知监理人。监理人应当及时发出指示，指示构成变更的，按第15条约定办理。监理人没有发出指示的，承包人因采取合理措施而增加的费用和（或）工期延误，由发包人承担。</w:t>
      </w:r>
    </w:p>
    <w:p w14:paraId="3A8DDDA8">
      <w:pPr>
        <w:pStyle w:val="52"/>
        <w:outlineLvl w:val="2"/>
        <w:rPr>
          <w:color w:val="auto"/>
          <w:highlight w:val="none"/>
        </w:rPr>
      </w:pPr>
      <w:bookmarkStart w:id="240" w:name="_Toc30782"/>
      <w:bookmarkStart w:id="241" w:name="_Toc240967074"/>
      <w:bookmarkStart w:id="242" w:name="_Toc24840"/>
      <w:r>
        <w:rPr>
          <w:rFonts w:hint="eastAsia"/>
          <w:color w:val="auto"/>
          <w:highlight w:val="none"/>
        </w:rPr>
        <w:t>5. 材料和工程设备</w:t>
      </w:r>
      <w:bookmarkEnd w:id="240"/>
      <w:bookmarkEnd w:id="241"/>
      <w:bookmarkEnd w:id="242"/>
    </w:p>
    <w:p w14:paraId="7AA3B6B2">
      <w:pPr>
        <w:pStyle w:val="51"/>
        <w:outlineLvl w:val="3"/>
        <w:rPr>
          <w:color w:val="auto"/>
          <w:highlight w:val="none"/>
        </w:rPr>
      </w:pPr>
      <w:bookmarkStart w:id="243" w:name="_Toc27065"/>
      <w:bookmarkStart w:id="244" w:name="_Toc240967075"/>
      <w:bookmarkStart w:id="245" w:name="_Toc25715"/>
      <w:r>
        <w:rPr>
          <w:rFonts w:hint="eastAsia"/>
          <w:color w:val="auto"/>
          <w:highlight w:val="none"/>
        </w:rPr>
        <w:t>5.1 承包人提供的材料和工程设备</w:t>
      </w:r>
      <w:bookmarkEnd w:id="243"/>
      <w:bookmarkEnd w:id="244"/>
      <w:bookmarkEnd w:id="245"/>
    </w:p>
    <w:p w14:paraId="371A2D9A">
      <w:pPr>
        <w:pStyle w:val="9"/>
        <w:spacing w:line="400" w:lineRule="exact"/>
        <w:ind w:firstLine="420" w:firstLineChars="200"/>
        <w:rPr>
          <w:rFonts w:ascii="宋体" w:hAnsi="宋体"/>
          <w:color w:val="auto"/>
          <w:highlight w:val="none"/>
        </w:rPr>
      </w:pPr>
      <w:r>
        <w:rPr>
          <w:rFonts w:hint="eastAsia" w:ascii="宋体" w:hAnsi="宋体"/>
          <w:color w:val="auto"/>
          <w:highlight w:val="none"/>
        </w:rPr>
        <w:t>5.1.1 除专用合同条款另有约定外，承包人提供的材料和工程设备均由承包人负责采购、运输和保管。承包人应对其采购的材料和工程设备负责。</w:t>
      </w:r>
    </w:p>
    <w:p w14:paraId="3E044CDA">
      <w:pPr>
        <w:pStyle w:val="9"/>
        <w:spacing w:line="400" w:lineRule="exact"/>
        <w:ind w:firstLine="420" w:firstLineChars="200"/>
        <w:rPr>
          <w:rFonts w:ascii="宋体" w:hAnsi="宋体"/>
          <w:color w:val="auto"/>
          <w:highlight w:val="none"/>
        </w:rPr>
      </w:pPr>
      <w:r>
        <w:rPr>
          <w:rFonts w:hint="eastAsia" w:ascii="宋体" w:hAnsi="宋体"/>
          <w:color w:val="auto"/>
          <w:highlight w:val="none"/>
        </w:rPr>
        <w:t>5.1.2 承包人应按专用合同条款的约定，将各项材料和工程设备的供货人及品种、规格、数量和供货时间等报送监理人审批。承包人应向监理人提交其负责提供的材料和工程设备的质量证明文件，并满足合同约定的质量标准。</w:t>
      </w:r>
    </w:p>
    <w:p w14:paraId="04C06E2E">
      <w:pPr>
        <w:pStyle w:val="9"/>
        <w:spacing w:line="400" w:lineRule="exact"/>
        <w:ind w:firstLine="420" w:firstLineChars="200"/>
        <w:rPr>
          <w:rFonts w:ascii="隶书" w:eastAsia="隶书"/>
          <w:color w:val="auto"/>
          <w:highlight w:val="none"/>
        </w:rPr>
      </w:pPr>
      <w:r>
        <w:rPr>
          <w:rFonts w:hint="eastAsia" w:ascii="宋体" w:hAnsi="宋体"/>
          <w:color w:val="auto"/>
          <w:highlight w:val="none"/>
        </w:rPr>
        <w:t>5.1.3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p>
    <w:p w14:paraId="15BDC3C0">
      <w:pPr>
        <w:pStyle w:val="51"/>
        <w:outlineLvl w:val="3"/>
        <w:rPr>
          <w:color w:val="auto"/>
          <w:highlight w:val="none"/>
        </w:rPr>
      </w:pPr>
      <w:bookmarkStart w:id="246" w:name="_Toc2033"/>
      <w:bookmarkStart w:id="247" w:name="_Toc2806"/>
      <w:bookmarkStart w:id="248" w:name="_Toc240967076"/>
      <w:r>
        <w:rPr>
          <w:rFonts w:hint="eastAsia"/>
          <w:color w:val="auto"/>
          <w:highlight w:val="none"/>
        </w:rPr>
        <w:t>5.2 发包人提供的材料和工程设备</w:t>
      </w:r>
      <w:bookmarkEnd w:id="246"/>
      <w:bookmarkEnd w:id="247"/>
      <w:bookmarkEnd w:id="248"/>
    </w:p>
    <w:p w14:paraId="380BF165">
      <w:pPr>
        <w:pStyle w:val="9"/>
        <w:spacing w:line="400" w:lineRule="exact"/>
        <w:ind w:firstLine="420" w:firstLineChars="200"/>
        <w:rPr>
          <w:rFonts w:ascii="宋体" w:hAnsi="宋体"/>
          <w:color w:val="auto"/>
          <w:highlight w:val="none"/>
        </w:rPr>
      </w:pPr>
      <w:r>
        <w:rPr>
          <w:rFonts w:hint="eastAsia" w:ascii="宋体" w:hAnsi="宋体"/>
          <w:color w:val="auto"/>
          <w:highlight w:val="none"/>
        </w:rPr>
        <w:t>5.2.1 发包人提供的材料和工程设备，应在专用合同条款中写明材料和工程设备的名称、规格、数量、价格、交货方式、交货地点和计划交货日期等。</w:t>
      </w:r>
    </w:p>
    <w:p w14:paraId="01B1446C">
      <w:pPr>
        <w:pStyle w:val="9"/>
        <w:spacing w:line="400" w:lineRule="exact"/>
        <w:ind w:firstLine="420" w:firstLineChars="200"/>
        <w:rPr>
          <w:rFonts w:ascii="宋体" w:hAnsi="宋体"/>
          <w:color w:val="auto"/>
          <w:highlight w:val="none"/>
        </w:rPr>
      </w:pPr>
      <w:r>
        <w:rPr>
          <w:rFonts w:hint="eastAsia" w:ascii="宋体" w:hAnsi="宋体"/>
          <w:color w:val="auto"/>
          <w:highlight w:val="none"/>
        </w:rPr>
        <w:t>5.2.2 承包人应根据合同进度计划的安排，向监理人报送要求发包人交货的日期计划。发包人应按照监理人与合同双方当事人商定的交货日期，向承包人提交材料和工程设备。</w:t>
      </w:r>
    </w:p>
    <w:p w14:paraId="0A798322">
      <w:pPr>
        <w:pStyle w:val="9"/>
        <w:spacing w:line="400" w:lineRule="exact"/>
        <w:ind w:firstLine="420" w:firstLineChars="200"/>
        <w:rPr>
          <w:rFonts w:ascii="宋体" w:hAnsi="宋体"/>
          <w:color w:val="auto"/>
          <w:highlight w:val="none"/>
        </w:rPr>
      </w:pPr>
      <w:r>
        <w:rPr>
          <w:rFonts w:hint="eastAsia" w:ascii="宋体" w:hAnsi="宋体"/>
          <w:color w:val="auto"/>
          <w:highlight w:val="none"/>
        </w:rPr>
        <w:t>5.2.3 发包人应在材料和工程设备到货7天前通知承包人，承包人应会同监理人在约定的时间内，赴交货地点共同进行验收。除专用合同条款另有约定外，发包人提供的材料和工程设备验收后，由承包人负责接收、运输和保管。</w:t>
      </w:r>
    </w:p>
    <w:p w14:paraId="429C764E">
      <w:pPr>
        <w:pStyle w:val="9"/>
        <w:spacing w:line="400" w:lineRule="exact"/>
        <w:ind w:firstLine="420" w:firstLineChars="200"/>
        <w:rPr>
          <w:rFonts w:ascii="宋体" w:hAnsi="宋体"/>
          <w:color w:val="auto"/>
          <w:highlight w:val="none"/>
        </w:rPr>
      </w:pPr>
      <w:r>
        <w:rPr>
          <w:rFonts w:hint="eastAsia" w:ascii="宋体" w:hAnsi="宋体"/>
          <w:color w:val="auto"/>
          <w:highlight w:val="none"/>
        </w:rPr>
        <w:t xml:space="preserve">5.2.4 发包人要求向承包人提前交货的，承包人不得拒绝，但发包人应承担承包人由此增加的费用。 </w:t>
      </w:r>
    </w:p>
    <w:p w14:paraId="2B994D9D">
      <w:pPr>
        <w:pStyle w:val="9"/>
        <w:spacing w:line="400" w:lineRule="exact"/>
        <w:ind w:firstLine="420" w:firstLineChars="200"/>
        <w:rPr>
          <w:rFonts w:ascii="宋体" w:hAnsi="宋体"/>
          <w:color w:val="auto"/>
          <w:highlight w:val="none"/>
        </w:rPr>
      </w:pPr>
      <w:r>
        <w:rPr>
          <w:rFonts w:hint="eastAsia" w:ascii="宋体" w:hAnsi="宋体"/>
          <w:color w:val="auto"/>
          <w:highlight w:val="none"/>
        </w:rPr>
        <w:t xml:space="preserve">5.2.5 承包人要求更改交货日期或地点的，应事先报请监理人批准。由于承包人要求更改交货时间或地点所增加的费用和（或）工期延误由承包人承担。 </w:t>
      </w:r>
    </w:p>
    <w:p w14:paraId="780167B4">
      <w:pPr>
        <w:pStyle w:val="9"/>
        <w:spacing w:line="400" w:lineRule="exact"/>
        <w:ind w:firstLine="420" w:firstLineChars="200"/>
        <w:rPr>
          <w:rFonts w:ascii="隶书" w:eastAsia="隶书"/>
          <w:color w:val="auto"/>
          <w:highlight w:val="none"/>
        </w:rPr>
      </w:pPr>
      <w:r>
        <w:rPr>
          <w:rFonts w:hint="eastAsia" w:ascii="宋体" w:hAnsi="宋体"/>
          <w:color w:val="auto"/>
          <w:highlight w:val="none"/>
        </w:rPr>
        <w:t>5.2.6 发包人提供的材料和工程设备的规格、数量或质量不符合合同要求，或由于发包人原因发生交货日期延误及交货地点变更等情况的，发包人应承担由此增加的费用和（或）工期延误，并向承包人支付合理利润。</w:t>
      </w:r>
    </w:p>
    <w:p w14:paraId="173F4863">
      <w:pPr>
        <w:pStyle w:val="51"/>
        <w:outlineLvl w:val="3"/>
        <w:rPr>
          <w:color w:val="auto"/>
          <w:highlight w:val="none"/>
        </w:rPr>
      </w:pPr>
      <w:bookmarkStart w:id="249" w:name="_Toc28322"/>
      <w:bookmarkStart w:id="250" w:name="_Toc240967077"/>
      <w:bookmarkStart w:id="251" w:name="_Toc19181"/>
      <w:r>
        <w:rPr>
          <w:rFonts w:hint="eastAsia"/>
          <w:color w:val="auto"/>
          <w:highlight w:val="none"/>
        </w:rPr>
        <w:t>5.3 材料和工程设备专用于合同工程</w:t>
      </w:r>
      <w:bookmarkEnd w:id="249"/>
      <w:bookmarkEnd w:id="250"/>
      <w:bookmarkEnd w:id="251"/>
    </w:p>
    <w:p w14:paraId="7347C171">
      <w:pPr>
        <w:pStyle w:val="9"/>
        <w:spacing w:line="400" w:lineRule="exact"/>
        <w:ind w:firstLine="420" w:firstLineChars="200"/>
        <w:rPr>
          <w:rFonts w:ascii="宋体" w:hAnsi="宋体"/>
          <w:color w:val="auto"/>
          <w:highlight w:val="none"/>
        </w:rPr>
      </w:pPr>
      <w:r>
        <w:rPr>
          <w:rFonts w:hint="eastAsia" w:ascii="宋体" w:hAnsi="宋体"/>
          <w:color w:val="auto"/>
          <w:highlight w:val="none"/>
        </w:rPr>
        <w:t>5.3.1运入施工场地的材料、工程设备，包括备品备件、安装专用工器具与随机资料，必须专用于合同工程，未经监理人同意，承包人不得运出施工场地或挪作他用。</w:t>
      </w:r>
    </w:p>
    <w:p w14:paraId="4311367F">
      <w:pPr>
        <w:pStyle w:val="9"/>
        <w:spacing w:line="400" w:lineRule="exact"/>
        <w:ind w:firstLine="420" w:firstLineChars="200"/>
        <w:rPr>
          <w:rFonts w:ascii="宋体" w:hAnsi="宋体"/>
          <w:color w:val="auto"/>
          <w:highlight w:val="none"/>
        </w:rPr>
      </w:pPr>
      <w:r>
        <w:rPr>
          <w:rFonts w:hint="eastAsia" w:ascii="宋体" w:hAnsi="宋体"/>
          <w:color w:val="auto"/>
          <w:highlight w:val="none"/>
        </w:rPr>
        <w:t>5.3.2 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14:paraId="118C0549">
      <w:pPr>
        <w:pStyle w:val="51"/>
        <w:outlineLvl w:val="3"/>
        <w:rPr>
          <w:color w:val="auto"/>
          <w:highlight w:val="none"/>
        </w:rPr>
      </w:pPr>
      <w:bookmarkStart w:id="252" w:name="_Toc5510"/>
      <w:bookmarkStart w:id="253" w:name="_Toc240967078"/>
      <w:bookmarkStart w:id="254" w:name="_Toc13353"/>
      <w:r>
        <w:rPr>
          <w:rFonts w:hint="eastAsia"/>
          <w:color w:val="auto"/>
          <w:highlight w:val="none"/>
        </w:rPr>
        <w:t>5.4 禁止使用不合格的材料和工程设备</w:t>
      </w:r>
      <w:bookmarkEnd w:id="252"/>
      <w:bookmarkEnd w:id="253"/>
      <w:bookmarkEnd w:id="254"/>
    </w:p>
    <w:p w14:paraId="19CFD087">
      <w:pPr>
        <w:pStyle w:val="9"/>
        <w:spacing w:line="400" w:lineRule="exact"/>
        <w:ind w:firstLine="420" w:firstLineChars="200"/>
        <w:rPr>
          <w:rFonts w:ascii="宋体" w:hAnsi="宋体"/>
          <w:color w:val="auto"/>
          <w:highlight w:val="none"/>
        </w:rPr>
      </w:pPr>
      <w:r>
        <w:rPr>
          <w:rFonts w:hint="eastAsia" w:ascii="宋体" w:hAnsi="宋体"/>
          <w:color w:val="auto"/>
          <w:highlight w:val="none"/>
        </w:rPr>
        <w:t>5.4.1 监理人有权拒绝承包人提供的不合格材料或工程设备，并要求承包人立即进行更换。监理人应在更换后再次进行检查和检验，由此增加的费用和（或）工期延误由承包人承担。</w:t>
      </w:r>
    </w:p>
    <w:p w14:paraId="5D652977">
      <w:pPr>
        <w:pStyle w:val="9"/>
        <w:spacing w:line="400" w:lineRule="exact"/>
        <w:ind w:firstLine="420" w:firstLineChars="200"/>
        <w:rPr>
          <w:rFonts w:ascii="宋体" w:hAnsi="宋体"/>
          <w:color w:val="auto"/>
          <w:highlight w:val="none"/>
        </w:rPr>
      </w:pPr>
      <w:r>
        <w:rPr>
          <w:rFonts w:hint="eastAsia" w:ascii="宋体" w:hAnsi="宋体"/>
          <w:color w:val="auto"/>
          <w:highlight w:val="none"/>
        </w:rPr>
        <w:t>5.4.2 监理人发现承包人使用了不合格的材料和工程设备，应即时发出指示要求承包人立即改正，并禁止在工程中继续使用不合格的材料和工程设备。</w:t>
      </w:r>
    </w:p>
    <w:p w14:paraId="63996B0A">
      <w:pPr>
        <w:pStyle w:val="9"/>
        <w:spacing w:line="400" w:lineRule="exact"/>
        <w:ind w:firstLine="420" w:firstLineChars="200"/>
        <w:rPr>
          <w:rFonts w:ascii="宋体" w:hAnsi="宋体"/>
          <w:color w:val="auto"/>
          <w:highlight w:val="none"/>
        </w:rPr>
      </w:pPr>
      <w:r>
        <w:rPr>
          <w:rFonts w:hint="eastAsia" w:ascii="宋体" w:hAnsi="宋体"/>
          <w:color w:val="auto"/>
          <w:highlight w:val="none"/>
        </w:rPr>
        <w:t>5.4.3 发包人提供的材料或工程设备不符合合同要求的，承包人有权拒绝，并可要求发包人更换，由此增加的费用和（或）工期延误由发包人承担。</w:t>
      </w:r>
    </w:p>
    <w:p w14:paraId="6A40E760">
      <w:pPr>
        <w:pStyle w:val="52"/>
        <w:outlineLvl w:val="2"/>
        <w:rPr>
          <w:color w:val="auto"/>
          <w:highlight w:val="none"/>
        </w:rPr>
      </w:pPr>
      <w:bookmarkStart w:id="255" w:name="_Toc240967079"/>
      <w:bookmarkStart w:id="256" w:name="_Toc32229"/>
      <w:bookmarkStart w:id="257" w:name="_Toc26434"/>
      <w:r>
        <w:rPr>
          <w:rFonts w:hint="eastAsia"/>
          <w:color w:val="auto"/>
          <w:highlight w:val="none"/>
        </w:rPr>
        <w:t>6. 施工设备和临时设施</w:t>
      </w:r>
      <w:bookmarkEnd w:id="255"/>
      <w:bookmarkEnd w:id="256"/>
      <w:bookmarkEnd w:id="257"/>
    </w:p>
    <w:p w14:paraId="6B8121B7">
      <w:pPr>
        <w:pStyle w:val="51"/>
        <w:outlineLvl w:val="3"/>
        <w:rPr>
          <w:color w:val="auto"/>
          <w:highlight w:val="none"/>
        </w:rPr>
      </w:pPr>
      <w:bookmarkStart w:id="258" w:name="_Toc22756"/>
      <w:bookmarkStart w:id="259" w:name="_Toc240967080"/>
      <w:bookmarkStart w:id="260" w:name="_Toc19948"/>
      <w:r>
        <w:rPr>
          <w:rFonts w:hint="eastAsia"/>
          <w:color w:val="auto"/>
          <w:highlight w:val="none"/>
        </w:rPr>
        <w:t>6.1 承包人提供的施工设备和临时设施</w:t>
      </w:r>
      <w:bookmarkEnd w:id="258"/>
      <w:bookmarkEnd w:id="259"/>
      <w:bookmarkEnd w:id="260"/>
    </w:p>
    <w:p w14:paraId="69048BAB">
      <w:pPr>
        <w:pStyle w:val="9"/>
        <w:spacing w:line="400" w:lineRule="exact"/>
        <w:ind w:firstLine="420" w:firstLineChars="200"/>
        <w:rPr>
          <w:rFonts w:ascii="宋体" w:hAnsi="宋体"/>
          <w:color w:val="auto"/>
          <w:highlight w:val="none"/>
        </w:rPr>
      </w:pPr>
      <w:r>
        <w:rPr>
          <w:rFonts w:hint="eastAsia" w:ascii="宋体" w:hAnsi="宋体"/>
          <w:color w:val="auto"/>
          <w:highlight w:val="none"/>
        </w:rPr>
        <w:t>6.1.1 承包人应按合同进度计划的要求，及时配置施工设备和修建临时设施。进入施工场地的承包人设备需经监理人核查后才能投入使用。承包人更换合同约定的承包人设备的，应报监理人批准。</w:t>
      </w:r>
    </w:p>
    <w:p w14:paraId="306D3BBB">
      <w:pPr>
        <w:pStyle w:val="9"/>
        <w:spacing w:line="400" w:lineRule="exact"/>
        <w:ind w:firstLine="420" w:firstLineChars="200"/>
        <w:rPr>
          <w:rFonts w:ascii="宋体" w:hAnsi="宋体"/>
          <w:color w:val="auto"/>
          <w:highlight w:val="none"/>
        </w:rPr>
      </w:pPr>
      <w:r>
        <w:rPr>
          <w:rFonts w:hint="eastAsia" w:ascii="宋体" w:hAnsi="宋体"/>
          <w:color w:val="auto"/>
          <w:highlight w:val="none"/>
        </w:rPr>
        <w:t>6.1.2除专用合同条款另有约定外，承包人应自行承担修建临时设施的费用，需要临时占地的，应由发包人办理申请手续并承担相应费用。</w:t>
      </w:r>
    </w:p>
    <w:p w14:paraId="22AC5DCD">
      <w:pPr>
        <w:pStyle w:val="51"/>
        <w:outlineLvl w:val="3"/>
        <w:rPr>
          <w:color w:val="auto"/>
          <w:highlight w:val="none"/>
        </w:rPr>
      </w:pPr>
      <w:bookmarkStart w:id="261" w:name="_Toc7464"/>
      <w:bookmarkStart w:id="262" w:name="_Toc240967081"/>
      <w:r>
        <w:rPr>
          <w:rFonts w:hint="eastAsia"/>
          <w:color w:val="auto"/>
          <w:highlight w:val="none"/>
        </w:rPr>
        <w:t>6.2 发包人提供的施工设备和临时设施</w:t>
      </w:r>
      <w:bookmarkEnd w:id="261"/>
      <w:bookmarkEnd w:id="262"/>
    </w:p>
    <w:p w14:paraId="6813D3EF">
      <w:pPr>
        <w:pStyle w:val="9"/>
        <w:spacing w:line="400" w:lineRule="exact"/>
        <w:ind w:firstLine="420" w:firstLineChars="200"/>
        <w:rPr>
          <w:rFonts w:ascii="宋体" w:hAnsi="宋体"/>
          <w:color w:val="auto"/>
          <w:highlight w:val="none"/>
        </w:rPr>
      </w:pPr>
      <w:r>
        <w:rPr>
          <w:rFonts w:hint="eastAsia" w:ascii="宋体" w:hAnsi="宋体"/>
          <w:color w:val="auto"/>
          <w:highlight w:val="none"/>
        </w:rPr>
        <w:t>发包人提供的施工设备或临时设施在专用合同条款中约定。</w:t>
      </w:r>
    </w:p>
    <w:p w14:paraId="646057E2">
      <w:pPr>
        <w:pStyle w:val="51"/>
        <w:outlineLvl w:val="3"/>
        <w:rPr>
          <w:color w:val="auto"/>
          <w:highlight w:val="none"/>
        </w:rPr>
      </w:pPr>
      <w:bookmarkStart w:id="263" w:name="_Toc23507"/>
      <w:bookmarkStart w:id="264" w:name="_Toc240967082"/>
      <w:bookmarkStart w:id="265" w:name="_Toc14616"/>
      <w:r>
        <w:rPr>
          <w:rFonts w:hint="eastAsia"/>
          <w:color w:val="auto"/>
          <w:highlight w:val="none"/>
        </w:rPr>
        <w:t>6.3 要求承包人增加或更换施工设备</w:t>
      </w:r>
      <w:bookmarkEnd w:id="263"/>
      <w:bookmarkEnd w:id="264"/>
      <w:bookmarkEnd w:id="265"/>
    </w:p>
    <w:p w14:paraId="6C3104F9">
      <w:pPr>
        <w:pStyle w:val="9"/>
        <w:spacing w:line="400" w:lineRule="exact"/>
        <w:ind w:firstLine="420" w:firstLineChars="200"/>
        <w:rPr>
          <w:rFonts w:ascii="宋体" w:hAnsi="宋体"/>
          <w:color w:val="auto"/>
          <w:highlight w:val="none"/>
        </w:rPr>
      </w:pPr>
      <w:r>
        <w:rPr>
          <w:rFonts w:hint="eastAsia" w:ascii="宋体" w:hAnsi="宋体"/>
          <w:color w:val="auto"/>
          <w:highlight w:val="none"/>
        </w:rPr>
        <w:t>承包人使用的施工设备不能满足合同进度计划和（或）质量要求时，监理人有权要求承包人增加或更换施工设备，承包人应及时增加或更换，由此增加的费用和（或）工期延误由承包人承担。</w:t>
      </w:r>
    </w:p>
    <w:p w14:paraId="560EF075">
      <w:pPr>
        <w:pStyle w:val="51"/>
        <w:outlineLvl w:val="3"/>
        <w:rPr>
          <w:color w:val="auto"/>
          <w:highlight w:val="none"/>
        </w:rPr>
      </w:pPr>
      <w:bookmarkStart w:id="266" w:name="_Toc14499"/>
      <w:bookmarkStart w:id="267" w:name="_Toc25092"/>
      <w:bookmarkStart w:id="268" w:name="_Toc240967083"/>
      <w:r>
        <w:rPr>
          <w:rFonts w:hint="eastAsia"/>
          <w:color w:val="auto"/>
          <w:highlight w:val="none"/>
        </w:rPr>
        <w:t>6.4 施工设备和临时设施专用于合同工程</w:t>
      </w:r>
      <w:bookmarkEnd w:id="266"/>
      <w:bookmarkEnd w:id="267"/>
      <w:bookmarkEnd w:id="268"/>
    </w:p>
    <w:p w14:paraId="7A99DFCD">
      <w:pPr>
        <w:pStyle w:val="9"/>
        <w:spacing w:line="400" w:lineRule="exact"/>
        <w:ind w:firstLine="420" w:firstLineChars="200"/>
        <w:rPr>
          <w:rFonts w:ascii="宋体" w:hAnsi="宋体"/>
          <w:color w:val="auto"/>
          <w:highlight w:val="none"/>
        </w:rPr>
      </w:pPr>
      <w:r>
        <w:rPr>
          <w:rFonts w:hint="eastAsia" w:ascii="宋体" w:hAnsi="宋体"/>
          <w:color w:val="auto"/>
          <w:highlight w:val="none"/>
        </w:rPr>
        <w:t>6.4.1除合同另有约定外，运入施工场地的所有施工设备以及在施工场地建设的临时设施应专用于合同工程。未经监理人同意，不得将上述施工设备和临时设施中的任何部分运出施工场地或挪作他用。</w:t>
      </w:r>
    </w:p>
    <w:p w14:paraId="13DA5C1E">
      <w:pPr>
        <w:pStyle w:val="9"/>
        <w:spacing w:line="400" w:lineRule="exact"/>
        <w:ind w:firstLine="420" w:firstLineChars="200"/>
        <w:rPr>
          <w:rFonts w:ascii="宋体" w:hAnsi="宋体"/>
          <w:color w:val="auto"/>
          <w:highlight w:val="none"/>
        </w:rPr>
      </w:pPr>
      <w:r>
        <w:rPr>
          <w:rFonts w:hint="eastAsia" w:ascii="宋体" w:hAnsi="宋体"/>
          <w:color w:val="auto"/>
          <w:highlight w:val="none"/>
        </w:rPr>
        <w:t>6.4.2 经监理人同意，承包人可根据合同进度计划撤走闲置的施工设备。</w:t>
      </w:r>
    </w:p>
    <w:p w14:paraId="5E1B8750">
      <w:pPr>
        <w:pStyle w:val="52"/>
        <w:outlineLvl w:val="2"/>
        <w:rPr>
          <w:color w:val="auto"/>
          <w:highlight w:val="none"/>
        </w:rPr>
      </w:pPr>
      <w:bookmarkStart w:id="269" w:name="_Toc25607"/>
      <w:bookmarkStart w:id="270" w:name="_Toc240967084"/>
      <w:bookmarkStart w:id="271" w:name="_Toc26160"/>
      <w:r>
        <w:rPr>
          <w:rFonts w:hint="eastAsia"/>
          <w:color w:val="auto"/>
          <w:highlight w:val="none"/>
        </w:rPr>
        <w:t>7. 交通运输</w:t>
      </w:r>
      <w:bookmarkEnd w:id="269"/>
      <w:bookmarkEnd w:id="270"/>
      <w:bookmarkEnd w:id="271"/>
    </w:p>
    <w:p w14:paraId="5AB46E26">
      <w:pPr>
        <w:pStyle w:val="51"/>
        <w:outlineLvl w:val="3"/>
        <w:rPr>
          <w:color w:val="auto"/>
          <w:highlight w:val="none"/>
        </w:rPr>
      </w:pPr>
      <w:bookmarkStart w:id="272" w:name="_Toc9793"/>
      <w:bookmarkStart w:id="273" w:name="_Toc240967085"/>
      <w:bookmarkStart w:id="274" w:name="_Toc17951"/>
      <w:r>
        <w:rPr>
          <w:rFonts w:hint="eastAsia"/>
          <w:color w:val="auto"/>
          <w:highlight w:val="none"/>
        </w:rPr>
        <w:t>7.1 道路通行权和场外设施</w:t>
      </w:r>
      <w:bookmarkEnd w:id="272"/>
      <w:bookmarkEnd w:id="273"/>
      <w:bookmarkEnd w:id="274"/>
    </w:p>
    <w:p w14:paraId="5344C524">
      <w:pPr>
        <w:pStyle w:val="9"/>
        <w:spacing w:line="400" w:lineRule="exact"/>
        <w:ind w:firstLine="420" w:firstLineChars="200"/>
        <w:rPr>
          <w:rFonts w:ascii="宋体" w:hAnsi="宋体"/>
          <w:color w:val="auto"/>
          <w:highlight w:val="none"/>
        </w:rPr>
      </w:pPr>
      <w:r>
        <w:rPr>
          <w:rFonts w:hint="eastAsia" w:ascii="宋体" w:hAnsi="宋体"/>
          <w:color w:val="auto"/>
          <w:highlight w:val="none"/>
        </w:rPr>
        <w:t>除专用合同条款另有约定外，发包人应根据合同工程的施工需要，负责办理取得出入施工场地的专用和临时道路的通行权，以及取得为工程建设所需修建场外设施的权利，并承担有关费用。承包人应协助发包人办理上述手续。</w:t>
      </w:r>
    </w:p>
    <w:p w14:paraId="328E32BD">
      <w:pPr>
        <w:pStyle w:val="51"/>
        <w:outlineLvl w:val="3"/>
        <w:rPr>
          <w:color w:val="auto"/>
          <w:highlight w:val="none"/>
        </w:rPr>
      </w:pPr>
      <w:bookmarkStart w:id="275" w:name="_Toc240967086"/>
      <w:bookmarkStart w:id="276" w:name="_Toc3543"/>
      <w:bookmarkStart w:id="277" w:name="_Toc3105"/>
      <w:r>
        <w:rPr>
          <w:rFonts w:hint="eastAsia"/>
          <w:color w:val="auto"/>
          <w:highlight w:val="none"/>
        </w:rPr>
        <w:t>7.2 场内施工道路</w:t>
      </w:r>
      <w:bookmarkEnd w:id="275"/>
      <w:bookmarkEnd w:id="276"/>
      <w:bookmarkEnd w:id="277"/>
    </w:p>
    <w:p w14:paraId="0F7D9AA2">
      <w:pPr>
        <w:pStyle w:val="9"/>
        <w:spacing w:line="400" w:lineRule="exact"/>
        <w:ind w:firstLine="420" w:firstLineChars="200"/>
        <w:rPr>
          <w:rFonts w:ascii="宋体" w:hAnsi="宋体"/>
          <w:color w:val="auto"/>
          <w:highlight w:val="none"/>
        </w:rPr>
      </w:pPr>
      <w:r>
        <w:rPr>
          <w:rFonts w:hint="eastAsia" w:ascii="宋体" w:hAnsi="宋体"/>
          <w:color w:val="auto"/>
          <w:highlight w:val="none"/>
        </w:rPr>
        <w:t>7.2.1 除专用合同条款另有约定外，承包人应负责修建、维修、养护和管理施工所需的临时道路和交通设施，包括维修、养护和管理发包人提供的道路和交通设施，并承担相应费用。</w:t>
      </w:r>
    </w:p>
    <w:p w14:paraId="2A474591">
      <w:pPr>
        <w:pStyle w:val="9"/>
        <w:spacing w:line="400" w:lineRule="exact"/>
        <w:ind w:firstLine="420" w:firstLineChars="200"/>
        <w:rPr>
          <w:rFonts w:ascii="宋体" w:hAnsi="宋体"/>
          <w:color w:val="auto"/>
          <w:highlight w:val="none"/>
        </w:rPr>
      </w:pPr>
      <w:r>
        <w:rPr>
          <w:rFonts w:hint="eastAsia" w:ascii="宋体" w:hAnsi="宋体"/>
          <w:color w:val="auto"/>
          <w:highlight w:val="none"/>
        </w:rPr>
        <w:t>7.2.2 除专用合同条款另有约定外，承包人修建的临时道路和交通设施应免费提供发包人和监理人使用。</w:t>
      </w:r>
    </w:p>
    <w:p w14:paraId="7161EFD1">
      <w:pPr>
        <w:pStyle w:val="51"/>
        <w:outlineLvl w:val="3"/>
        <w:rPr>
          <w:color w:val="auto"/>
          <w:highlight w:val="none"/>
        </w:rPr>
      </w:pPr>
      <w:bookmarkStart w:id="278" w:name="_Toc18217"/>
      <w:bookmarkStart w:id="279" w:name="_Toc6634"/>
      <w:bookmarkStart w:id="280" w:name="_Toc240967087"/>
      <w:r>
        <w:rPr>
          <w:rFonts w:hint="eastAsia"/>
          <w:color w:val="auto"/>
          <w:highlight w:val="none"/>
        </w:rPr>
        <w:t>7.3 场外交通</w:t>
      </w:r>
      <w:bookmarkEnd w:id="278"/>
      <w:bookmarkEnd w:id="279"/>
      <w:bookmarkEnd w:id="280"/>
    </w:p>
    <w:p w14:paraId="623DA53E">
      <w:pPr>
        <w:pStyle w:val="9"/>
        <w:spacing w:line="400" w:lineRule="exact"/>
        <w:ind w:firstLine="420" w:firstLineChars="200"/>
        <w:rPr>
          <w:rFonts w:ascii="宋体" w:hAnsi="宋体"/>
          <w:color w:val="auto"/>
          <w:highlight w:val="none"/>
        </w:rPr>
      </w:pPr>
      <w:r>
        <w:rPr>
          <w:rFonts w:hint="eastAsia" w:ascii="宋体" w:hAnsi="宋体"/>
          <w:color w:val="auto"/>
          <w:highlight w:val="none"/>
        </w:rPr>
        <w:t>7.3.1 承包人车辆外出行驶所需的场外公共道路的通行费、养路费和税款等由承包人承担。</w:t>
      </w:r>
    </w:p>
    <w:p w14:paraId="3A6A552F">
      <w:pPr>
        <w:pStyle w:val="9"/>
        <w:spacing w:line="400" w:lineRule="exact"/>
        <w:ind w:firstLine="420" w:firstLineChars="200"/>
        <w:rPr>
          <w:rFonts w:ascii="宋体" w:hAnsi="宋体"/>
          <w:color w:val="auto"/>
          <w:highlight w:val="none"/>
        </w:rPr>
      </w:pPr>
      <w:r>
        <w:rPr>
          <w:rFonts w:hint="eastAsia" w:ascii="宋体" w:hAnsi="宋体"/>
          <w:color w:val="auto"/>
          <w:highlight w:val="none"/>
        </w:rPr>
        <w:t>7.3.2 承包人应遵守有关交通法规，严格按照道路和桥梁的限制荷重安全行驶，并服从交通管理部门的检查和监督。</w:t>
      </w:r>
    </w:p>
    <w:p w14:paraId="054FE201">
      <w:pPr>
        <w:pStyle w:val="51"/>
        <w:outlineLvl w:val="3"/>
        <w:rPr>
          <w:color w:val="auto"/>
          <w:highlight w:val="none"/>
        </w:rPr>
      </w:pPr>
      <w:bookmarkStart w:id="281" w:name="_Toc14617"/>
      <w:bookmarkStart w:id="282" w:name="_Toc240967088"/>
      <w:bookmarkStart w:id="283" w:name="_Toc16031"/>
      <w:r>
        <w:rPr>
          <w:rFonts w:hint="eastAsia"/>
          <w:color w:val="auto"/>
          <w:highlight w:val="none"/>
        </w:rPr>
        <w:t>7.4 超大件和超重件的运输</w:t>
      </w:r>
      <w:bookmarkEnd w:id="281"/>
      <w:bookmarkEnd w:id="282"/>
      <w:bookmarkEnd w:id="283"/>
    </w:p>
    <w:p w14:paraId="3A979BD6">
      <w:pPr>
        <w:pStyle w:val="9"/>
        <w:spacing w:line="400" w:lineRule="exact"/>
        <w:ind w:firstLine="420" w:firstLineChars="200"/>
        <w:rPr>
          <w:rFonts w:ascii="宋体" w:hAnsi="宋体"/>
          <w:color w:val="auto"/>
          <w:highlight w:val="none"/>
        </w:rPr>
      </w:pPr>
      <w:r>
        <w:rPr>
          <w:rFonts w:hint="eastAsia" w:ascii="宋体" w:hAnsi="宋体"/>
          <w:color w:val="auto"/>
          <w:highlight w:val="none"/>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0F539F7D">
      <w:pPr>
        <w:pStyle w:val="51"/>
        <w:outlineLvl w:val="3"/>
        <w:rPr>
          <w:color w:val="auto"/>
          <w:highlight w:val="none"/>
        </w:rPr>
      </w:pPr>
      <w:bookmarkStart w:id="284" w:name="_Toc240967089"/>
      <w:bookmarkStart w:id="285" w:name="_Toc353"/>
      <w:bookmarkStart w:id="286" w:name="_Toc23453"/>
      <w:r>
        <w:rPr>
          <w:rFonts w:hint="eastAsia"/>
          <w:color w:val="auto"/>
          <w:highlight w:val="none"/>
        </w:rPr>
        <w:t>7.5 道路和桥梁的损坏责任</w:t>
      </w:r>
      <w:bookmarkEnd w:id="284"/>
      <w:bookmarkEnd w:id="285"/>
      <w:bookmarkEnd w:id="286"/>
    </w:p>
    <w:p w14:paraId="78E12159">
      <w:pPr>
        <w:pStyle w:val="9"/>
        <w:spacing w:line="400" w:lineRule="exact"/>
        <w:ind w:firstLine="420" w:firstLineChars="200"/>
        <w:rPr>
          <w:rFonts w:ascii="宋体" w:hAnsi="宋体"/>
          <w:color w:val="auto"/>
          <w:highlight w:val="none"/>
        </w:rPr>
      </w:pPr>
      <w:r>
        <w:rPr>
          <w:rFonts w:hint="eastAsia" w:ascii="宋体" w:hAnsi="宋体"/>
          <w:color w:val="auto"/>
          <w:highlight w:val="none"/>
        </w:rPr>
        <w:t>因承包人运输造成施工场地内外公共道路和桥梁损坏的，由承包人承担修复损坏的全部费用和可能引起的赔偿。</w:t>
      </w:r>
    </w:p>
    <w:p w14:paraId="2364C120">
      <w:pPr>
        <w:pStyle w:val="51"/>
        <w:outlineLvl w:val="3"/>
        <w:rPr>
          <w:color w:val="auto"/>
          <w:highlight w:val="none"/>
        </w:rPr>
      </w:pPr>
      <w:bookmarkStart w:id="287" w:name="_Toc9928"/>
      <w:bookmarkStart w:id="288" w:name="_Toc17252"/>
      <w:bookmarkStart w:id="289" w:name="_Toc240967090"/>
      <w:r>
        <w:rPr>
          <w:rFonts w:hint="eastAsia"/>
          <w:color w:val="auto"/>
          <w:highlight w:val="none"/>
        </w:rPr>
        <w:t>7.6 水路和航空运输</w:t>
      </w:r>
      <w:bookmarkEnd w:id="287"/>
      <w:bookmarkEnd w:id="288"/>
      <w:bookmarkEnd w:id="289"/>
    </w:p>
    <w:p w14:paraId="34ED3EDB">
      <w:pPr>
        <w:pStyle w:val="9"/>
        <w:spacing w:line="400" w:lineRule="exact"/>
        <w:ind w:firstLine="420" w:firstLineChars="200"/>
        <w:rPr>
          <w:rFonts w:ascii="隶书" w:eastAsia="隶书"/>
          <w:color w:val="auto"/>
          <w:highlight w:val="none"/>
        </w:rPr>
      </w:pPr>
      <w:r>
        <w:rPr>
          <w:rFonts w:hint="eastAsia" w:ascii="宋体" w:hAnsi="宋体"/>
          <w:color w:val="auto"/>
          <w:highlight w:val="none"/>
        </w:rPr>
        <w:t>本条上述各款的内容适用于水路运输和航空运输，其中“道路”一词的涵义包括河道、航线、船闸、机场、码头、堤防以及水路或航空运输中其他相似结构物；“车辆”一词的涵义包括船舶和飞机等。</w:t>
      </w:r>
      <w:r>
        <w:rPr>
          <w:rFonts w:hint="eastAsia" w:ascii="隶书" w:eastAsia="隶书"/>
          <w:color w:val="auto"/>
          <w:highlight w:val="none"/>
        </w:rPr>
        <w:t xml:space="preserve"> </w:t>
      </w:r>
    </w:p>
    <w:p w14:paraId="4740CFA7">
      <w:pPr>
        <w:pStyle w:val="52"/>
        <w:outlineLvl w:val="2"/>
        <w:rPr>
          <w:color w:val="auto"/>
          <w:highlight w:val="none"/>
        </w:rPr>
      </w:pPr>
      <w:bookmarkStart w:id="290" w:name="_Toc240967091"/>
      <w:bookmarkStart w:id="291" w:name="_Toc18355"/>
      <w:bookmarkStart w:id="292" w:name="_Toc6676"/>
      <w:r>
        <w:rPr>
          <w:rFonts w:hint="eastAsia"/>
          <w:color w:val="auto"/>
          <w:highlight w:val="none"/>
        </w:rPr>
        <w:t>8. 测量放线</w:t>
      </w:r>
      <w:bookmarkEnd w:id="290"/>
      <w:bookmarkEnd w:id="291"/>
      <w:bookmarkEnd w:id="292"/>
    </w:p>
    <w:p w14:paraId="65AF9ADF">
      <w:pPr>
        <w:pStyle w:val="51"/>
        <w:outlineLvl w:val="3"/>
        <w:rPr>
          <w:color w:val="auto"/>
          <w:highlight w:val="none"/>
        </w:rPr>
      </w:pPr>
      <w:bookmarkStart w:id="293" w:name="_Toc15098"/>
      <w:bookmarkStart w:id="294" w:name="_Toc240967092"/>
      <w:bookmarkStart w:id="295" w:name="_Toc24627"/>
      <w:r>
        <w:rPr>
          <w:rFonts w:hint="eastAsia"/>
          <w:color w:val="auto"/>
          <w:highlight w:val="none"/>
        </w:rPr>
        <w:t>8.1 施工控制网</w:t>
      </w:r>
      <w:bookmarkEnd w:id="293"/>
      <w:bookmarkEnd w:id="294"/>
      <w:bookmarkEnd w:id="295"/>
    </w:p>
    <w:p w14:paraId="3D0A7BF1">
      <w:pPr>
        <w:pStyle w:val="9"/>
        <w:spacing w:line="400" w:lineRule="exact"/>
        <w:ind w:firstLine="420" w:firstLineChars="200"/>
        <w:rPr>
          <w:rFonts w:ascii="宋体" w:hAnsi="宋体"/>
          <w:color w:val="auto"/>
          <w:highlight w:val="none"/>
        </w:rPr>
      </w:pPr>
      <w:r>
        <w:rPr>
          <w:rFonts w:hint="eastAsia" w:ascii="宋体" w:hAnsi="宋体"/>
          <w:color w:val="auto"/>
          <w:highlight w:val="none"/>
        </w:rPr>
        <w:t>8.1.1发包人应在专用合同条款约定的期限内，通过监理人向承包人提供测量基准点、基准线和水准点及其书面资料。除专用合同条款另有约定外，承包人应根据国家测绘基准、测绘系统和工程测量技术规范，按上述基准点（线）以及合同工程精度要求，测设施工控制网，并在专用合同条款约定的期限内，将施工控制网资料报送监理人审批。</w:t>
      </w:r>
    </w:p>
    <w:p w14:paraId="49179437">
      <w:pPr>
        <w:pStyle w:val="9"/>
        <w:spacing w:line="400" w:lineRule="exact"/>
        <w:ind w:firstLine="420" w:firstLineChars="200"/>
        <w:rPr>
          <w:rFonts w:ascii="宋体" w:hAnsi="宋体"/>
          <w:color w:val="auto"/>
          <w:highlight w:val="none"/>
        </w:rPr>
      </w:pPr>
      <w:r>
        <w:rPr>
          <w:rFonts w:hint="eastAsia" w:ascii="宋体" w:hAnsi="宋体"/>
          <w:color w:val="auto"/>
          <w:highlight w:val="none"/>
        </w:rPr>
        <w:t>8.1.2承包人应负责管理施工控制网点。施工控制网点丢失或损坏的，承包人应及时修复。承包人应承担施工控制网点的管理与修复费用，并在工程竣工后将施工控制网点移交发包人。</w:t>
      </w:r>
    </w:p>
    <w:p w14:paraId="762FC6B1">
      <w:pPr>
        <w:pStyle w:val="51"/>
        <w:outlineLvl w:val="3"/>
        <w:rPr>
          <w:color w:val="auto"/>
          <w:highlight w:val="none"/>
        </w:rPr>
      </w:pPr>
      <w:bookmarkStart w:id="296" w:name="_Toc240967093"/>
      <w:bookmarkStart w:id="297" w:name="_Toc22811"/>
      <w:bookmarkStart w:id="298" w:name="_Toc15449"/>
      <w:r>
        <w:rPr>
          <w:rFonts w:hint="eastAsia"/>
          <w:color w:val="auto"/>
          <w:highlight w:val="none"/>
        </w:rPr>
        <w:t>8.2 施工测量</w:t>
      </w:r>
      <w:bookmarkEnd w:id="296"/>
      <w:bookmarkEnd w:id="297"/>
      <w:bookmarkEnd w:id="298"/>
    </w:p>
    <w:p w14:paraId="66D2D1C9">
      <w:pPr>
        <w:pStyle w:val="9"/>
        <w:spacing w:line="400" w:lineRule="exact"/>
        <w:ind w:firstLine="420" w:firstLineChars="200"/>
        <w:rPr>
          <w:rFonts w:ascii="宋体" w:hAnsi="宋体"/>
          <w:color w:val="auto"/>
          <w:highlight w:val="none"/>
        </w:rPr>
      </w:pPr>
      <w:r>
        <w:rPr>
          <w:rFonts w:hint="eastAsia" w:ascii="宋体" w:hAnsi="宋体"/>
          <w:color w:val="auto"/>
          <w:highlight w:val="none"/>
        </w:rPr>
        <w:t>8.2.1承包人应负责施工过程中的全部施工测量放线工作，并配置合格的人员、仪器、设备和其他物品。</w:t>
      </w:r>
    </w:p>
    <w:p w14:paraId="6D2D938B">
      <w:pPr>
        <w:pStyle w:val="9"/>
        <w:spacing w:line="400" w:lineRule="exact"/>
        <w:ind w:firstLine="420" w:firstLineChars="200"/>
        <w:rPr>
          <w:rFonts w:ascii="宋体" w:hAnsi="宋体"/>
          <w:color w:val="auto"/>
          <w:highlight w:val="none"/>
        </w:rPr>
      </w:pPr>
      <w:r>
        <w:rPr>
          <w:rFonts w:hint="eastAsia" w:ascii="宋体" w:hAnsi="宋体"/>
          <w:color w:val="auto"/>
          <w:highlight w:val="none"/>
        </w:rPr>
        <w:t>8.2.2监理人可以指示承包人进行抽样复测，当复测中发现错误或出现超过合同约定的误差时，承包人应按监理人指示进行修正或补测，并承担相应的复测费用。</w:t>
      </w:r>
    </w:p>
    <w:p w14:paraId="4595D61E">
      <w:pPr>
        <w:pStyle w:val="51"/>
        <w:outlineLvl w:val="3"/>
        <w:rPr>
          <w:color w:val="auto"/>
          <w:highlight w:val="none"/>
        </w:rPr>
      </w:pPr>
      <w:bookmarkStart w:id="299" w:name="_Toc20249"/>
      <w:bookmarkStart w:id="300" w:name="_Toc240967094"/>
      <w:bookmarkStart w:id="301" w:name="_Toc20154"/>
      <w:r>
        <w:rPr>
          <w:rFonts w:hint="eastAsia"/>
          <w:color w:val="auto"/>
          <w:highlight w:val="none"/>
        </w:rPr>
        <w:t>8.3 基准资料错误的责任</w:t>
      </w:r>
      <w:bookmarkEnd w:id="299"/>
      <w:bookmarkEnd w:id="300"/>
      <w:bookmarkEnd w:id="301"/>
    </w:p>
    <w:p w14:paraId="2386E83A">
      <w:pPr>
        <w:pStyle w:val="9"/>
        <w:spacing w:line="400" w:lineRule="exact"/>
        <w:ind w:firstLine="420" w:firstLineChars="200"/>
        <w:rPr>
          <w:rFonts w:ascii="宋体" w:hAnsi="宋体"/>
          <w:color w:val="auto"/>
          <w:highlight w:val="none"/>
        </w:rPr>
      </w:pPr>
      <w:r>
        <w:rPr>
          <w:rFonts w:hint="eastAsia" w:ascii="宋体" w:hAnsi="宋体"/>
          <w:color w:val="auto"/>
          <w:highlight w:val="none"/>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14:paraId="5E3D6602">
      <w:pPr>
        <w:pStyle w:val="51"/>
        <w:outlineLvl w:val="3"/>
        <w:rPr>
          <w:color w:val="auto"/>
          <w:highlight w:val="none"/>
        </w:rPr>
      </w:pPr>
      <w:bookmarkStart w:id="302" w:name="_Toc19470"/>
      <w:bookmarkStart w:id="303" w:name="_Toc240967095"/>
      <w:bookmarkStart w:id="304" w:name="_Toc4912"/>
      <w:r>
        <w:rPr>
          <w:rFonts w:hint="eastAsia"/>
          <w:color w:val="auto"/>
          <w:highlight w:val="none"/>
        </w:rPr>
        <w:t>8.4 监理人使用施工控制网</w:t>
      </w:r>
      <w:bookmarkEnd w:id="302"/>
      <w:bookmarkEnd w:id="303"/>
      <w:bookmarkEnd w:id="304"/>
    </w:p>
    <w:p w14:paraId="1C75C670">
      <w:pPr>
        <w:pStyle w:val="9"/>
        <w:spacing w:line="400" w:lineRule="exact"/>
        <w:ind w:firstLine="420" w:firstLineChars="200"/>
        <w:rPr>
          <w:rFonts w:ascii="宋体" w:hAnsi="宋体"/>
          <w:color w:val="auto"/>
          <w:highlight w:val="none"/>
        </w:rPr>
      </w:pPr>
      <w:r>
        <w:rPr>
          <w:rFonts w:hint="eastAsia" w:ascii="宋体" w:hAnsi="宋体"/>
          <w:color w:val="auto"/>
          <w:highlight w:val="none"/>
        </w:rPr>
        <w:t>监理人需要使用施工控制网的，承包人应提供必要的协助，发包人不再为此支付费用。</w:t>
      </w:r>
    </w:p>
    <w:p w14:paraId="4DA720F8">
      <w:pPr>
        <w:pStyle w:val="52"/>
        <w:outlineLvl w:val="2"/>
        <w:rPr>
          <w:color w:val="auto"/>
          <w:highlight w:val="none"/>
        </w:rPr>
      </w:pPr>
      <w:bookmarkStart w:id="305" w:name="_Toc3800"/>
      <w:bookmarkStart w:id="306" w:name="_Toc240967096"/>
      <w:bookmarkStart w:id="307" w:name="_Toc15395"/>
      <w:r>
        <w:rPr>
          <w:rFonts w:hint="eastAsia"/>
          <w:color w:val="auto"/>
          <w:highlight w:val="none"/>
        </w:rPr>
        <w:t>9. 施工安全、治安保卫和环境保护</w:t>
      </w:r>
      <w:bookmarkEnd w:id="305"/>
      <w:bookmarkEnd w:id="306"/>
      <w:bookmarkEnd w:id="307"/>
    </w:p>
    <w:p w14:paraId="1FA2CC4C">
      <w:pPr>
        <w:pStyle w:val="51"/>
        <w:outlineLvl w:val="3"/>
        <w:rPr>
          <w:color w:val="auto"/>
          <w:highlight w:val="none"/>
        </w:rPr>
      </w:pPr>
      <w:bookmarkStart w:id="308" w:name="_Toc240967097"/>
      <w:bookmarkStart w:id="309" w:name="_Toc19861"/>
      <w:bookmarkStart w:id="310" w:name="_Toc647"/>
      <w:r>
        <w:rPr>
          <w:rFonts w:hint="eastAsia"/>
          <w:color w:val="auto"/>
          <w:highlight w:val="none"/>
        </w:rPr>
        <w:t>9.1 发包人的施工安全责任</w:t>
      </w:r>
      <w:bookmarkEnd w:id="308"/>
      <w:bookmarkEnd w:id="309"/>
      <w:bookmarkEnd w:id="310"/>
    </w:p>
    <w:p w14:paraId="36A46057">
      <w:pPr>
        <w:pStyle w:val="9"/>
        <w:spacing w:line="400" w:lineRule="exact"/>
        <w:ind w:firstLine="420" w:firstLineChars="200"/>
        <w:rPr>
          <w:rFonts w:ascii="宋体" w:hAnsi="宋体"/>
          <w:color w:val="auto"/>
          <w:highlight w:val="none"/>
        </w:rPr>
      </w:pPr>
      <w:r>
        <w:rPr>
          <w:rFonts w:hint="eastAsia" w:ascii="宋体" w:hAnsi="宋体"/>
          <w:color w:val="auto"/>
          <w:highlight w:val="none"/>
        </w:rPr>
        <w:t>9.1.1 发包人应按合同约定履行安全职责，授权监理人按合同约定的安全工作内容监督、检查承包人安全工作的实施，组织承包人和有关单位进行安全检查。</w:t>
      </w:r>
    </w:p>
    <w:p w14:paraId="2A56C32B">
      <w:pPr>
        <w:pStyle w:val="9"/>
        <w:spacing w:line="400" w:lineRule="exact"/>
        <w:ind w:firstLine="420" w:firstLineChars="200"/>
        <w:rPr>
          <w:rFonts w:ascii="宋体" w:hAnsi="宋体"/>
          <w:color w:val="auto"/>
          <w:highlight w:val="none"/>
        </w:rPr>
      </w:pPr>
      <w:r>
        <w:rPr>
          <w:rFonts w:hint="eastAsia" w:ascii="宋体" w:hAnsi="宋体"/>
          <w:color w:val="auto"/>
          <w:highlight w:val="none"/>
        </w:rPr>
        <w:t>9.1.2 发包人应对其现场机构雇佣的全部人员的工伤事故承担责任，但由于承包人原因造成发包人人员工伤的，应由承包人承担责任。</w:t>
      </w:r>
    </w:p>
    <w:p w14:paraId="1ED17C21">
      <w:pPr>
        <w:pStyle w:val="9"/>
        <w:spacing w:line="400" w:lineRule="exact"/>
        <w:ind w:firstLine="420" w:firstLineChars="200"/>
        <w:rPr>
          <w:rFonts w:ascii="宋体" w:hAnsi="宋体"/>
          <w:color w:val="auto"/>
          <w:highlight w:val="none"/>
        </w:rPr>
      </w:pPr>
      <w:r>
        <w:rPr>
          <w:rFonts w:hint="eastAsia" w:ascii="宋体" w:hAnsi="宋体"/>
          <w:color w:val="auto"/>
          <w:highlight w:val="none"/>
        </w:rPr>
        <w:t>9.1.3 发包人应负责赔偿以下各种情况造成的第三者人身伤亡和财产损失：</w:t>
      </w:r>
    </w:p>
    <w:p w14:paraId="740A162A">
      <w:pPr>
        <w:pStyle w:val="9"/>
        <w:spacing w:line="400" w:lineRule="exact"/>
        <w:ind w:firstLine="420" w:firstLineChars="200"/>
        <w:rPr>
          <w:rFonts w:ascii="宋体" w:hAnsi="宋体"/>
          <w:color w:val="auto"/>
          <w:highlight w:val="none"/>
        </w:rPr>
      </w:pPr>
      <w:r>
        <w:rPr>
          <w:rFonts w:hint="eastAsia" w:ascii="宋体" w:hAnsi="宋体"/>
          <w:color w:val="auto"/>
          <w:highlight w:val="none"/>
        </w:rPr>
        <w:t>（1） 工程或工程的任何部分对土地的占用所造成的第三者财产损失；</w:t>
      </w:r>
    </w:p>
    <w:p w14:paraId="1EAF676C">
      <w:pPr>
        <w:pStyle w:val="9"/>
        <w:spacing w:line="400" w:lineRule="exact"/>
        <w:ind w:firstLine="420" w:firstLineChars="200"/>
        <w:rPr>
          <w:rFonts w:ascii="宋体" w:hAnsi="宋体"/>
          <w:color w:val="auto"/>
          <w:highlight w:val="none"/>
        </w:rPr>
      </w:pPr>
      <w:r>
        <w:rPr>
          <w:rFonts w:hint="eastAsia" w:ascii="宋体" w:hAnsi="宋体"/>
          <w:color w:val="auto"/>
          <w:highlight w:val="none"/>
        </w:rPr>
        <w:t>（2） 由于发包人原因在施工场地及其毗邻地带造成的第三者人身伤亡和财产损失。</w:t>
      </w:r>
    </w:p>
    <w:p w14:paraId="2B71E59D">
      <w:pPr>
        <w:pStyle w:val="51"/>
        <w:outlineLvl w:val="3"/>
        <w:rPr>
          <w:color w:val="auto"/>
          <w:highlight w:val="none"/>
        </w:rPr>
      </w:pPr>
      <w:bookmarkStart w:id="311" w:name="_Toc5566"/>
      <w:bookmarkStart w:id="312" w:name="_Toc240967098"/>
      <w:bookmarkStart w:id="313" w:name="_Toc9665"/>
      <w:r>
        <w:rPr>
          <w:rFonts w:hint="eastAsia"/>
          <w:color w:val="auto"/>
          <w:highlight w:val="none"/>
        </w:rPr>
        <w:t>9.2 承包人的施工安全责任</w:t>
      </w:r>
      <w:bookmarkEnd w:id="311"/>
      <w:bookmarkEnd w:id="312"/>
      <w:bookmarkEnd w:id="313"/>
    </w:p>
    <w:p w14:paraId="3D76773F">
      <w:pPr>
        <w:pStyle w:val="9"/>
        <w:spacing w:line="400" w:lineRule="exact"/>
        <w:ind w:firstLine="420" w:firstLineChars="200"/>
        <w:rPr>
          <w:rFonts w:ascii="宋体" w:hAnsi="宋体"/>
          <w:color w:val="auto"/>
          <w:highlight w:val="none"/>
        </w:rPr>
      </w:pPr>
      <w:r>
        <w:rPr>
          <w:rFonts w:hint="eastAsia" w:ascii="宋体" w:hAnsi="宋体"/>
          <w:color w:val="auto"/>
          <w:highlight w:val="none"/>
        </w:rPr>
        <w:t>9.2.1 承包人应按合同约定履行安全职责，执行监理人有关安全工作的指示，并在专用合同条款约定的期限内，按合同约定的安全工作内容，编制施工安全措施计划报送监理人审批。</w:t>
      </w:r>
    </w:p>
    <w:p w14:paraId="56BFF7F1">
      <w:pPr>
        <w:pStyle w:val="9"/>
        <w:spacing w:line="400" w:lineRule="exact"/>
        <w:ind w:firstLine="420" w:firstLineChars="200"/>
        <w:rPr>
          <w:rFonts w:ascii="宋体" w:hAnsi="宋体"/>
          <w:color w:val="auto"/>
          <w:highlight w:val="none"/>
        </w:rPr>
      </w:pPr>
      <w:r>
        <w:rPr>
          <w:rFonts w:hint="eastAsia" w:ascii="宋体" w:hAnsi="宋体"/>
          <w:color w:val="auto"/>
          <w:highlight w:val="none"/>
        </w:rPr>
        <w:t>9.2.2 承包人应加强施工作业安全管理，特别应加强易燃、易爆材料、火工器材、有毒与腐蚀性材料和其他危险品的管理，以及对爆破作业和地下工程施工等危险作业的管理。</w:t>
      </w:r>
    </w:p>
    <w:p w14:paraId="7D9808FA">
      <w:pPr>
        <w:pStyle w:val="9"/>
        <w:spacing w:line="400" w:lineRule="exact"/>
        <w:ind w:firstLine="420" w:firstLineChars="200"/>
        <w:rPr>
          <w:rFonts w:ascii="宋体" w:hAnsi="宋体"/>
          <w:color w:val="auto"/>
          <w:highlight w:val="none"/>
        </w:rPr>
      </w:pPr>
      <w:r>
        <w:rPr>
          <w:rFonts w:hint="eastAsia" w:ascii="宋体" w:hAnsi="宋体"/>
          <w:color w:val="auto"/>
          <w:highlight w:val="none"/>
        </w:rPr>
        <w:t>9.2.3 承包人应严格按照国家安全标准制定施工安全操作规程，配备必要的安全生产和劳动保护设施，加强对承包人人员的安全教育，并发放安全工作手册和劳动保护用具。</w:t>
      </w:r>
    </w:p>
    <w:p w14:paraId="6A2D6CD4">
      <w:pPr>
        <w:pStyle w:val="9"/>
        <w:spacing w:line="400" w:lineRule="exact"/>
        <w:ind w:firstLine="420" w:firstLineChars="200"/>
        <w:rPr>
          <w:rFonts w:ascii="宋体" w:hAnsi="宋体"/>
          <w:color w:val="auto"/>
          <w:highlight w:val="none"/>
        </w:rPr>
      </w:pPr>
      <w:r>
        <w:rPr>
          <w:rFonts w:hint="eastAsia" w:ascii="宋体" w:hAnsi="宋体"/>
          <w:color w:val="auto"/>
          <w:highlight w:val="none"/>
        </w:rPr>
        <w:t>9.2.4 承包人应按监理人的指示制定应对灾害的紧急预案，报送监理人审批。承包人还应按预案做好安全检查，配置必要的救助物资和器材，切实保护好有关人员的人身和财产安全。</w:t>
      </w:r>
    </w:p>
    <w:p w14:paraId="41C61D17">
      <w:pPr>
        <w:pStyle w:val="9"/>
        <w:spacing w:line="400" w:lineRule="exact"/>
        <w:ind w:firstLine="420" w:firstLineChars="200"/>
        <w:rPr>
          <w:rFonts w:ascii="宋体" w:hAnsi="宋体"/>
          <w:color w:val="auto"/>
          <w:highlight w:val="none"/>
        </w:rPr>
      </w:pPr>
      <w:r>
        <w:rPr>
          <w:rFonts w:hint="eastAsia" w:ascii="宋体" w:hAnsi="宋体"/>
          <w:color w:val="auto"/>
          <w:highlight w:val="none"/>
        </w:rPr>
        <w:t>9.2.5 合同约定的安全作业环境及安全施工措施所需费用应遵守有关规定，并包括在相关工作的合同价格中。因采取合同未约定的安全作业环境及安全施工措施增加的费用，由监理人按第3.5款商定或确定。</w:t>
      </w:r>
    </w:p>
    <w:p w14:paraId="38A6642D">
      <w:pPr>
        <w:pStyle w:val="9"/>
        <w:spacing w:line="400" w:lineRule="exact"/>
        <w:ind w:firstLine="420" w:firstLineChars="200"/>
        <w:rPr>
          <w:rFonts w:ascii="宋体" w:hAnsi="宋体"/>
          <w:color w:val="auto"/>
          <w:highlight w:val="none"/>
        </w:rPr>
      </w:pPr>
      <w:r>
        <w:rPr>
          <w:rFonts w:hint="eastAsia" w:ascii="宋体" w:hAnsi="宋体"/>
          <w:color w:val="auto"/>
          <w:highlight w:val="none"/>
        </w:rPr>
        <w:t>9.2.6 承包人应对其履行合同所雇佣的全部人员，包括分包人人员的工伤事故承担责任，但由于发包人原因造成承包人人员工伤事故的，应由发包人承担责任。</w:t>
      </w:r>
    </w:p>
    <w:p w14:paraId="6AD20B6F">
      <w:pPr>
        <w:pStyle w:val="9"/>
        <w:spacing w:line="400" w:lineRule="exact"/>
        <w:ind w:firstLine="420" w:firstLineChars="200"/>
        <w:rPr>
          <w:rFonts w:ascii="宋体" w:hAnsi="宋体"/>
          <w:color w:val="auto"/>
          <w:highlight w:val="none"/>
        </w:rPr>
      </w:pPr>
      <w:r>
        <w:rPr>
          <w:rFonts w:hint="eastAsia" w:ascii="宋体" w:hAnsi="宋体"/>
          <w:color w:val="auto"/>
          <w:highlight w:val="none"/>
        </w:rPr>
        <w:t>9.2.7 由于承包人原因在施工场地内及其毗邻地带造成的第三者人员伤亡和财产损失，由承包人负责赔偿。</w:t>
      </w:r>
    </w:p>
    <w:p w14:paraId="7C974AC5">
      <w:pPr>
        <w:pStyle w:val="51"/>
        <w:outlineLvl w:val="3"/>
        <w:rPr>
          <w:color w:val="auto"/>
          <w:highlight w:val="none"/>
        </w:rPr>
      </w:pPr>
      <w:bookmarkStart w:id="314" w:name="_Toc8981"/>
      <w:bookmarkStart w:id="315" w:name="_Toc240967099"/>
      <w:bookmarkStart w:id="316" w:name="_Toc15392"/>
      <w:r>
        <w:rPr>
          <w:rFonts w:hint="eastAsia"/>
          <w:color w:val="auto"/>
          <w:highlight w:val="none"/>
        </w:rPr>
        <w:t>9.3 治安保卫</w:t>
      </w:r>
      <w:bookmarkEnd w:id="314"/>
      <w:bookmarkEnd w:id="315"/>
      <w:bookmarkEnd w:id="316"/>
    </w:p>
    <w:p w14:paraId="6BFC15F6">
      <w:pPr>
        <w:pStyle w:val="9"/>
        <w:spacing w:line="400" w:lineRule="exact"/>
        <w:ind w:firstLine="420" w:firstLineChars="200"/>
        <w:rPr>
          <w:rFonts w:ascii="宋体" w:hAnsi="宋体"/>
          <w:color w:val="auto"/>
          <w:highlight w:val="none"/>
        </w:rPr>
      </w:pPr>
      <w:r>
        <w:rPr>
          <w:rFonts w:hint="eastAsia" w:ascii="宋体" w:hAnsi="宋体"/>
          <w:color w:val="auto"/>
          <w:highlight w:val="none"/>
        </w:rPr>
        <w:t>9.3.1 除合同另有约定外，发包人应与当地公安部门协商，在现场建立治安管理机构或联防组织，统一管理施工场地的治安保卫事项，履行合同工程的治安保卫职责。</w:t>
      </w:r>
    </w:p>
    <w:p w14:paraId="6F012DB4">
      <w:pPr>
        <w:pStyle w:val="9"/>
        <w:spacing w:line="400" w:lineRule="exact"/>
        <w:ind w:firstLine="420" w:firstLineChars="200"/>
        <w:rPr>
          <w:rFonts w:ascii="宋体" w:hAnsi="宋体"/>
          <w:color w:val="auto"/>
          <w:highlight w:val="none"/>
        </w:rPr>
      </w:pPr>
      <w:r>
        <w:rPr>
          <w:rFonts w:hint="eastAsia" w:ascii="宋体" w:hAnsi="宋体"/>
          <w:color w:val="auto"/>
          <w:highlight w:val="none"/>
        </w:rPr>
        <w:t>9.3.2 发包人和承包人除应协助现场治安管理机构或联防组织维护施工场地的社会治安外，还应做好包括生活区在内的各自管辖区的治安保卫工作。</w:t>
      </w:r>
    </w:p>
    <w:p w14:paraId="0B664F6C">
      <w:pPr>
        <w:pStyle w:val="9"/>
        <w:spacing w:line="400" w:lineRule="exact"/>
        <w:ind w:firstLine="420" w:firstLineChars="200"/>
        <w:rPr>
          <w:rFonts w:ascii="宋体" w:hAnsi="宋体"/>
          <w:color w:val="auto"/>
          <w:highlight w:val="none"/>
        </w:rPr>
      </w:pPr>
      <w:r>
        <w:rPr>
          <w:rFonts w:hint="eastAsia" w:ascii="宋体" w:hAnsi="宋体"/>
          <w:color w:val="auto"/>
          <w:highlight w:val="none"/>
        </w:rPr>
        <w:t>9.3.3 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p>
    <w:p w14:paraId="0D9FA1D0">
      <w:pPr>
        <w:pStyle w:val="51"/>
        <w:outlineLvl w:val="3"/>
        <w:rPr>
          <w:color w:val="auto"/>
          <w:highlight w:val="none"/>
        </w:rPr>
      </w:pPr>
      <w:bookmarkStart w:id="317" w:name="_Toc12495"/>
      <w:bookmarkStart w:id="318" w:name="_Toc240967100"/>
      <w:bookmarkStart w:id="319" w:name="_Toc2446"/>
      <w:r>
        <w:rPr>
          <w:rFonts w:hint="eastAsia"/>
          <w:color w:val="auto"/>
          <w:highlight w:val="none"/>
        </w:rPr>
        <w:t>9.4 环境保护</w:t>
      </w:r>
      <w:bookmarkEnd w:id="317"/>
      <w:bookmarkEnd w:id="318"/>
      <w:bookmarkEnd w:id="319"/>
    </w:p>
    <w:p w14:paraId="591680E2">
      <w:pPr>
        <w:pStyle w:val="9"/>
        <w:spacing w:line="400" w:lineRule="exact"/>
        <w:ind w:firstLine="420" w:firstLineChars="200"/>
        <w:rPr>
          <w:rFonts w:ascii="宋体" w:hAnsi="宋体"/>
          <w:color w:val="auto"/>
          <w:highlight w:val="none"/>
        </w:rPr>
      </w:pPr>
      <w:r>
        <w:rPr>
          <w:rFonts w:hint="eastAsia" w:ascii="宋体" w:hAnsi="宋体"/>
          <w:color w:val="auto"/>
          <w:highlight w:val="none"/>
        </w:rPr>
        <w:t>9.4.1 承包人在施工过程中，应遵守有关环境保护的法律，履行合同约定的环境保护义务，并对违反法律和合同约定义务所造成的环境破坏、人身伤害和财产损失负责。</w:t>
      </w:r>
    </w:p>
    <w:p w14:paraId="398B77C2">
      <w:pPr>
        <w:pStyle w:val="9"/>
        <w:spacing w:line="400" w:lineRule="exact"/>
        <w:ind w:firstLine="420" w:firstLineChars="200"/>
        <w:rPr>
          <w:rFonts w:ascii="宋体" w:hAnsi="宋体"/>
          <w:color w:val="auto"/>
          <w:highlight w:val="none"/>
        </w:rPr>
      </w:pPr>
      <w:r>
        <w:rPr>
          <w:rFonts w:hint="eastAsia" w:ascii="宋体" w:hAnsi="宋体"/>
          <w:color w:val="auto"/>
          <w:highlight w:val="none"/>
        </w:rPr>
        <w:t>9.4.2 承包人应按合同约定的环保工作内容，编制施工环保措施计划，报送监理人审批。</w:t>
      </w:r>
    </w:p>
    <w:p w14:paraId="32FA5A5C">
      <w:pPr>
        <w:pStyle w:val="9"/>
        <w:spacing w:line="400" w:lineRule="exact"/>
        <w:ind w:firstLine="420" w:firstLineChars="200"/>
        <w:rPr>
          <w:rFonts w:ascii="宋体" w:hAnsi="宋体"/>
          <w:color w:val="auto"/>
          <w:highlight w:val="none"/>
        </w:rPr>
      </w:pPr>
      <w:r>
        <w:rPr>
          <w:rFonts w:hint="eastAsia" w:ascii="宋体" w:hAnsi="宋体"/>
          <w:color w:val="auto"/>
          <w:highlight w:val="none"/>
        </w:rPr>
        <w:t>9.4.3 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p>
    <w:p w14:paraId="2769AFD6">
      <w:pPr>
        <w:pStyle w:val="9"/>
        <w:spacing w:line="400" w:lineRule="exact"/>
        <w:ind w:firstLine="420" w:firstLineChars="200"/>
        <w:rPr>
          <w:rFonts w:ascii="宋体" w:hAnsi="宋体"/>
          <w:color w:val="auto"/>
          <w:highlight w:val="none"/>
        </w:rPr>
      </w:pPr>
      <w:r>
        <w:rPr>
          <w:rFonts w:hint="eastAsia" w:ascii="宋体" w:hAnsi="宋体"/>
          <w:color w:val="auto"/>
          <w:highlight w:val="none"/>
        </w:rPr>
        <w:t>9.4.4 承包人应按合同约定采取有效措施，对施工开挖的边坡及时进行支护，维护排水设施，并进行水土保护，避免因施工造成的地质灾害。</w:t>
      </w:r>
    </w:p>
    <w:p w14:paraId="7F6A372A">
      <w:pPr>
        <w:pStyle w:val="9"/>
        <w:spacing w:line="400" w:lineRule="exact"/>
        <w:ind w:firstLine="420" w:firstLineChars="200"/>
        <w:rPr>
          <w:rFonts w:ascii="宋体" w:hAnsi="宋体"/>
          <w:color w:val="auto"/>
          <w:highlight w:val="none"/>
        </w:rPr>
      </w:pPr>
      <w:r>
        <w:rPr>
          <w:rFonts w:hint="eastAsia" w:ascii="宋体" w:hAnsi="宋体"/>
          <w:color w:val="auto"/>
          <w:highlight w:val="none"/>
        </w:rPr>
        <w:t>9.4.5 承包人应按国家饮用水管理标准定期对饮用水源进行监测，防止施工活动污染饮用水源。</w:t>
      </w:r>
    </w:p>
    <w:p w14:paraId="6E273F85">
      <w:pPr>
        <w:pStyle w:val="9"/>
        <w:spacing w:line="400" w:lineRule="exact"/>
        <w:ind w:firstLine="420" w:firstLineChars="200"/>
        <w:rPr>
          <w:rFonts w:ascii="宋体" w:hAnsi="宋体"/>
          <w:color w:val="auto"/>
          <w:highlight w:val="none"/>
        </w:rPr>
      </w:pPr>
      <w:r>
        <w:rPr>
          <w:rFonts w:hint="eastAsia" w:ascii="宋体" w:hAnsi="宋体"/>
          <w:color w:val="auto"/>
          <w:highlight w:val="none"/>
        </w:rPr>
        <w:t>9.4.6 承包人应按合同约定，加强对噪声、粉尘、废气、废水和废油的控制，努力降低噪声，控制粉尘和废气浓度，做好废水和废油的治理和排放。</w:t>
      </w:r>
    </w:p>
    <w:p w14:paraId="51CB90F9">
      <w:pPr>
        <w:pStyle w:val="51"/>
        <w:outlineLvl w:val="3"/>
        <w:rPr>
          <w:color w:val="auto"/>
          <w:highlight w:val="none"/>
        </w:rPr>
      </w:pPr>
      <w:bookmarkStart w:id="320" w:name="_Toc32147"/>
      <w:bookmarkStart w:id="321" w:name="_Toc28882"/>
      <w:bookmarkStart w:id="322" w:name="_Toc240967101"/>
      <w:r>
        <w:rPr>
          <w:rFonts w:hint="eastAsia"/>
          <w:color w:val="auto"/>
          <w:highlight w:val="none"/>
        </w:rPr>
        <w:t>9.5 事故处理</w:t>
      </w:r>
      <w:bookmarkEnd w:id="320"/>
      <w:bookmarkEnd w:id="321"/>
      <w:bookmarkEnd w:id="322"/>
    </w:p>
    <w:p w14:paraId="2894C568">
      <w:pPr>
        <w:pStyle w:val="9"/>
        <w:spacing w:line="400" w:lineRule="exact"/>
        <w:ind w:firstLine="420" w:firstLineChars="200"/>
        <w:rPr>
          <w:rFonts w:ascii="隶书" w:eastAsia="隶书"/>
          <w:color w:val="auto"/>
          <w:highlight w:val="none"/>
        </w:rPr>
      </w:pPr>
      <w:r>
        <w:rPr>
          <w:rFonts w:hint="eastAsia" w:ascii="宋体" w:hAnsi="宋体"/>
          <w:color w:val="auto"/>
          <w:highlight w:val="none"/>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646D48D9">
      <w:pPr>
        <w:pStyle w:val="52"/>
        <w:outlineLvl w:val="2"/>
        <w:rPr>
          <w:color w:val="auto"/>
          <w:highlight w:val="none"/>
        </w:rPr>
      </w:pPr>
      <w:bookmarkStart w:id="323" w:name="_Toc240967102"/>
      <w:bookmarkStart w:id="324" w:name="_Toc5608"/>
      <w:bookmarkStart w:id="325" w:name="_Toc8901"/>
      <w:r>
        <w:rPr>
          <w:rFonts w:hint="eastAsia"/>
          <w:color w:val="auto"/>
          <w:highlight w:val="none"/>
        </w:rPr>
        <w:t>10. 进度计划</w:t>
      </w:r>
      <w:bookmarkEnd w:id="323"/>
      <w:bookmarkEnd w:id="324"/>
      <w:bookmarkEnd w:id="325"/>
    </w:p>
    <w:p w14:paraId="3B03C259">
      <w:pPr>
        <w:pStyle w:val="51"/>
        <w:outlineLvl w:val="3"/>
        <w:rPr>
          <w:color w:val="auto"/>
          <w:highlight w:val="none"/>
        </w:rPr>
      </w:pPr>
      <w:bookmarkStart w:id="326" w:name="_Toc11484"/>
      <w:bookmarkStart w:id="327" w:name="_Toc21817"/>
      <w:bookmarkStart w:id="328" w:name="_Toc240967103"/>
      <w:r>
        <w:rPr>
          <w:rFonts w:hint="eastAsia"/>
          <w:color w:val="auto"/>
          <w:highlight w:val="none"/>
        </w:rPr>
        <w:t>10.1 合同进度计划</w:t>
      </w:r>
      <w:bookmarkEnd w:id="326"/>
      <w:bookmarkEnd w:id="327"/>
      <w:bookmarkEnd w:id="328"/>
    </w:p>
    <w:p w14:paraId="088CD20C">
      <w:pPr>
        <w:pStyle w:val="9"/>
        <w:spacing w:line="400" w:lineRule="exact"/>
        <w:ind w:firstLine="420" w:firstLineChars="200"/>
        <w:rPr>
          <w:rFonts w:ascii="宋体" w:hAnsi="宋体"/>
          <w:color w:val="auto"/>
          <w:highlight w:val="none"/>
        </w:rPr>
      </w:pPr>
      <w:r>
        <w:rPr>
          <w:rFonts w:hint="eastAsia" w:ascii="宋体" w:hAnsi="宋体"/>
          <w:color w:val="auto"/>
          <w:highlight w:val="none"/>
        </w:rPr>
        <w:t>承包人应按专用合同条款约定的内容和期限，编制详细的施工进度计划和施工方案说明报送监理人。监理人应在专用合同条款约定的期限内批复或提出修改意见，否则该进度计划视为已得到批准。经监理人批准的施工进度计划称合同进度计划，是控制合同工程进度的依据。承包人还应根据合同进度计划，编制更为详细的分阶段或分项进度计划，报监理人审批。</w:t>
      </w:r>
    </w:p>
    <w:p w14:paraId="7FB7D74D">
      <w:pPr>
        <w:pStyle w:val="51"/>
        <w:outlineLvl w:val="3"/>
        <w:rPr>
          <w:color w:val="auto"/>
          <w:highlight w:val="none"/>
        </w:rPr>
      </w:pPr>
      <w:bookmarkStart w:id="329" w:name="_Toc26941"/>
      <w:bookmarkStart w:id="330" w:name="_Toc12729"/>
      <w:bookmarkStart w:id="331" w:name="_Toc240967104"/>
      <w:r>
        <w:rPr>
          <w:rFonts w:hint="eastAsia"/>
          <w:color w:val="auto"/>
          <w:highlight w:val="none"/>
        </w:rPr>
        <w:t>10.2 合同进度计划的修订</w:t>
      </w:r>
      <w:bookmarkEnd w:id="329"/>
      <w:bookmarkEnd w:id="330"/>
      <w:bookmarkEnd w:id="331"/>
    </w:p>
    <w:p w14:paraId="75CB4588">
      <w:pPr>
        <w:pStyle w:val="9"/>
        <w:spacing w:line="400" w:lineRule="exact"/>
        <w:ind w:firstLine="420" w:firstLineChars="200"/>
        <w:rPr>
          <w:rFonts w:ascii="宋体" w:hAnsi="宋体"/>
          <w:color w:val="auto"/>
          <w:highlight w:val="none"/>
        </w:rPr>
      </w:pPr>
      <w:r>
        <w:rPr>
          <w:rFonts w:hint="eastAsia" w:ascii="宋体" w:hAnsi="宋体"/>
          <w:color w:val="auto"/>
          <w:highlight w:val="none"/>
        </w:rPr>
        <w:t>不论何种原因造成工程的实际进度与第10.1款的合同进度计划不符时，承包人可以在专用合同条款约定的期限内向监理人提交修订合同进度计划的申请报告，并附有关措施和相关资料，报监理人审批；监理人也可以直接向承包人作出修订合同进度计划的指示，承包人应按该指示修订合同进度计划，报监理人审批。监理人应在专用合同条款约定的期限内批复。监理人在批复前应获得发包人同意。</w:t>
      </w:r>
    </w:p>
    <w:p w14:paraId="54DA8D6B">
      <w:pPr>
        <w:pStyle w:val="52"/>
        <w:outlineLvl w:val="2"/>
        <w:rPr>
          <w:color w:val="auto"/>
          <w:highlight w:val="none"/>
        </w:rPr>
      </w:pPr>
      <w:bookmarkStart w:id="332" w:name="_Toc240967105"/>
      <w:bookmarkStart w:id="333" w:name="_Toc6731"/>
      <w:bookmarkStart w:id="334" w:name="_Toc3355"/>
      <w:r>
        <w:rPr>
          <w:rFonts w:hint="eastAsia"/>
          <w:color w:val="auto"/>
          <w:highlight w:val="none"/>
        </w:rPr>
        <w:t>11. 开工和竣工</w:t>
      </w:r>
      <w:bookmarkEnd w:id="332"/>
      <w:bookmarkEnd w:id="333"/>
      <w:bookmarkEnd w:id="334"/>
    </w:p>
    <w:p w14:paraId="5B86FC3F">
      <w:pPr>
        <w:pStyle w:val="51"/>
        <w:outlineLvl w:val="3"/>
        <w:rPr>
          <w:color w:val="auto"/>
          <w:highlight w:val="none"/>
        </w:rPr>
      </w:pPr>
      <w:bookmarkStart w:id="335" w:name="_Toc7089"/>
      <w:bookmarkStart w:id="336" w:name="_Toc240967106"/>
      <w:bookmarkStart w:id="337" w:name="_Toc15887"/>
      <w:r>
        <w:rPr>
          <w:rFonts w:hint="eastAsia"/>
          <w:color w:val="auto"/>
          <w:highlight w:val="none"/>
        </w:rPr>
        <w:t>11.1 开工</w:t>
      </w:r>
      <w:bookmarkEnd w:id="335"/>
      <w:bookmarkEnd w:id="336"/>
      <w:bookmarkEnd w:id="337"/>
    </w:p>
    <w:p w14:paraId="37845394">
      <w:pPr>
        <w:pStyle w:val="9"/>
        <w:spacing w:line="400" w:lineRule="exact"/>
        <w:ind w:firstLine="420" w:firstLineChars="200"/>
        <w:rPr>
          <w:rFonts w:ascii="宋体" w:hAnsi="宋体"/>
          <w:color w:val="auto"/>
          <w:highlight w:val="none"/>
        </w:rPr>
      </w:pPr>
      <w:r>
        <w:rPr>
          <w:rFonts w:hint="eastAsia" w:ascii="宋体" w:hAnsi="宋体"/>
          <w:color w:val="auto"/>
          <w:highlight w:val="none"/>
        </w:rPr>
        <w:t>11.1.1 监理人应在开工日期7天前向承包人发出开工通知。监理人在发出开工通知前应获得发包人同意。工期自监理人发出的开工通知中载明的开工日期起计算。承包人应在开工日期后尽快施工。</w:t>
      </w:r>
    </w:p>
    <w:p w14:paraId="0DC4FC6A">
      <w:pPr>
        <w:pStyle w:val="9"/>
        <w:spacing w:line="400" w:lineRule="exact"/>
        <w:ind w:firstLine="420" w:firstLineChars="200"/>
        <w:rPr>
          <w:rFonts w:ascii="宋体" w:hAnsi="宋体"/>
          <w:color w:val="auto"/>
          <w:highlight w:val="none"/>
        </w:rPr>
      </w:pPr>
      <w:r>
        <w:rPr>
          <w:rFonts w:hint="eastAsia" w:ascii="宋体" w:hAnsi="宋体"/>
          <w:color w:val="auto"/>
          <w:highlight w:val="none"/>
        </w:rPr>
        <w:t>11.1.2 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14:paraId="1C7229D8">
      <w:pPr>
        <w:pStyle w:val="51"/>
        <w:outlineLvl w:val="3"/>
        <w:rPr>
          <w:color w:val="auto"/>
          <w:highlight w:val="none"/>
        </w:rPr>
      </w:pPr>
      <w:bookmarkStart w:id="338" w:name="_Toc29510"/>
      <w:bookmarkStart w:id="339" w:name="_Toc12749"/>
      <w:bookmarkStart w:id="340" w:name="_Toc240967107"/>
      <w:r>
        <w:rPr>
          <w:rFonts w:hint="eastAsia"/>
          <w:color w:val="auto"/>
          <w:highlight w:val="none"/>
        </w:rPr>
        <w:t>11.2 竣工</w:t>
      </w:r>
      <w:bookmarkEnd w:id="338"/>
      <w:bookmarkEnd w:id="339"/>
      <w:bookmarkEnd w:id="340"/>
    </w:p>
    <w:p w14:paraId="189C50B5">
      <w:pPr>
        <w:pStyle w:val="9"/>
        <w:spacing w:line="400" w:lineRule="exact"/>
        <w:ind w:firstLine="420" w:firstLineChars="200"/>
        <w:rPr>
          <w:rFonts w:ascii="宋体" w:hAnsi="宋体"/>
          <w:color w:val="auto"/>
          <w:highlight w:val="none"/>
        </w:rPr>
      </w:pPr>
      <w:r>
        <w:rPr>
          <w:rFonts w:hint="eastAsia" w:ascii="宋体" w:hAnsi="宋体"/>
          <w:color w:val="auto"/>
          <w:highlight w:val="none"/>
        </w:rPr>
        <w:t>承包人应在第1.1.4.3目约定的期限内完成合同工程。实际竣工日期在接收证书中写明。</w:t>
      </w:r>
    </w:p>
    <w:p w14:paraId="01639C27">
      <w:pPr>
        <w:pStyle w:val="51"/>
        <w:outlineLvl w:val="3"/>
        <w:rPr>
          <w:color w:val="auto"/>
          <w:highlight w:val="none"/>
        </w:rPr>
      </w:pPr>
      <w:bookmarkStart w:id="341" w:name="_Toc22675"/>
      <w:bookmarkStart w:id="342" w:name="_Toc1864"/>
      <w:bookmarkStart w:id="343" w:name="_Toc240967108"/>
      <w:r>
        <w:rPr>
          <w:rFonts w:hint="eastAsia"/>
          <w:color w:val="auto"/>
          <w:highlight w:val="none"/>
        </w:rPr>
        <w:t>11.3 发包人的工期延误</w:t>
      </w:r>
      <w:bookmarkEnd w:id="341"/>
      <w:bookmarkEnd w:id="342"/>
      <w:bookmarkEnd w:id="343"/>
    </w:p>
    <w:p w14:paraId="282473D3">
      <w:pPr>
        <w:pStyle w:val="9"/>
        <w:spacing w:line="400" w:lineRule="exact"/>
        <w:ind w:firstLine="420" w:firstLineChars="200"/>
        <w:rPr>
          <w:rFonts w:ascii="宋体" w:hAnsi="宋体"/>
          <w:color w:val="auto"/>
          <w:highlight w:val="none"/>
        </w:rPr>
      </w:pPr>
      <w:r>
        <w:rPr>
          <w:rFonts w:hint="eastAsia" w:ascii="宋体" w:hAnsi="宋体"/>
          <w:color w:val="auto"/>
          <w:highlight w:val="none"/>
        </w:rPr>
        <w:t>在履行合同过程中，由于发包人的下列原因造成工期延误的，承包人有权要求发包人延长工期和（或）增加费用，并支付合理利润。需要修订合同进度计划的，按照第10.2款的约定办理。</w:t>
      </w:r>
    </w:p>
    <w:p w14:paraId="11F5B016">
      <w:pPr>
        <w:pStyle w:val="9"/>
        <w:spacing w:line="400" w:lineRule="exact"/>
        <w:ind w:firstLine="420" w:firstLineChars="200"/>
        <w:rPr>
          <w:rFonts w:ascii="宋体" w:hAnsi="宋体"/>
          <w:color w:val="auto"/>
          <w:highlight w:val="none"/>
        </w:rPr>
      </w:pPr>
      <w:r>
        <w:rPr>
          <w:rFonts w:hint="eastAsia" w:ascii="宋体" w:hAnsi="宋体"/>
          <w:color w:val="auto"/>
          <w:highlight w:val="none"/>
        </w:rPr>
        <w:t>（1）增加合同工作内容；</w:t>
      </w:r>
    </w:p>
    <w:p w14:paraId="57D9CB67">
      <w:pPr>
        <w:pStyle w:val="9"/>
        <w:spacing w:line="400" w:lineRule="exact"/>
        <w:ind w:firstLine="420" w:firstLineChars="200"/>
        <w:rPr>
          <w:rFonts w:ascii="宋体" w:hAnsi="宋体"/>
          <w:color w:val="auto"/>
          <w:highlight w:val="none"/>
        </w:rPr>
      </w:pPr>
      <w:r>
        <w:rPr>
          <w:rFonts w:hint="eastAsia" w:ascii="宋体" w:hAnsi="宋体"/>
          <w:color w:val="auto"/>
          <w:highlight w:val="none"/>
        </w:rPr>
        <w:t>（2）改变合同中任何一项工作的质量要求或其他特性；</w:t>
      </w:r>
    </w:p>
    <w:p w14:paraId="3D4A87B8">
      <w:pPr>
        <w:pStyle w:val="9"/>
        <w:spacing w:line="400" w:lineRule="exact"/>
        <w:ind w:firstLine="420" w:firstLineChars="200"/>
        <w:rPr>
          <w:rFonts w:ascii="宋体" w:hAnsi="宋体"/>
          <w:color w:val="auto"/>
          <w:highlight w:val="none"/>
        </w:rPr>
      </w:pPr>
      <w:r>
        <w:rPr>
          <w:rFonts w:hint="eastAsia" w:ascii="宋体" w:hAnsi="宋体"/>
          <w:color w:val="auto"/>
          <w:highlight w:val="none"/>
        </w:rPr>
        <w:t>（3）发包人迟延提供材料、工程设备或变更交货地点的；</w:t>
      </w:r>
    </w:p>
    <w:p w14:paraId="04314442">
      <w:pPr>
        <w:pStyle w:val="9"/>
        <w:spacing w:line="400" w:lineRule="exact"/>
        <w:ind w:firstLine="420" w:firstLineChars="200"/>
        <w:rPr>
          <w:rFonts w:ascii="宋体" w:hAnsi="宋体"/>
          <w:color w:val="auto"/>
          <w:highlight w:val="none"/>
        </w:rPr>
      </w:pPr>
      <w:r>
        <w:rPr>
          <w:rFonts w:hint="eastAsia" w:ascii="宋体" w:hAnsi="宋体"/>
          <w:color w:val="auto"/>
          <w:highlight w:val="none"/>
        </w:rPr>
        <w:t>（4）因发包人原因导致的暂停施工；</w:t>
      </w:r>
    </w:p>
    <w:p w14:paraId="1D48F963">
      <w:pPr>
        <w:pStyle w:val="9"/>
        <w:spacing w:line="400" w:lineRule="exact"/>
        <w:ind w:firstLine="420" w:firstLineChars="200"/>
        <w:rPr>
          <w:rFonts w:ascii="宋体" w:hAnsi="宋体"/>
          <w:color w:val="auto"/>
          <w:highlight w:val="none"/>
        </w:rPr>
      </w:pPr>
      <w:r>
        <w:rPr>
          <w:rFonts w:hint="eastAsia" w:ascii="宋体" w:hAnsi="宋体"/>
          <w:color w:val="auto"/>
          <w:highlight w:val="none"/>
        </w:rPr>
        <w:t>（5）提供图纸延误；</w:t>
      </w:r>
    </w:p>
    <w:p w14:paraId="124A68E6">
      <w:pPr>
        <w:pStyle w:val="9"/>
        <w:spacing w:line="400" w:lineRule="exact"/>
        <w:ind w:firstLine="420" w:firstLineChars="200"/>
        <w:rPr>
          <w:rFonts w:ascii="宋体" w:hAnsi="宋体"/>
          <w:color w:val="auto"/>
          <w:highlight w:val="none"/>
        </w:rPr>
      </w:pPr>
      <w:r>
        <w:rPr>
          <w:rFonts w:hint="eastAsia" w:ascii="宋体" w:hAnsi="宋体"/>
          <w:color w:val="auto"/>
          <w:highlight w:val="none"/>
        </w:rPr>
        <w:t>（6）未按合同约定及时支付预付款、进度款；</w:t>
      </w:r>
    </w:p>
    <w:p w14:paraId="2C3C30DA">
      <w:pPr>
        <w:pStyle w:val="9"/>
        <w:spacing w:line="400" w:lineRule="exact"/>
        <w:ind w:firstLine="420" w:firstLineChars="200"/>
        <w:rPr>
          <w:rFonts w:ascii="宋体" w:hAnsi="宋体"/>
          <w:color w:val="auto"/>
          <w:highlight w:val="none"/>
        </w:rPr>
      </w:pPr>
      <w:r>
        <w:rPr>
          <w:rFonts w:hint="eastAsia" w:ascii="宋体" w:hAnsi="宋体"/>
          <w:color w:val="auto"/>
          <w:highlight w:val="none"/>
        </w:rPr>
        <w:t>（7）发包人造成工期延误的其他原因。</w:t>
      </w:r>
    </w:p>
    <w:p w14:paraId="10AACDE4">
      <w:pPr>
        <w:pStyle w:val="51"/>
        <w:outlineLvl w:val="3"/>
        <w:rPr>
          <w:color w:val="auto"/>
          <w:highlight w:val="none"/>
        </w:rPr>
      </w:pPr>
      <w:bookmarkStart w:id="344" w:name="_Toc23773"/>
      <w:bookmarkStart w:id="345" w:name="_Toc240967109"/>
      <w:bookmarkStart w:id="346" w:name="_Toc12483"/>
      <w:r>
        <w:rPr>
          <w:rFonts w:hint="eastAsia"/>
          <w:color w:val="auto"/>
          <w:highlight w:val="none"/>
        </w:rPr>
        <w:t>11.4 异常恶劣的气候条件</w:t>
      </w:r>
      <w:bookmarkEnd w:id="344"/>
      <w:bookmarkEnd w:id="345"/>
      <w:bookmarkEnd w:id="346"/>
    </w:p>
    <w:p w14:paraId="09F868AC">
      <w:pPr>
        <w:pStyle w:val="9"/>
        <w:spacing w:line="400" w:lineRule="exact"/>
        <w:ind w:firstLine="420" w:firstLineChars="200"/>
        <w:rPr>
          <w:rFonts w:ascii="宋体" w:hAnsi="宋体"/>
          <w:color w:val="auto"/>
          <w:highlight w:val="none"/>
        </w:rPr>
      </w:pPr>
      <w:r>
        <w:rPr>
          <w:rFonts w:hint="eastAsia" w:ascii="宋体" w:hAnsi="宋体"/>
          <w:color w:val="auto"/>
          <w:highlight w:val="none"/>
        </w:rPr>
        <w:t>由于出现专用合同条款规定的异常恶劣气候的条件导致工期延误的，承包人有权要求发包人延长工期。</w:t>
      </w:r>
    </w:p>
    <w:p w14:paraId="6D284E62">
      <w:pPr>
        <w:pStyle w:val="51"/>
        <w:outlineLvl w:val="3"/>
        <w:rPr>
          <w:color w:val="auto"/>
          <w:highlight w:val="none"/>
        </w:rPr>
      </w:pPr>
      <w:bookmarkStart w:id="347" w:name="_Toc17026"/>
      <w:bookmarkStart w:id="348" w:name="_Toc240967110"/>
      <w:bookmarkStart w:id="349" w:name="_Toc2655"/>
      <w:r>
        <w:rPr>
          <w:rFonts w:hint="eastAsia"/>
          <w:color w:val="auto"/>
          <w:highlight w:val="none"/>
        </w:rPr>
        <w:t>11.5 承包人的工期延误</w:t>
      </w:r>
      <w:bookmarkEnd w:id="347"/>
      <w:bookmarkEnd w:id="348"/>
      <w:bookmarkEnd w:id="349"/>
    </w:p>
    <w:p w14:paraId="3189483B">
      <w:pPr>
        <w:pStyle w:val="9"/>
        <w:spacing w:line="400" w:lineRule="exact"/>
        <w:ind w:firstLine="420" w:firstLineChars="200"/>
        <w:rPr>
          <w:rFonts w:ascii="宋体" w:hAnsi="宋体"/>
          <w:color w:val="auto"/>
          <w:highlight w:val="none"/>
        </w:rPr>
      </w:pPr>
      <w:r>
        <w:rPr>
          <w:rFonts w:hint="eastAsia" w:ascii="宋体" w:hAnsi="宋体"/>
          <w:color w:val="auto"/>
          <w:highlight w:val="none"/>
        </w:rPr>
        <w:t>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p>
    <w:p w14:paraId="5736659F">
      <w:pPr>
        <w:pStyle w:val="51"/>
        <w:outlineLvl w:val="3"/>
        <w:rPr>
          <w:color w:val="auto"/>
          <w:highlight w:val="none"/>
        </w:rPr>
      </w:pPr>
      <w:bookmarkStart w:id="350" w:name="_Toc240967111"/>
      <w:bookmarkStart w:id="351" w:name="_Toc9775"/>
      <w:bookmarkStart w:id="352" w:name="_Toc26275"/>
      <w:r>
        <w:rPr>
          <w:rFonts w:hint="eastAsia"/>
          <w:color w:val="auto"/>
          <w:highlight w:val="none"/>
        </w:rPr>
        <w:t>11.6 工期提前</w:t>
      </w:r>
      <w:bookmarkEnd w:id="350"/>
      <w:bookmarkEnd w:id="351"/>
      <w:bookmarkEnd w:id="352"/>
    </w:p>
    <w:p w14:paraId="2E077EE3">
      <w:pPr>
        <w:pStyle w:val="9"/>
        <w:spacing w:line="400" w:lineRule="exact"/>
        <w:ind w:firstLine="420" w:firstLineChars="200"/>
        <w:rPr>
          <w:rFonts w:ascii="隶书" w:eastAsia="隶书"/>
          <w:color w:val="auto"/>
          <w:highlight w:val="none"/>
        </w:rPr>
      </w:pPr>
      <w:r>
        <w:rPr>
          <w:rFonts w:hint="eastAsia" w:ascii="宋体" w:hAnsi="宋体"/>
          <w:color w:val="auto"/>
          <w:highlight w:val="none"/>
        </w:rPr>
        <w:t>发包人要求承包人提前竣工，或承包人提出提前竣工的建议能够给发包人带来效益的，应由监理人与承包人共同协商采取加快工程进度的措施和修订合同进度计划。发包人应承担承包人由此增加的费用，并向承包人支付专用合同条款约定的相应奖金。</w:t>
      </w:r>
      <w:r>
        <w:rPr>
          <w:rFonts w:hint="eastAsia" w:ascii="隶书" w:eastAsia="隶书"/>
          <w:color w:val="auto"/>
          <w:highlight w:val="none"/>
        </w:rPr>
        <w:t xml:space="preserve"> </w:t>
      </w:r>
    </w:p>
    <w:p w14:paraId="5F9C1D9A">
      <w:pPr>
        <w:pStyle w:val="52"/>
        <w:outlineLvl w:val="2"/>
        <w:rPr>
          <w:color w:val="auto"/>
          <w:highlight w:val="none"/>
        </w:rPr>
      </w:pPr>
      <w:bookmarkStart w:id="353" w:name="_Toc8786"/>
      <w:bookmarkStart w:id="354" w:name="_Toc240967112"/>
      <w:bookmarkStart w:id="355" w:name="_Toc11117"/>
      <w:r>
        <w:rPr>
          <w:rFonts w:hint="eastAsia"/>
          <w:color w:val="auto"/>
          <w:highlight w:val="none"/>
        </w:rPr>
        <w:t>12. 暂停施工</w:t>
      </w:r>
      <w:bookmarkEnd w:id="353"/>
      <w:bookmarkEnd w:id="354"/>
      <w:bookmarkEnd w:id="355"/>
    </w:p>
    <w:p w14:paraId="55FFDD33">
      <w:pPr>
        <w:pStyle w:val="51"/>
        <w:outlineLvl w:val="3"/>
        <w:rPr>
          <w:color w:val="auto"/>
          <w:highlight w:val="none"/>
        </w:rPr>
      </w:pPr>
      <w:bookmarkStart w:id="356" w:name="_Toc6784"/>
      <w:bookmarkStart w:id="357" w:name="_Toc148"/>
      <w:bookmarkStart w:id="358" w:name="_Toc240967113"/>
      <w:r>
        <w:rPr>
          <w:rFonts w:hint="eastAsia"/>
          <w:color w:val="auto"/>
          <w:highlight w:val="none"/>
        </w:rPr>
        <w:t>12.1 承包人暂停施工的责任</w:t>
      </w:r>
      <w:bookmarkEnd w:id="356"/>
      <w:bookmarkEnd w:id="357"/>
      <w:bookmarkEnd w:id="358"/>
    </w:p>
    <w:p w14:paraId="09130A1D">
      <w:pPr>
        <w:pStyle w:val="9"/>
        <w:spacing w:line="400" w:lineRule="exact"/>
        <w:ind w:firstLine="420" w:firstLineChars="200"/>
        <w:rPr>
          <w:rFonts w:ascii="宋体" w:hAnsi="宋体"/>
          <w:color w:val="auto"/>
          <w:highlight w:val="none"/>
        </w:rPr>
      </w:pPr>
      <w:r>
        <w:rPr>
          <w:rFonts w:hint="eastAsia" w:ascii="宋体" w:hAnsi="宋体"/>
          <w:color w:val="auto"/>
          <w:highlight w:val="none"/>
        </w:rPr>
        <w:t>因下列暂停施工增加的费用和（或）工期延误由承包人承担：</w:t>
      </w:r>
    </w:p>
    <w:p w14:paraId="407236BC">
      <w:pPr>
        <w:pStyle w:val="9"/>
        <w:spacing w:line="400" w:lineRule="exact"/>
        <w:ind w:firstLine="420" w:firstLineChars="200"/>
        <w:rPr>
          <w:rFonts w:ascii="宋体" w:hAnsi="宋体"/>
          <w:color w:val="auto"/>
          <w:highlight w:val="none"/>
        </w:rPr>
      </w:pPr>
      <w:r>
        <w:rPr>
          <w:rFonts w:hint="eastAsia" w:ascii="宋体" w:hAnsi="宋体"/>
          <w:color w:val="auto"/>
          <w:highlight w:val="none"/>
        </w:rPr>
        <w:t>（1）承包人违约引起的暂停施工；</w:t>
      </w:r>
    </w:p>
    <w:p w14:paraId="5A108022">
      <w:pPr>
        <w:pStyle w:val="9"/>
        <w:spacing w:line="400" w:lineRule="exact"/>
        <w:ind w:firstLine="420" w:firstLineChars="200"/>
        <w:rPr>
          <w:rFonts w:ascii="宋体" w:hAnsi="宋体"/>
          <w:color w:val="auto"/>
          <w:highlight w:val="none"/>
        </w:rPr>
      </w:pPr>
      <w:r>
        <w:rPr>
          <w:rFonts w:hint="eastAsia" w:ascii="宋体" w:hAnsi="宋体"/>
          <w:color w:val="auto"/>
          <w:highlight w:val="none"/>
        </w:rPr>
        <w:t>（2）由于承包人原因为工程合理施工和安全保障所必需的暂停施工；</w:t>
      </w:r>
    </w:p>
    <w:p w14:paraId="3FF647F2">
      <w:pPr>
        <w:pStyle w:val="9"/>
        <w:spacing w:line="400" w:lineRule="exact"/>
        <w:ind w:firstLine="420" w:firstLineChars="200"/>
        <w:rPr>
          <w:rFonts w:ascii="宋体" w:hAnsi="宋体"/>
          <w:color w:val="auto"/>
          <w:highlight w:val="none"/>
        </w:rPr>
      </w:pPr>
      <w:r>
        <w:rPr>
          <w:rFonts w:hint="eastAsia" w:ascii="宋体" w:hAnsi="宋体"/>
          <w:color w:val="auto"/>
          <w:highlight w:val="none"/>
        </w:rPr>
        <w:t>（3）承包人擅自暂停施工；</w:t>
      </w:r>
    </w:p>
    <w:p w14:paraId="6BEFBEF8">
      <w:pPr>
        <w:pStyle w:val="9"/>
        <w:spacing w:line="400" w:lineRule="exact"/>
        <w:ind w:firstLine="420" w:firstLineChars="200"/>
        <w:rPr>
          <w:rFonts w:ascii="宋体" w:hAnsi="宋体"/>
          <w:color w:val="auto"/>
          <w:highlight w:val="none"/>
        </w:rPr>
      </w:pPr>
      <w:r>
        <w:rPr>
          <w:rFonts w:hint="eastAsia" w:ascii="宋体" w:hAnsi="宋体"/>
          <w:color w:val="auto"/>
          <w:highlight w:val="none"/>
        </w:rPr>
        <w:t>（4）承包人其他原因引起的暂停施工；</w:t>
      </w:r>
    </w:p>
    <w:p w14:paraId="5F64A65D">
      <w:pPr>
        <w:pStyle w:val="9"/>
        <w:spacing w:line="400" w:lineRule="exact"/>
        <w:ind w:firstLine="420" w:firstLineChars="200"/>
        <w:rPr>
          <w:rFonts w:ascii="宋体" w:hAnsi="宋体"/>
          <w:color w:val="auto"/>
          <w:highlight w:val="none"/>
        </w:rPr>
      </w:pPr>
      <w:r>
        <w:rPr>
          <w:rFonts w:hint="eastAsia" w:ascii="宋体" w:hAnsi="宋体"/>
          <w:color w:val="auto"/>
          <w:highlight w:val="none"/>
        </w:rPr>
        <w:t>（5）专用合同条款约定由承包人承担的其他暂停施工。</w:t>
      </w:r>
    </w:p>
    <w:p w14:paraId="05FDE359">
      <w:pPr>
        <w:pStyle w:val="51"/>
        <w:outlineLvl w:val="3"/>
        <w:rPr>
          <w:color w:val="auto"/>
          <w:highlight w:val="none"/>
        </w:rPr>
      </w:pPr>
      <w:bookmarkStart w:id="359" w:name="_Toc240967114"/>
      <w:bookmarkStart w:id="360" w:name="_Toc17832"/>
      <w:bookmarkStart w:id="361" w:name="_Toc1527"/>
      <w:r>
        <w:rPr>
          <w:rFonts w:hint="eastAsia"/>
          <w:color w:val="auto"/>
          <w:highlight w:val="none"/>
        </w:rPr>
        <w:t>12.2 发包人暂停施工的责任</w:t>
      </w:r>
      <w:bookmarkEnd w:id="359"/>
      <w:bookmarkEnd w:id="360"/>
      <w:bookmarkEnd w:id="361"/>
    </w:p>
    <w:p w14:paraId="4CB61990">
      <w:pPr>
        <w:pStyle w:val="9"/>
        <w:spacing w:line="400" w:lineRule="exact"/>
        <w:ind w:firstLine="420" w:firstLineChars="200"/>
        <w:rPr>
          <w:rFonts w:ascii="宋体" w:hAnsi="宋体"/>
          <w:color w:val="auto"/>
          <w:highlight w:val="none"/>
        </w:rPr>
      </w:pPr>
      <w:r>
        <w:rPr>
          <w:rFonts w:hint="eastAsia" w:ascii="宋体" w:hAnsi="宋体"/>
          <w:color w:val="auto"/>
          <w:highlight w:val="none"/>
        </w:rPr>
        <w:t>由于发包人原因引起的暂停施工造成工期延误的，承包人有权要求发包人延长工期和（或）增加费用，并支付合理利润。</w:t>
      </w:r>
    </w:p>
    <w:p w14:paraId="1331B562">
      <w:pPr>
        <w:pStyle w:val="51"/>
        <w:outlineLvl w:val="3"/>
        <w:rPr>
          <w:color w:val="auto"/>
          <w:highlight w:val="none"/>
        </w:rPr>
      </w:pPr>
      <w:bookmarkStart w:id="362" w:name="_Toc3912"/>
      <w:bookmarkStart w:id="363" w:name="_Toc1658"/>
      <w:bookmarkStart w:id="364" w:name="_Toc240967115"/>
      <w:r>
        <w:rPr>
          <w:rFonts w:hint="eastAsia"/>
          <w:color w:val="auto"/>
          <w:highlight w:val="none"/>
        </w:rPr>
        <w:t>12.3 监理人暂停施工指示</w:t>
      </w:r>
      <w:bookmarkEnd w:id="362"/>
      <w:bookmarkEnd w:id="363"/>
      <w:bookmarkEnd w:id="364"/>
    </w:p>
    <w:p w14:paraId="26DAF8DF">
      <w:pPr>
        <w:pStyle w:val="9"/>
        <w:spacing w:line="400" w:lineRule="exact"/>
        <w:ind w:firstLine="420" w:firstLineChars="200"/>
        <w:rPr>
          <w:rFonts w:ascii="宋体" w:hAnsi="宋体"/>
          <w:color w:val="auto"/>
          <w:highlight w:val="none"/>
        </w:rPr>
      </w:pPr>
      <w:r>
        <w:rPr>
          <w:rFonts w:hint="eastAsia" w:ascii="宋体" w:hAnsi="宋体"/>
          <w:color w:val="auto"/>
          <w:highlight w:val="none"/>
        </w:rPr>
        <w:t>12.3.1 监理人认为有必要时，可向承包人作出暂停施工的指示，承包人应按监理人指示暂停施工。不论由于何种原因引起的暂停施工，暂停施工期间承包人应负责妥善保护工程并提供安全保障。</w:t>
      </w:r>
    </w:p>
    <w:p w14:paraId="1F538C68">
      <w:pPr>
        <w:pStyle w:val="9"/>
        <w:spacing w:line="400" w:lineRule="exact"/>
        <w:ind w:firstLine="420" w:firstLineChars="200"/>
        <w:rPr>
          <w:rFonts w:ascii="宋体" w:hAnsi="宋体"/>
          <w:color w:val="auto"/>
          <w:highlight w:val="none"/>
        </w:rPr>
      </w:pPr>
      <w:r>
        <w:rPr>
          <w:rFonts w:hint="eastAsia" w:ascii="宋体" w:hAnsi="宋体"/>
          <w:color w:val="auto"/>
          <w:highlight w:val="none"/>
        </w:rPr>
        <w:t>12.3.2 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p>
    <w:p w14:paraId="1D067F3A">
      <w:pPr>
        <w:pStyle w:val="51"/>
        <w:outlineLvl w:val="3"/>
        <w:rPr>
          <w:color w:val="auto"/>
          <w:highlight w:val="none"/>
        </w:rPr>
      </w:pPr>
      <w:bookmarkStart w:id="365" w:name="_Toc29829"/>
      <w:bookmarkStart w:id="366" w:name="_Toc240967116"/>
      <w:bookmarkStart w:id="367" w:name="_Toc16235"/>
      <w:r>
        <w:rPr>
          <w:rFonts w:hint="eastAsia"/>
          <w:color w:val="auto"/>
          <w:highlight w:val="none"/>
        </w:rPr>
        <w:t>12.4 暂停施工后的复工</w:t>
      </w:r>
      <w:bookmarkEnd w:id="365"/>
      <w:bookmarkEnd w:id="366"/>
      <w:bookmarkEnd w:id="367"/>
    </w:p>
    <w:p w14:paraId="5139CC89">
      <w:pPr>
        <w:pStyle w:val="9"/>
        <w:spacing w:line="400" w:lineRule="exact"/>
        <w:ind w:firstLine="420" w:firstLineChars="200"/>
        <w:rPr>
          <w:rFonts w:ascii="宋体" w:hAnsi="宋体"/>
          <w:color w:val="auto"/>
          <w:highlight w:val="none"/>
        </w:rPr>
      </w:pPr>
      <w:r>
        <w:rPr>
          <w:rFonts w:hint="eastAsia" w:ascii="宋体" w:hAnsi="宋体"/>
          <w:color w:val="auto"/>
          <w:highlight w:val="none"/>
        </w:rPr>
        <w:t>12.4.1 暂停施工后，监理人应与发包人和承包人协商，采取有效措施积极消除暂停施工的影响。当工程具备复工条件时，监理人应立即向承包人发出复工通知。承包人收到复工通知后，应在监理人指定的期限内复工。</w:t>
      </w:r>
    </w:p>
    <w:p w14:paraId="53E1C97B">
      <w:pPr>
        <w:pStyle w:val="9"/>
        <w:spacing w:line="400" w:lineRule="exact"/>
        <w:ind w:firstLine="420" w:firstLineChars="200"/>
        <w:rPr>
          <w:rFonts w:ascii="隶书" w:eastAsia="隶书"/>
          <w:color w:val="auto"/>
          <w:highlight w:val="none"/>
        </w:rPr>
      </w:pPr>
      <w:r>
        <w:rPr>
          <w:rFonts w:hint="eastAsia" w:ascii="宋体" w:hAnsi="宋体"/>
          <w:color w:val="auto"/>
          <w:highlight w:val="none"/>
        </w:rPr>
        <w:t>12.4.2 承包人无故拖延和拒绝复工的，由此增加的费用和工期延误由承包人承担；因发包人原因无法按时复工的，承包人有权要求发包人延长工期和（或）增加费用，并支付合理利润。</w:t>
      </w:r>
    </w:p>
    <w:p w14:paraId="336BC9C9">
      <w:pPr>
        <w:pStyle w:val="51"/>
        <w:outlineLvl w:val="3"/>
        <w:rPr>
          <w:color w:val="auto"/>
          <w:highlight w:val="none"/>
        </w:rPr>
      </w:pPr>
      <w:bookmarkStart w:id="368" w:name="_Toc7064"/>
      <w:bookmarkStart w:id="369" w:name="_Toc6243"/>
      <w:bookmarkStart w:id="370" w:name="_Toc240967117"/>
      <w:r>
        <w:rPr>
          <w:rFonts w:hint="eastAsia"/>
          <w:color w:val="auto"/>
          <w:highlight w:val="none"/>
        </w:rPr>
        <w:t xml:space="preserve">12.5 </w:t>
      </w:r>
      <w:r>
        <w:rPr>
          <w:color w:val="auto"/>
          <w:highlight w:val="none"/>
        </w:rPr>
        <w:t>暂停施工</w:t>
      </w:r>
      <w:r>
        <w:rPr>
          <w:rFonts w:hint="eastAsia"/>
          <w:color w:val="auto"/>
          <w:highlight w:val="none"/>
        </w:rPr>
        <w:t>持续56天以上</w:t>
      </w:r>
      <w:bookmarkEnd w:id="368"/>
      <w:bookmarkEnd w:id="369"/>
      <w:bookmarkEnd w:id="370"/>
    </w:p>
    <w:p w14:paraId="4763F2DA">
      <w:pPr>
        <w:pStyle w:val="9"/>
        <w:spacing w:line="400" w:lineRule="exact"/>
        <w:ind w:firstLine="420" w:firstLineChars="200"/>
        <w:rPr>
          <w:rFonts w:ascii="宋体" w:hAnsi="宋体"/>
          <w:color w:val="auto"/>
          <w:highlight w:val="none"/>
        </w:rPr>
      </w:pPr>
      <w:r>
        <w:rPr>
          <w:rFonts w:hint="eastAsia" w:ascii="宋体" w:hAnsi="宋体"/>
          <w:color w:val="auto"/>
          <w:highlight w:val="none"/>
        </w:rPr>
        <w:t>12.5.1 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p>
    <w:p w14:paraId="289D6FEE">
      <w:pPr>
        <w:pStyle w:val="9"/>
        <w:spacing w:line="400" w:lineRule="exact"/>
        <w:ind w:firstLine="420" w:firstLineChars="200"/>
        <w:rPr>
          <w:rFonts w:ascii="宋体" w:hAnsi="宋体"/>
          <w:color w:val="auto"/>
          <w:highlight w:val="none"/>
        </w:rPr>
      </w:pPr>
      <w:r>
        <w:rPr>
          <w:rFonts w:hint="eastAsia" w:ascii="宋体" w:hAnsi="宋体"/>
          <w:color w:val="auto"/>
          <w:highlight w:val="none"/>
        </w:rPr>
        <w:t>12.5.2 由于承包人责任引起的暂停施工，如承包人在收到监理人暂停施工指示后56天内不认真采取有效的复工措施，造成工期延误，可视为承包人违约，应按第22.1款的规定办理。</w:t>
      </w:r>
    </w:p>
    <w:p w14:paraId="139FB2D4">
      <w:pPr>
        <w:pStyle w:val="52"/>
        <w:outlineLvl w:val="2"/>
        <w:rPr>
          <w:color w:val="auto"/>
          <w:highlight w:val="none"/>
        </w:rPr>
      </w:pPr>
      <w:bookmarkStart w:id="371" w:name="_Toc3780"/>
      <w:bookmarkStart w:id="372" w:name="_Toc9268"/>
      <w:bookmarkStart w:id="373" w:name="_Toc240967118"/>
      <w:r>
        <w:rPr>
          <w:rFonts w:hint="eastAsia"/>
          <w:color w:val="auto"/>
          <w:highlight w:val="none"/>
        </w:rPr>
        <w:t>13. 工程质量</w:t>
      </w:r>
      <w:bookmarkEnd w:id="371"/>
      <w:bookmarkEnd w:id="372"/>
      <w:bookmarkEnd w:id="373"/>
    </w:p>
    <w:p w14:paraId="609D74BD">
      <w:pPr>
        <w:pStyle w:val="51"/>
        <w:outlineLvl w:val="3"/>
        <w:rPr>
          <w:color w:val="auto"/>
          <w:highlight w:val="none"/>
        </w:rPr>
      </w:pPr>
      <w:bookmarkStart w:id="374" w:name="_Toc240967119"/>
      <w:bookmarkStart w:id="375" w:name="_Toc1007"/>
      <w:bookmarkStart w:id="376" w:name="_Toc2073"/>
      <w:r>
        <w:rPr>
          <w:rFonts w:hint="eastAsia"/>
          <w:color w:val="auto"/>
          <w:highlight w:val="none"/>
        </w:rPr>
        <w:t>13.1 工程质量要求</w:t>
      </w:r>
      <w:bookmarkEnd w:id="374"/>
      <w:bookmarkEnd w:id="375"/>
      <w:bookmarkEnd w:id="376"/>
    </w:p>
    <w:p w14:paraId="61DC5393">
      <w:pPr>
        <w:pStyle w:val="9"/>
        <w:spacing w:line="400" w:lineRule="exact"/>
        <w:ind w:firstLine="420" w:firstLineChars="200"/>
        <w:rPr>
          <w:rFonts w:ascii="宋体" w:hAnsi="宋体"/>
          <w:color w:val="auto"/>
          <w:highlight w:val="none"/>
        </w:rPr>
      </w:pPr>
      <w:r>
        <w:rPr>
          <w:rFonts w:hint="eastAsia" w:ascii="宋体" w:hAnsi="宋体"/>
          <w:color w:val="auto"/>
          <w:highlight w:val="none"/>
        </w:rPr>
        <w:t>13.1.1 工程质量验收按合同约定验收标准执行。</w:t>
      </w:r>
    </w:p>
    <w:p w14:paraId="11DDFED2">
      <w:pPr>
        <w:pStyle w:val="9"/>
        <w:spacing w:line="400" w:lineRule="exact"/>
        <w:ind w:firstLine="420" w:firstLineChars="200"/>
        <w:rPr>
          <w:rFonts w:ascii="宋体" w:hAnsi="宋体"/>
          <w:color w:val="auto"/>
          <w:highlight w:val="none"/>
        </w:rPr>
      </w:pPr>
      <w:r>
        <w:rPr>
          <w:rFonts w:hint="eastAsia" w:ascii="宋体" w:hAnsi="宋体"/>
          <w:color w:val="auto"/>
          <w:highlight w:val="none"/>
        </w:rPr>
        <w:t>13.1.2 因承包人原因造成工程质量达不到合同约定验收标准的，监理人有权要求承包人返工直至符合合同要求为止，由此造成的费用增加和（或）工期延误由承包人承担。</w:t>
      </w:r>
    </w:p>
    <w:p w14:paraId="10EF03BA">
      <w:pPr>
        <w:pStyle w:val="9"/>
        <w:spacing w:line="400" w:lineRule="exact"/>
        <w:ind w:firstLine="420" w:firstLineChars="200"/>
        <w:rPr>
          <w:rFonts w:ascii="宋体" w:hAnsi="宋体"/>
          <w:color w:val="auto"/>
          <w:highlight w:val="none"/>
        </w:rPr>
      </w:pPr>
      <w:r>
        <w:rPr>
          <w:rFonts w:hint="eastAsia" w:ascii="宋体" w:hAnsi="宋体"/>
          <w:color w:val="auto"/>
          <w:highlight w:val="none"/>
        </w:rPr>
        <w:t>13.1.3 因发包人原因造成工程质量达不到合同约定验收标准的，发包人应承担由于承包人返工造成的费用增加和（或）工期延误，并支付承包人合理利润。</w:t>
      </w:r>
    </w:p>
    <w:p w14:paraId="71C795EC">
      <w:pPr>
        <w:pStyle w:val="51"/>
        <w:outlineLvl w:val="3"/>
        <w:rPr>
          <w:color w:val="auto"/>
          <w:highlight w:val="none"/>
        </w:rPr>
      </w:pPr>
      <w:bookmarkStart w:id="377" w:name="_Toc9657"/>
      <w:bookmarkStart w:id="378" w:name="_Toc240967120"/>
      <w:bookmarkStart w:id="379" w:name="_Toc24294"/>
      <w:r>
        <w:rPr>
          <w:rFonts w:hint="eastAsia"/>
          <w:color w:val="auto"/>
          <w:highlight w:val="none"/>
        </w:rPr>
        <w:t>13.2 承包人的质量管理</w:t>
      </w:r>
      <w:bookmarkEnd w:id="377"/>
      <w:bookmarkEnd w:id="378"/>
      <w:bookmarkEnd w:id="379"/>
    </w:p>
    <w:p w14:paraId="599EA425">
      <w:pPr>
        <w:pStyle w:val="9"/>
        <w:spacing w:line="400" w:lineRule="exact"/>
        <w:ind w:firstLine="420" w:firstLineChars="200"/>
        <w:rPr>
          <w:rFonts w:ascii="宋体" w:hAnsi="宋体"/>
          <w:color w:val="auto"/>
          <w:highlight w:val="none"/>
        </w:rPr>
      </w:pPr>
      <w:r>
        <w:rPr>
          <w:rFonts w:hint="eastAsia" w:ascii="宋体" w:hAnsi="宋体"/>
          <w:color w:val="auto"/>
          <w:highlight w:val="none"/>
        </w:rPr>
        <w:t>13.2.1 承包人应在施工场地设置专门的质量检查机构，配备专职质量检查人员，建立完善的质量检查制度。承包人应在合同约定的期限内，提交工程质量保证措施文件，包括质量检查机构的组织和岗位责任、质检人员的组成、质量检查程序和实施细则等，报送监理人审批。</w:t>
      </w:r>
    </w:p>
    <w:p w14:paraId="588DA20D">
      <w:pPr>
        <w:pStyle w:val="9"/>
        <w:spacing w:line="400" w:lineRule="exact"/>
        <w:ind w:firstLine="420" w:firstLineChars="200"/>
        <w:rPr>
          <w:rFonts w:ascii="宋体" w:hAnsi="宋体"/>
          <w:color w:val="auto"/>
          <w:highlight w:val="none"/>
        </w:rPr>
      </w:pPr>
      <w:r>
        <w:rPr>
          <w:rFonts w:hint="eastAsia" w:ascii="宋体" w:hAnsi="宋体"/>
          <w:color w:val="auto"/>
          <w:highlight w:val="none"/>
        </w:rPr>
        <w:t>13.2.2 承包人应加强对施工人员的质量教育和技术培训，定期考核施工人员的劳动技能，严格执行规范和操作规程。</w:t>
      </w:r>
    </w:p>
    <w:p w14:paraId="384BEE11">
      <w:pPr>
        <w:pStyle w:val="51"/>
        <w:outlineLvl w:val="3"/>
        <w:rPr>
          <w:color w:val="auto"/>
          <w:highlight w:val="none"/>
        </w:rPr>
      </w:pPr>
      <w:bookmarkStart w:id="380" w:name="_Toc26987"/>
      <w:bookmarkStart w:id="381" w:name="_Toc5239"/>
      <w:bookmarkStart w:id="382" w:name="_Toc240967121"/>
      <w:r>
        <w:rPr>
          <w:rFonts w:hint="eastAsia"/>
          <w:color w:val="auto"/>
          <w:highlight w:val="none"/>
        </w:rPr>
        <w:t>13.3 承包人的质量检查</w:t>
      </w:r>
      <w:bookmarkEnd w:id="380"/>
      <w:bookmarkEnd w:id="381"/>
      <w:bookmarkEnd w:id="382"/>
    </w:p>
    <w:p w14:paraId="44867907">
      <w:pPr>
        <w:pStyle w:val="9"/>
        <w:spacing w:line="400" w:lineRule="exact"/>
        <w:ind w:firstLine="420" w:firstLineChars="200"/>
        <w:rPr>
          <w:rFonts w:ascii="宋体" w:hAnsi="宋体"/>
          <w:color w:val="auto"/>
          <w:highlight w:val="none"/>
        </w:rPr>
      </w:pPr>
      <w:r>
        <w:rPr>
          <w:rFonts w:hint="eastAsia" w:ascii="宋体" w:hAnsi="宋体"/>
          <w:color w:val="auto"/>
          <w:highlight w:val="none"/>
        </w:rPr>
        <w:t>承包人应按合同约定对材料、工程设备以及工程的所有部位及其施工工艺进行全过程的质量检查和检验，并作详细记录，编制工程质量报表，报送监理人审查。</w:t>
      </w:r>
    </w:p>
    <w:p w14:paraId="0C35F718">
      <w:pPr>
        <w:pStyle w:val="51"/>
        <w:outlineLvl w:val="3"/>
        <w:rPr>
          <w:color w:val="auto"/>
          <w:highlight w:val="none"/>
        </w:rPr>
      </w:pPr>
      <w:bookmarkStart w:id="383" w:name="_Toc23634"/>
      <w:bookmarkStart w:id="384" w:name="_Toc16785"/>
      <w:bookmarkStart w:id="385" w:name="_Toc240967122"/>
      <w:r>
        <w:rPr>
          <w:rFonts w:hint="eastAsia"/>
          <w:color w:val="auto"/>
          <w:highlight w:val="none"/>
        </w:rPr>
        <w:t>13.4 监理人的质量检查</w:t>
      </w:r>
      <w:bookmarkEnd w:id="383"/>
      <w:bookmarkEnd w:id="384"/>
      <w:bookmarkEnd w:id="385"/>
    </w:p>
    <w:p w14:paraId="4CD46A81">
      <w:pPr>
        <w:pStyle w:val="9"/>
        <w:spacing w:line="400" w:lineRule="exact"/>
        <w:ind w:firstLine="420" w:firstLineChars="200"/>
        <w:rPr>
          <w:rFonts w:ascii="宋体" w:hAnsi="宋体"/>
          <w:color w:val="auto"/>
          <w:highlight w:val="none"/>
        </w:rPr>
      </w:pPr>
      <w:r>
        <w:rPr>
          <w:rFonts w:hint="eastAsia" w:ascii="宋体" w:hAnsi="宋体"/>
          <w:color w:val="auto"/>
          <w:highlight w:val="none"/>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p>
    <w:p w14:paraId="3E83D693">
      <w:pPr>
        <w:pStyle w:val="51"/>
        <w:outlineLvl w:val="3"/>
        <w:rPr>
          <w:color w:val="auto"/>
          <w:highlight w:val="none"/>
        </w:rPr>
      </w:pPr>
      <w:bookmarkStart w:id="386" w:name="_Toc20121"/>
      <w:bookmarkStart w:id="387" w:name="_Toc240967123"/>
      <w:bookmarkStart w:id="388" w:name="_Toc11599"/>
      <w:r>
        <w:rPr>
          <w:rFonts w:hint="eastAsia"/>
          <w:color w:val="auto"/>
          <w:highlight w:val="none"/>
        </w:rPr>
        <w:t>13.5 工程隐蔽部位覆盖前的检查</w:t>
      </w:r>
      <w:bookmarkEnd w:id="386"/>
      <w:bookmarkEnd w:id="387"/>
      <w:bookmarkEnd w:id="388"/>
    </w:p>
    <w:p w14:paraId="3D617CA5">
      <w:pPr>
        <w:pStyle w:val="9"/>
        <w:spacing w:line="400" w:lineRule="exact"/>
        <w:ind w:firstLine="420" w:firstLineChars="200"/>
        <w:rPr>
          <w:rFonts w:ascii="宋体" w:hAnsi="宋体"/>
          <w:color w:val="auto"/>
          <w:highlight w:val="none"/>
        </w:rPr>
      </w:pPr>
      <w:r>
        <w:rPr>
          <w:rFonts w:hint="eastAsia" w:ascii="宋体" w:hAnsi="宋体"/>
          <w:color w:val="auto"/>
          <w:highlight w:val="none"/>
        </w:rPr>
        <w:t>13.5.1 通知监理人检查</w:t>
      </w:r>
    </w:p>
    <w:p w14:paraId="32902E83">
      <w:pPr>
        <w:pStyle w:val="9"/>
        <w:spacing w:line="400" w:lineRule="exact"/>
        <w:ind w:firstLine="420" w:firstLineChars="200"/>
        <w:rPr>
          <w:rFonts w:ascii="宋体" w:hAnsi="宋体"/>
          <w:color w:val="auto"/>
          <w:highlight w:val="none"/>
        </w:rPr>
      </w:pPr>
      <w:r>
        <w:rPr>
          <w:rFonts w:hint="eastAsia" w:ascii="宋体" w:hAnsi="宋体"/>
          <w:color w:val="auto"/>
          <w:highlight w:val="none"/>
        </w:rPr>
        <w:t>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p>
    <w:p w14:paraId="48051D5D">
      <w:pPr>
        <w:pStyle w:val="9"/>
        <w:spacing w:line="400" w:lineRule="exact"/>
        <w:ind w:firstLine="420" w:firstLineChars="200"/>
        <w:rPr>
          <w:rFonts w:ascii="宋体" w:hAnsi="宋体"/>
          <w:color w:val="auto"/>
          <w:highlight w:val="none"/>
        </w:rPr>
      </w:pPr>
      <w:r>
        <w:rPr>
          <w:rFonts w:hint="eastAsia" w:ascii="宋体" w:hAnsi="宋体"/>
          <w:color w:val="auto"/>
          <w:highlight w:val="none"/>
        </w:rPr>
        <w:t>13.5.2 监理人未到场检查</w:t>
      </w:r>
    </w:p>
    <w:p w14:paraId="79172A5C">
      <w:pPr>
        <w:pStyle w:val="9"/>
        <w:spacing w:line="400" w:lineRule="exact"/>
        <w:ind w:firstLine="420" w:firstLineChars="200"/>
        <w:rPr>
          <w:rFonts w:ascii="宋体" w:hAnsi="宋体"/>
          <w:color w:val="auto"/>
          <w:highlight w:val="none"/>
        </w:rPr>
      </w:pPr>
      <w:r>
        <w:rPr>
          <w:rFonts w:hint="eastAsia" w:ascii="宋体" w:hAnsi="宋体"/>
          <w:color w:val="auto"/>
          <w:highlight w:val="none"/>
        </w:rPr>
        <w:t>监理人未按第13.5.1项约定的时间进行检查的，除监理人另有指示外，承包人可自行完成覆盖工作，并作相应记录报送监理人，监理人应签字确认。监理人事后对检查记录有疑问的，可按第13.5.3项的约定重新检查。</w:t>
      </w:r>
    </w:p>
    <w:p w14:paraId="1699B413">
      <w:pPr>
        <w:pStyle w:val="9"/>
        <w:spacing w:line="400" w:lineRule="exact"/>
        <w:ind w:firstLine="420" w:firstLineChars="200"/>
        <w:rPr>
          <w:rFonts w:ascii="宋体" w:hAnsi="宋体"/>
          <w:color w:val="auto"/>
          <w:highlight w:val="none"/>
        </w:rPr>
      </w:pPr>
      <w:r>
        <w:rPr>
          <w:rFonts w:hint="eastAsia" w:ascii="宋体" w:hAnsi="宋体"/>
          <w:color w:val="auto"/>
          <w:highlight w:val="none"/>
        </w:rPr>
        <w:t>13.5.3 监理人重新检查</w:t>
      </w:r>
    </w:p>
    <w:p w14:paraId="46313C6E">
      <w:pPr>
        <w:pStyle w:val="9"/>
        <w:spacing w:line="400" w:lineRule="exact"/>
        <w:ind w:firstLine="420" w:firstLineChars="200"/>
        <w:rPr>
          <w:rFonts w:ascii="宋体" w:hAnsi="宋体"/>
          <w:color w:val="auto"/>
          <w:highlight w:val="none"/>
        </w:rPr>
      </w:pPr>
      <w:r>
        <w:rPr>
          <w:rFonts w:hint="eastAsia" w:ascii="宋体" w:hAnsi="宋体"/>
          <w:color w:val="auto"/>
          <w:highlight w:val="none"/>
        </w:rPr>
        <w:t>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14:paraId="4AF8E507">
      <w:pPr>
        <w:pStyle w:val="9"/>
        <w:spacing w:line="400" w:lineRule="exact"/>
        <w:ind w:firstLine="420" w:firstLineChars="200"/>
        <w:rPr>
          <w:rFonts w:ascii="宋体" w:hAnsi="宋体"/>
          <w:color w:val="auto"/>
          <w:highlight w:val="none"/>
        </w:rPr>
      </w:pPr>
      <w:r>
        <w:rPr>
          <w:rFonts w:hint="eastAsia" w:ascii="宋体" w:hAnsi="宋体"/>
          <w:color w:val="auto"/>
          <w:highlight w:val="none"/>
        </w:rPr>
        <w:t>13.5.4 承包人私自覆盖</w:t>
      </w:r>
    </w:p>
    <w:p w14:paraId="7B6FA760">
      <w:pPr>
        <w:pStyle w:val="9"/>
        <w:spacing w:line="400" w:lineRule="exact"/>
        <w:ind w:firstLine="420" w:firstLineChars="200"/>
        <w:rPr>
          <w:rFonts w:ascii="隶书" w:eastAsia="隶书"/>
          <w:color w:val="auto"/>
          <w:highlight w:val="none"/>
        </w:rPr>
      </w:pPr>
      <w:r>
        <w:rPr>
          <w:rFonts w:hint="eastAsia" w:ascii="宋体" w:hAnsi="宋体"/>
          <w:color w:val="auto"/>
          <w:highlight w:val="none"/>
        </w:rPr>
        <w:t>承包人未通知监理人到场检查，私自将工程隐蔽部位覆盖的，监理人有权指示承包人钻孔探测或揭开检查，由此增加的费用和（或）工期延误由承包人承担。</w:t>
      </w:r>
    </w:p>
    <w:p w14:paraId="70A9A590">
      <w:pPr>
        <w:pStyle w:val="51"/>
        <w:outlineLvl w:val="3"/>
        <w:rPr>
          <w:color w:val="auto"/>
          <w:highlight w:val="none"/>
        </w:rPr>
      </w:pPr>
      <w:bookmarkStart w:id="389" w:name="_Toc18436"/>
      <w:bookmarkStart w:id="390" w:name="_Toc15268"/>
      <w:bookmarkStart w:id="391" w:name="_Toc240967124"/>
      <w:r>
        <w:rPr>
          <w:rFonts w:hint="eastAsia"/>
          <w:color w:val="auto"/>
          <w:highlight w:val="none"/>
        </w:rPr>
        <w:t>13.6 清除不合格工程</w:t>
      </w:r>
      <w:bookmarkEnd w:id="389"/>
      <w:bookmarkEnd w:id="390"/>
      <w:bookmarkEnd w:id="391"/>
    </w:p>
    <w:p w14:paraId="66A7659B">
      <w:pPr>
        <w:pStyle w:val="9"/>
        <w:spacing w:line="400" w:lineRule="exact"/>
        <w:ind w:firstLine="420" w:firstLineChars="200"/>
        <w:rPr>
          <w:rFonts w:ascii="宋体" w:hAnsi="宋体"/>
          <w:color w:val="auto"/>
          <w:highlight w:val="none"/>
        </w:rPr>
      </w:pPr>
      <w:r>
        <w:rPr>
          <w:rFonts w:hint="eastAsia" w:ascii="宋体" w:hAnsi="宋体"/>
          <w:color w:val="auto"/>
          <w:highlight w:val="none"/>
        </w:rPr>
        <w:t>13.6.1 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14:paraId="39CECD6C">
      <w:pPr>
        <w:pStyle w:val="9"/>
        <w:spacing w:line="400" w:lineRule="exact"/>
        <w:ind w:firstLine="420" w:firstLineChars="200"/>
        <w:rPr>
          <w:rFonts w:ascii="宋体" w:hAnsi="宋体"/>
          <w:color w:val="auto"/>
          <w:highlight w:val="none"/>
        </w:rPr>
      </w:pPr>
      <w:r>
        <w:rPr>
          <w:rFonts w:hint="eastAsia" w:ascii="宋体" w:hAnsi="宋体"/>
          <w:color w:val="auto"/>
          <w:highlight w:val="none"/>
        </w:rPr>
        <w:t>13.6.2 由于发包人提供的材料或工程设备不合格造成的工程不合格，需要承包人采取措施补救的，发包人应承担由此增加的费用和（或）工期延误，并支付承包人合理利润。</w:t>
      </w:r>
    </w:p>
    <w:p w14:paraId="245A9F8A">
      <w:pPr>
        <w:pStyle w:val="52"/>
        <w:outlineLvl w:val="2"/>
        <w:rPr>
          <w:color w:val="auto"/>
          <w:highlight w:val="none"/>
        </w:rPr>
      </w:pPr>
      <w:bookmarkStart w:id="392" w:name="_Toc23529"/>
      <w:bookmarkStart w:id="393" w:name="_Toc6001"/>
      <w:bookmarkStart w:id="394" w:name="_Toc240967125"/>
      <w:r>
        <w:rPr>
          <w:rFonts w:hint="eastAsia"/>
          <w:color w:val="auto"/>
          <w:highlight w:val="none"/>
        </w:rPr>
        <w:t>14. 试验和检验</w:t>
      </w:r>
      <w:bookmarkEnd w:id="392"/>
      <w:bookmarkEnd w:id="393"/>
      <w:bookmarkEnd w:id="394"/>
    </w:p>
    <w:p w14:paraId="4788B3F4">
      <w:pPr>
        <w:pStyle w:val="51"/>
        <w:outlineLvl w:val="3"/>
        <w:rPr>
          <w:color w:val="auto"/>
          <w:highlight w:val="none"/>
        </w:rPr>
      </w:pPr>
      <w:bookmarkStart w:id="395" w:name="_Toc6531"/>
      <w:bookmarkStart w:id="396" w:name="_Toc240967126"/>
      <w:bookmarkStart w:id="397" w:name="_Toc12494"/>
      <w:r>
        <w:rPr>
          <w:rFonts w:hint="eastAsia"/>
          <w:color w:val="auto"/>
          <w:highlight w:val="none"/>
        </w:rPr>
        <w:t>14.1 材料、工程设备和工程的试验和检验</w:t>
      </w:r>
      <w:bookmarkEnd w:id="395"/>
      <w:bookmarkEnd w:id="396"/>
      <w:bookmarkEnd w:id="397"/>
    </w:p>
    <w:p w14:paraId="64C25B7A">
      <w:pPr>
        <w:pStyle w:val="9"/>
        <w:spacing w:line="400" w:lineRule="exact"/>
        <w:ind w:firstLine="420" w:firstLineChars="200"/>
        <w:rPr>
          <w:rFonts w:ascii="宋体" w:hAnsi="宋体"/>
          <w:color w:val="auto"/>
          <w:highlight w:val="none"/>
        </w:rPr>
      </w:pPr>
      <w:r>
        <w:rPr>
          <w:rFonts w:hint="eastAsia" w:ascii="宋体" w:hAnsi="宋体"/>
          <w:color w:val="auto"/>
          <w:highlight w:val="none"/>
        </w:rPr>
        <w:t>14.1.1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55C48015">
      <w:pPr>
        <w:pStyle w:val="9"/>
        <w:spacing w:line="400" w:lineRule="exact"/>
        <w:ind w:firstLine="420" w:firstLineChars="200"/>
        <w:rPr>
          <w:rFonts w:ascii="宋体" w:hAnsi="宋体"/>
          <w:color w:val="auto"/>
          <w:highlight w:val="none"/>
        </w:rPr>
      </w:pPr>
      <w:r>
        <w:rPr>
          <w:rFonts w:hint="eastAsia" w:ascii="宋体" w:hAnsi="宋体"/>
          <w:color w:val="auto"/>
          <w:highlight w:val="none"/>
        </w:rPr>
        <w:t>14.1.2 监理人未按合同约定派员参加试验和检验的，除监理人另有指示外，承包人可自行试验和检验，并应立即将试验和检验结果报送监理人，监理人应签字确认。</w:t>
      </w:r>
    </w:p>
    <w:p w14:paraId="606163BB">
      <w:pPr>
        <w:pStyle w:val="9"/>
        <w:spacing w:line="400" w:lineRule="exact"/>
        <w:ind w:firstLine="420" w:firstLineChars="200"/>
        <w:rPr>
          <w:rFonts w:ascii="隶书" w:eastAsia="隶书"/>
          <w:color w:val="auto"/>
          <w:highlight w:val="none"/>
        </w:rPr>
      </w:pPr>
      <w:r>
        <w:rPr>
          <w:rFonts w:hint="eastAsia" w:ascii="宋体" w:hAnsi="宋体"/>
          <w:color w:val="auto"/>
          <w:highlight w:val="none"/>
        </w:rPr>
        <w:t>14.1.3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14:paraId="19AEDB93">
      <w:pPr>
        <w:pStyle w:val="51"/>
        <w:outlineLvl w:val="3"/>
        <w:rPr>
          <w:color w:val="auto"/>
          <w:highlight w:val="none"/>
        </w:rPr>
      </w:pPr>
      <w:bookmarkStart w:id="398" w:name="_Toc240967127"/>
      <w:bookmarkStart w:id="399" w:name="_Toc17641"/>
      <w:r>
        <w:rPr>
          <w:rFonts w:hint="eastAsia"/>
          <w:color w:val="auto"/>
          <w:highlight w:val="none"/>
        </w:rPr>
        <w:t>14.2 现场材料试验</w:t>
      </w:r>
      <w:bookmarkEnd w:id="398"/>
      <w:bookmarkEnd w:id="399"/>
    </w:p>
    <w:p w14:paraId="26734901">
      <w:pPr>
        <w:pStyle w:val="9"/>
        <w:spacing w:line="400" w:lineRule="exact"/>
        <w:ind w:firstLine="420" w:firstLineChars="200"/>
        <w:rPr>
          <w:rFonts w:ascii="宋体" w:hAnsi="宋体"/>
          <w:color w:val="auto"/>
          <w:highlight w:val="none"/>
        </w:rPr>
      </w:pPr>
      <w:r>
        <w:rPr>
          <w:rFonts w:hint="eastAsia" w:ascii="宋体" w:hAnsi="宋体"/>
          <w:color w:val="auto"/>
          <w:highlight w:val="none"/>
        </w:rPr>
        <w:t>14.2.1 承包人根据合同约定或监理人指示进行的现场材料试验，应由承包人提供试验场所、试验人员、试验设备器材以及其他必要的试验条件。</w:t>
      </w:r>
    </w:p>
    <w:p w14:paraId="02AC0751">
      <w:pPr>
        <w:pStyle w:val="9"/>
        <w:spacing w:line="400" w:lineRule="exact"/>
        <w:ind w:firstLine="420" w:firstLineChars="200"/>
        <w:rPr>
          <w:rFonts w:ascii="宋体" w:hAnsi="宋体"/>
          <w:color w:val="auto"/>
          <w:highlight w:val="none"/>
        </w:rPr>
      </w:pPr>
      <w:r>
        <w:rPr>
          <w:rFonts w:hint="eastAsia" w:ascii="宋体" w:hAnsi="宋体"/>
          <w:color w:val="auto"/>
          <w:highlight w:val="none"/>
        </w:rPr>
        <w:t>14.2.2 监理人在必要时可以使用承包人的试验场所、试验设备器材以及其他试验条件，进行以工程质量检查为目的的复核性材料试验，承包人应予以协助。</w:t>
      </w:r>
    </w:p>
    <w:p w14:paraId="6F01D1E7">
      <w:pPr>
        <w:pStyle w:val="51"/>
        <w:outlineLvl w:val="3"/>
        <w:rPr>
          <w:color w:val="auto"/>
          <w:highlight w:val="none"/>
        </w:rPr>
      </w:pPr>
      <w:bookmarkStart w:id="400" w:name="_Toc6089"/>
      <w:bookmarkStart w:id="401" w:name="_Toc240967128"/>
      <w:bookmarkStart w:id="402" w:name="_Toc31757"/>
      <w:r>
        <w:rPr>
          <w:rFonts w:hint="eastAsia"/>
          <w:color w:val="auto"/>
          <w:highlight w:val="none"/>
        </w:rPr>
        <w:t>14.3 现场工艺试验</w:t>
      </w:r>
      <w:bookmarkEnd w:id="400"/>
      <w:bookmarkEnd w:id="401"/>
      <w:bookmarkEnd w:id="402"/>
    </w:p>
    <w:p w14:paraId="0C85A61D">
      <w:pPr>
        <w:pStyle w:val="9"/>
        <w:spacing w:line="400" w:lineRule="exact"/>
        <w:ind w:firstLine="420" w:firstLineChars="200"/>
        <w:rPr>
          <w:rFonts w:ascii="宋体" w:hAnsi="宋体"/>
          <w:color w:val="auto"/>
          <w:highlight w:val="none"/>
        </w:rPr>
      </w:pPr>
      <w:r>
        <w:rPr>
          <w:rFonts w:hint="eastAsia" w:ascii="宋体" w:hAnsi="宋体"/>
          <w:color w:val="auto"/>
          <w:highlight w:val="none"/>
        </w:rPr>
        <w:t>承包人应按合同约定或监理人指示进行现场工艺试验。对大型的现场工艺试验，监理人认为必要时，应由承包人根据监理人提出的工艺试验要求，编制工艺试验措施计划，报送监理人审批。</w:t>
      </w:r>
    </w:p>
    <w:p w14:paraId="5F709903">
      <w:pPr>
        <w:pStyle w:val="52"/>
        <w:outlineLvl w:val="2"/>
        <w:rPr>
          <w:color w:val="auto"/>
          <w:highlight w:val="none"/>
        </w:rPr>
      </w:pPr>
      <w:bookmarkStart w:id="403" w:name="_Toc240967129"/>
      <w:bookmarkStart w:id="404" w:name="_Toc23265"/>
      <w:bookmarkStart w:id="405" w:name="_Toc16694"/>
      <w:r>
        <w:rPr>
          <w:rFonts w:hint="eastAsia"/>
          <w:color w:val="auto"/>
          <w:highlight w:val="none"/>
        </w:rPr>
        <w:t>15. 变更</w:t>
      </w:r>
      <w:bookmarkEnd w:id="403"/>
      <w:bookmarkEnd w:id="404"/>
      <w:bookmarkEnd w:id="405"/>
    </w:p>
    <w:p w14:paraId="5C58A374">
      <w:pPr>
        <w:pStyle w:val="51"/>
        <w:outlineLvl w:val="3"/>
        <w:rPr>
          <w:color w:val="auto"/>
          <w:highlight w:val="none"/>
        </w:rPr>
      </w:pPr>
      <w:bookmarkStart w:id="406" w:name="_Toc240967130"/>
      <w:bookmarkStart w:id="407" w:name="_Toc8993"/>
      <w:bookmarkStart w:id="408" w:name="_Toc28059"/>
      <w:r>
        <w:rPr>
          <w:rFonts w:hint="eastAsia"/>
          <w:color w:val="auto"/>
          <w:highlight w:val="none"/>
        </w:rPr>
        <w:t>15.1 变更的范围和内容</w:t>
      </w:r>
      <w:bookmarkEnd w:id="406"/>
      <w:bookmarkEnd w:id="407"/>
      <w:bookmarkEnd w:id="408"/>
    </w:p>
    <w:p w14:paraId="078443B1">
      <w:pPr>
        <w:pStyle w:val="9"/>
        <w:spacing w:line="400" w:lineRule="exact"/>
        <w:ind w:firstLine="420" w:firstLineChars="200"/>
        <w:rPr>
          <w:rFonts w:ascii="宋体" w:hAnsi="宋体"/>
          <w:color w:val="auto"/>
          <w:highlight w:val="none"/>
        </w:rPr>
      </w:pPr>
      <w:r>
        <w:rPr>
          <w:rFonts w:hint="eastAsia" w:ascii="宋体" w:hAnsi="宋体"/>
          <w:color w:val="auto"/>
          <w:highlight w:val="none"/>
        </w:rPr>
        <w:t>除专用合同条款另有约定外，在履行合同中发生以下情形之一，应按照本条规定进行变更。</w:t>
      </w:r>
    </w:p>
    <w:p w14:paraId="72121B60">
      <w:pPr>
        <w:pStyle w:val="9"/>
        <w:spacing w:line="400" w:lineRule="exact"/>
        <w:ind w:firstLine="420" w:firstLineChars="200"/>
        <w:rPr>
          <w:rFonts w:ascii="宋体" w:hAnsi="宋体"/>
          <w:color w:val="auto"/>
          <w:highlight w:val="none"/>
        </w:rPr>
      </w:pPr>
      <w:r>
        <w:rPr>
          <w:rFonts w:hint="eastAsia" w:ascii="宋体" w:hAnsi="宋体"/>
          <w:color w:val="auto"/>
          <w:highlight w:val="none"/>
        </w:rPr>
        <w:t>（1）取消合同中任何一项工作，但被取消的工作不能转由发包人或其他人实施；</w:t>
      </w:r>
    </w:p>
    <w:p w14:paraId="7A03CFB7">
      <w:pPr>
        <w:pStyle w:val="9"/>
        <w:spacing w:line="400" w:lineRule="exact"/>
        <w:ind w:firstLine="420" w:firstLineChars="200"/>
        <w:rPr>
          <w:rFonts w:ascii="宋体" w:hAnsi="宋体"/>
          <w:color w:val="auto"/>
          <w:highlight w:val="none"/>
        </w:rPr>
      </w:pPr>
      <w:r>
        <w:rPr>
          <w:rFonts w:hint="eastAsia" w:ascii="宋体" w:hAnsi="宋体"/>
          <w:color w:val="auto"/>
          <w:highlight w:val="none"/>
        </w:rPr>
        <w:t>（2）改变合同中任何一项工作的质量或其他特性；</w:t>
      </w:r>
    </w:p>
    <w:p w14:paraId="1CE0999E">
      <w:pPr>
        <w:pStyle w:val="9"/>
        <w:spacing w:line="400" w:lineRule="exact"/>
        <w:ind w:firstLine="420" w:firstLineChars="200"/>
        <w:rPr>
          <w:rFonts w:ascii="宋体" w:hAnsi="宋体"/>
          <w:color w:val="auto"/>
          <w:highlight w:val="none"/>
        </w:rPr>
      </w:pPr>
      <w:r>
        <w:rPr>
          <w:rFonts w:hint="eastAsia" w:ascii="宋体" w:hAnsi="宋体"/>
          <w:color w:val="auto"/>
          <w:highlight w:val="none"/>
        </w:rPr>
        <w:t>（3）改变合同工程的基线、标高、位置或尺寸；</w:t>
      </w:r>
    </w:p>
    <w:p w14:paraId="76D16B90">
      <w:pPr>
        <w:pStyle w:val="9"/>
        <w:spacing w:line="400" w:lineRule="exact"/>
        <w:ind w:firstLine="420" w:firstLineChars="200"/>
        <w:rPr>
          <w:rFonts w:ascii="宋体" w:hAnsi="宋体"/>
          <w:color w:val="auto"/>
          <w:highlight w:val="none"/>
        </w:rPr>
      </w:pPr>
      <w:r>
        <w:rPr>
          <w:rFonts w:hint="eastAsia" w:ascii="宋体" w:hAnsi="宋体"/>
          <w:color w:val="auto"/>
          <w:highlight w:val="none"/>
        </w:rPr>
        <w:t>（4）改变合同中任何一项工作的施工时间或改变已批准的施工工艺或顺序；</w:t>
      </w:r>
    </w:p>
    <w:p w14:paraId="67C78298">
      <w:pPr>
        <w:pStyle w:val="9"/>
        <w:spacing w:line="400" w:lineRule="exact"/>
        <w:ind w:firstLine="420" w:firstLineChars="200"/>
        <w:rPr>
          <w:rFonts w:ascii="宋体" w:hAnsi="宋体"/>
          <w:color w:val="auto"/>
          <w:highlight w:val="none"/>
        </w:rPr>
      </w:pPr>
      <w:r>
        <w:rPr>
          <w:rFonts w:hint="eastAsia" w:ascii="宋体" w:hAnsi="宋体"/>
          <w:color w:val="auto"/>
          <w:highlight w:val="none"/>
        </w:rPr>
        <w:t>（5）为完成工程需要追加的额外工作。</w:t>
      </w:r>
    </w:p>
    <w:p w14:paraId="39CE60E4">
      <w:pPr>
        <w:pStyle w:val="51"/>
        <w:outlineLvl w:val="3"/>
        <w:rPr>
          <w:color w:val="auto"/>
          <w:highlight w:val="none"/>
        </w:rPr>
      </w:pPr>
      <w:bookmarkStart w:id="409" w:name="_Toc29724"/>
      <w:bookmarkStart w:id="410" w:name="_Toc13272"/>
      <w:bookmarkStart w:id="411" w:name="_Toc240967131"/>
      <w:r>
        <w:rPr>
          <w:rFonts w:hint="eastAsia"/>
          <w:color w:val="auto"/>
          <w:highlight w:val="none"/>
        </w:rPr>
        <w:t>15.2 变更权</w:t>
      </w:r>
      <w:bookmarkEnd w:id="409"/>
      <w:bookmarkEnd w:id="410"/>
      <w:bookmarkEnd w:id="411"/>
    </w:p>
    <w:p w14:paraId="4CF46474">
      <w:pPr>
        <w:pStyle w:val="9"/>
        <w:spacing w:line="400" w:lineRule="exact"/>
        <w:ind w:firstLine="420" w:firstLineChars="200"/>
        <w:rPr>
          <w:rFonts w:ascii="宋体" w:hAnsi="宋体"/>
          <w:color w:val="auto"/>
          <w:highlight w:val="none"/>
        </w:rPr>
      </w:pPr>
      <w:r>
        <w:rPr>
          <w:rFonts w:hint="eastAsia" w:ascii="宋体" w:hAnsi="宋体"/>
          <w:color w:val="auto"/>
          <w:highlight w:val="none"/>
        </w:rPr>
        <w:t>在履行合同过程中，经发包人同意，监理人可按第15.3款约定的变更程序向承包人作出变更指示，承包人应遵照执行。没有监理人的变更指示，承包人不得擅自变更。</w:t>
      </w:r>
    </w:p>
    <w:p w14:paraId="13F3A4FB">
      <w:pPr>
        <w:pStyle w:val="51"/>
        <w:outlineLvl w:val="3"/>
        <w:rPr>
          <w:color w:val="auto"/>
          <w:highlight w:val="none"/>
        </w:rPr>
      </w:pPr>
      <w:bookmarkStart w:id="412" w:name="_Toc28306"/>
      <w:bookmarkStart w:id="413" w:name="_Toc15393"/>
      <w:bookmarkStart w:id="414" w:name="_Toc240967132"/>
      <w:r>
        <w:rPr>
          <w:rFonts w:hint="eastAsia"/>
          <w:color w:val="auto"/>
          <w:highlight w:val="none"/>
        </w:rPr>
        <w:t>15.3 变更程序</w:t>
      </w:r>
      <w:bookmarkEnd w:id="412"/>
      <w:bookmarkEnd w:id="413"/>
      <w:bookmarkEnd w:id="414"/>
    </w:p>
    <w:p w14:paraId="789B8DE9">
      <w:pPr>
        <w:pStyle w:val="9"/>
        <w:spacing w:line="400" w:lineRule="exact"/>
        <w:ind w:firstLine="420" w:firstLineChars="200"/>
        <w:rPr>
          <w:rFonts w:ascii="宋体" w:hAnsi="宋体"/>
          <w:color w:val="auto"/>
          <w:highlight w:val="none"/>
        </w:rPr>
      </w:pPr>
      <w:r>
        <w:rPr>
          <w:rFonts w:hint="eastAsia" w:ascii="宋体" w:hAnsi="宋体"/>
          <w:color w:val="auto"/>
          <w:highlight w:val="none"/>
        </w:rPr>
        <w:t>15.3.1 变更的提出</w:t>
      </w:r>
    </w:p>
    <w:p w14:paraId="29553506">
      <w:pPr>
        <w:pStyle w:val="9"/>
        <w:spacing w:line="400" w:lineRule="exact"/>
        <w:ind w:firstLine="420" w:firstLineChars="200"/>
        <w:rPr>
          <w:rFonts w:ascii="宋体" w:hAnsi="宋体"/>
          <w:color w:val="auto"/>
          <w:highlight w:val="none"/>
        </w:rPr>
      </w:pPr>
      <w:r>
        <w:rPr>
          <w:rFonts w:hint="eastAsia" w:ascii="宋体" w:hAnsi="宋体"/>
          <w:color w:val="auto"/>
          <w:highlight w:val="none"/>
        </w:rPr>
        <w:t xml:space="preserve">（1）在合同履行过程中，可能发生第15.1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 </w:t>
      </w:r>
    </w:p>
    <w:p w14:paraId="55FC1CC5">
      <w:pPr>
        <w:pStyle w:val="9"/>
        <w:spacing w:line="400" w:lineRule="exact"/>
        <w:ind w:firstLine="420" w:firstLineChars="200"/>
        <w:rPr>
          <w:rFonts w:ascii="宋体" w:hAnsi="宋体"/>
          <w:color w:val="auto"/>
          <w:highlight w:val="none"/>
        </w:rPr>
      </w:pPr>
      <w:r>
        <w:rPr>
          <w:rFonts w:hint="eastAsia" w:ascii="宋体" w:hAnsi="宋体"/>
          <w:color w:val="auto"/>
          <w:highlight w:val="none"/>
        </w:rPr>
        <w:t>（2）在合同履行过程中，发生第15.1款约定情形的，监理人应按照第15.3.3项约定向承包人发出变更指示。</w:t>
      </w:r>
    </w:p>
    <w:p w14:paraId="57D3B9B1">
      <w:pPr>
        <w:pStyle w:val="9"/>
        <w:spacing w:line="400" w:lineRule="exact"/>
        <w:ind w:firstLine="420" w:firstLineChars="200"/>
        <w:rPr>
          <w:rFonts w:ascii="宋体" w:hAnsi="宋体"/>
          <w:color w:val="auto"/>
          <w:highlight w:val="none"/>
        </w:rPr>
      </w:pPr>
      <w:r>
        <w:rPr>
          <w:rFonts w:hint="eastAsia" w:ascii="宋体" w:hAnsi="宋体"/>
          <w:color w:val="auto"/>
          <w:highlight w:val="none"/>
        </w:rPr>
        <w:t>（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w:t>
      </w:r>
    </w:p>
    <w:p w14:paraId="5A0E8A91">
      <w:pPr>
        <w:pStyle w:val="9"/>
        <w:spacing w:line="400" w:lineRule="exact"/>
        <w:ind w:firstLine="420" w:firstLineChars="200"/>
        <w:rPr>
          <w:rFonts w:ascii="宋体" w:hAnsi="宋体"/>
          <w:color w:val="auto"/>
          <w:highlight w:val="none"/>
        </w:rPr>
      </w:pPr>
      <w:r>
        <w:rPr>
          <w:rFonts w:hint="eastAsia" w:ascii="宋体" w:hAnsi="宋体"/>
          <w:color w:val="auto"/>
          <w:highlight w:val="none"/>
        </w:rPr>
        <w:t>（4）若承包人收到监理人的变更意向书后认为难以实施此项变更，应立即通知监理人，说明原因并附详细依据。监理人与承包人和发包人协商后确定撤销、改变或不改变原变更意向书。</w:t>
      </w:r>
    </w:p>
    <w:p w14:paraId="005F96B5">
      <w:pPr>
        <w:pStyle w:val="9"/>
        <w:spacing w:line="400" w:lineRule="exact"/>
        <w:ind w:firstLine="420" w:firstLineChars="200"/>
        <w:rPr>
          <w:rFonts w:ascii="宋体" w:hAnsi="宋体"/>
          <w:color w:val="auto"/>
          <w:highlight w:val="none"/>
        </w:rPr>
      </w:pPr>
      <w:r>
        <w:rPr>
          <w:rFonts w:hint="eastAsia" w:ascii="宋体" w:hAnsi="宋体"/>
          <w:color w:val="auto"/>
          <w:highlight w:val="none"/>
        </w:rPr>
        <w:t>15.3.2 变更估价</w:t>
      </w:r>
    </w:p>
    <w:p w14:paraId="40664DE8">
      <w:pPr>
        <w:pStyle w:val="9"/>
        <w:spacing w:line="400" w:lineRule="exact"/>
        <w:ind w:firstLine="420" w:firstLineChars="200"/>
        <w:rPr>
          <w:rFonts w:ascii="宋体" w:hAnsi="宋体"/>
          <w:color w:val="auto"/>
          <w:highlight w:val="none"/>
        </w:rPr>
      </w:pPr>
      <w:r>
        <w:rPr>
          <w:rFonts w:hint="eastAsia" w:ascii="宋体" w:hAnsi="宋体"/>
          <w:color w:val="auto"/>
          <w:highlight w:val="none"/>
        </w:rPr>
        <w:t>（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p>
    <w:p w14:paraId="0A23F6AE">
      <w:pPr>
        <w:pStyle w:val="9"/>
        <w:spacing w:line="400" w:lineRule="exact"/>
        <w:ind w:firstLine="420" w:firstLineChars="200"/>
        <w:rPr>
          <w:rFonts w:ascii="宋体" w:hAnsi="宋体"/>
          <w:color w:val="auto"/>
          <w:highlight w:val="none"/>
        </w:rPr>
      </w:pPr>
      <w:r>
        <w:rPr>
          <w:rFonts w:hint="eastAsia" w:ascii="宋体" w:hAnsi="宋体"/>
          <w:color w:val="auto"/>
          <w:highlight w:val="none"/>
        </w:rPr>
        <w:t>（2）变更工作影响工期的，承包人应提出调整工期的具体细节。监理人认为有必要时，可要求承包人提交要求提前或延长工期的施工进度计划及相应施工措施等详细资料。</w:t>
      </w:r>
    </w:p>
    <w:p w14:paraId="346497F7">
      <w:pPr>
        <w:pStyle w:val="9"/>
        <w:spacing w:line="400" w:lineRule="exact"/>
        <w:ind w:firstLine="420" w:firstLineChars="200"/>
        <w:rPr>
          <w:rFonts w:ascii="宋体" w:hAnsi="宋体"/>
          <w:color w:val="auto"/>
          <w:highlight w:val="none"/>
        </w:rPr>
      </w:pPr>
      <w:r>
        <w:rPr>
          <w:rFonts w:hint="eastAsia" w:ascii="宋体" w:hAnsi="宋体"/>
          <w:color w:val="auto"/>
          <w:highlight w:val="none"/>
        </w:rPr>
        <w:t>（3）除专用合同条款对期限另有约定外，监理人收到承包人变更报价书后的14天内，根据第15.4款约定的估价原则，按照第3.5款商定或确定变更价格。</w:t>
      </w:r>
    </w:p>
    <w:p w14:paraId="4147DA0F">
      <w:pPr>
        <w:pStyle w:val="9"/>
        <w:spacing w:line="400" w:lineRule="exact"/>
        <w:ind w:firstLine="420" w:firstLineChars="200"/>
        <w:rPr>
          <w:rFonts w:ascii="宋体" w:hAnsi="宋体"/>
          <w:color w:val="auto"/>
          <w:highlight w:val="none"/>
        </w:rPr>
      </w:pPr>
      <w:r>
        <w:rPr>
          <w:rFonts w:hint="eastAsia" w:ascii="宋体" w:hAnsi="宋体"/>
          <w:color w:val="auto"/>
          <w:highlight w:val="none"/>
        </w:rPr>
        <w:t>15.3.3 变更指示</w:t>
      </w:r>
    </w:p>
    <w:p w14:paraId="763CBBFC">
      <w:pPr>
        <w:pStyle w:val="9"/>
        <w:spacing w:line="400" w:lineRule="exact"/>
        <w:ind w:firstLine="420" w:firstLineChars="200"/>
        <w:rPr>
          <w:rFonts w:ascii="宋体" w:hAnsi="宋体"/>
          <w:color w:val="auto"/>
          <w:highlight w:val="none"/>
        </w:rPr>
      </w:pPr>
      <w:r>
        <w:rPr>
          <w:rFonts w:hint="eastAsia" w:ascii="宋体" w:hAnsi="宋体"/>
          <w:color w:val="auto"/>
          <w:highlight w:val="none"/>
        </w:rPr>
        <w:t>（1）变更指示只能由监理人发出。</w:t>
      </w:r>
    </w:p>
    <w:p w14:paraId="512BD83D">
      <w:pPr>
        <w:pStyle w:val="9"/>
        <w:spacing w:line="400" w:lineRule="exact"/>
        <w:ind w:firstLine="420" w:firstLineChars="200"/>
        <w:rPr>
          <w:rFonts w:ascii="隶书" w:eastAsia="隶书"/>
          <w:color w:val="auto"/>
          <w:highlight w:val="none"/>
        </w:rPr>
      </w:pPr>
      <w:r>
        <w:rPr>
          <w:rFonts w:hint="eastAsia" w:ascii="宋体" w:hAnsi="宋体"/>
          <w:color w:val="auto"/>
          <w:highlight w:val="none"/>
        </w:rPr>
        <w:t>（2）变更指示应说明变更的目的、范围、变更内容以及变更的工程量及其进度和技术要求，并附有关图纸和文件。承包人收到变更指示后，应按变更指示进行变更工作。</w:t>
      </w:r>
    </w:p>
    <w:p w14:paraId="75AAC3F0">
      <w:pPr>
        <w:pStyle w:val="51"/>
        <w:outlineLvl w:val="3"/>
        <w:rPr>
          <w:color w:val="auto"/>
          <w:highlight w:val="none"/>
        </w:rPr>
      </w:pPr>
      <w:bookmarkStart w:id="415" w:name="_Toc15361"/>
      <w:bookmarkStart w:id="416" w:name="_Toc5538"/>
      <w:bookmarkStart w:id="417" w:name="_Toc240967133"/>
      <w:r>
        <w:rPr>
          <w:rFonts w:hint="eastAsia"/>
          <w:color w:val="auto"/>
          <w:highlight w:val="none"/>
        </w:rPr>
        <w:t>15.4 变更的估价原则</w:t>
      </w:r>
      <w:bookmarkEnd w:id="415"/>
      <w:bookmarkEnd w:id="416"/>
      <w:bookmarkEnd w:id="417"/>
    </w:p>
    <w:p w14:paraId="6E60C162">
      <w:pPr>
        <w:pStyle w:val="9"/>
        <w:spacing w:line="400" w:lineRule="exact"/>
        <w:ind w:firstLine="420" w:firstLineChars="200"/>
        <w:rPr>
          <w:rFonts w:ascii="宋体" w:hAnsi="宋体"/>
          <w:color w:val="auto"/>
          <w:highlight w:val="none"/>
        </w:rPr>
      </w:pPr>
      <w:r>
        <w:rPr>
          <w:rFonts w:hint="eastAsia" w:ascii="宋体" w:hAnsi="宋体"/>
          <w:color w:val="auto"/>
          <w:highlight w:val="none"/>
        </w:rPr>
        <w:t>除专用合同条款另有约定外，因变更引起的价格调整按照本款约定处理。</w:t>
      </w:r>
    </w:p>
    <w:p w14:paraId="79185781">
      <w:pPr>
        <w:pStyle w:val="9"/>
        <w:spacing w:line="400" w:lineRule="exact"/>
        <w:ind w:firstLine="420" w:firstLineChars="200"/>
        <w:rPr>
          <w:rFonts w:ascii="宋体" w:hAnsi="宋体"/>
          <w:color w:val="auto"/>
          <w:highlight w:val="none"/>
        </w:rPr>
      </w:pPr>
      <w:r>
        <w:rPr>
          <w:rFonts w:hint="eastAsia" w:ascii="宋体" w:hAnsi="宋体"/>
          <w:color w:val="auto"/>
          <w:highlight w:val="none"/>
        </w:rPr>
        <w:t>15.4.1 已标价工程量清单中有适用于变更工作的子目的，采用该子目的单价。</w:t>
      </w:r>
    </w:p>
    <w:p w14:paraId="57F2B8A5">
      <w:pPr>
        <w:pStyle w:val="9"/>
        <w:spacing w:line="400" w:lineRule="exact"/>
        <w:ind w:firstLine="420" w:firstLineChars="200"/>
        <w:rPr>
          <w:rFonts w:ascii="宋体" w:hAnsi="宋体"/>
          <w:color w:val="auto"/>
          <w:highlight w:val="none"/>
        </w:rPr>
      </w:pPr>
      <w:r>
        <w:rPr>
          <w:rFonts w:hint="eastAsia" w:ascii="宋体" w:hAnsi="宋体"/>
          <w:color w:val="auto"/>
          <w:highlight w:val="none"/>
        </w:rPr>
        <w:t>15.4.2 已标价工程量清单中无适用于变更工作的子目，但有类似子目的，可在合理范围内参照类似子目的单价，由监理人按第3.5款商定或确定变更工作的单价。</w:t>
      </w:r>
    </w:p>
    <w:p w14:paraId="21EA95F1">
      <w:pPr>
        <w:pStyle w:val="9"/>
        <w:spacing w:line="400" w:lineRule="exact"/>
        <w:ind w:firstLine="420" w:firstLineChars="200"/>
        <w:rPr>
          <w:rFonts w:ascii="隶书" w:eastAsia="隶书"/>
          <w:color w:val="auto"/>
          <w:highlight w:val="none"/>
        </w:rPr>
      </w:pPr>
      <w:r>
        <w:rPr>
          <w:rFonts w:hint="eastAsia" w:ascii="宋体" w:hAnsi="宋体"/>
          <w:color w:val="auto"/>
          <w:highlight w:val="none"/>
        </w:rPr>
        <w:t>15.4.3 已标价工程量清单中无适用或类似子目的单价，可按照成本加利润的原则，由监理人按第3.5款商定或确定变更工作的单价。</w:t>
      </w:r>
    </w:p>
    <w:p w14:paraId="3263305C">
      <w:pPr>
        <w:pStyle w:val="51"/>
        <w:outlineLvl w:val="3"/>
        <w:rPr>
          <w:color w:val="auto"/>
          <w:highlight w:val="none"/>
        </w:rPr>
      </w:pPr>
      <w:bookmarkStart w:id="418" w:name="_Toc10507"/>
      <w:bookmarkStart w:id="419" w:name="_Toc240967134"/>
      <w:bookmarkStart w:id="420" w:name="_Toc3363"/>
      <w:r>
        <w:rPr>
          <w:rFonts w:hint="eastAsia"/>
          <w:color w:val="auto"/>
          <w:highlight w:val="none"/>
        </w:rPr>
        <w:t>15.5 承包人的合理化建议</w:t>
      </w:r>
      <w:bookmarkEnd w:id="418"/>
      <w:bookmarkEnd w:id="419"/>
      <w:bookmarkEnd w:id="420"/>
    </w:p>
    <w:p w14:paraId="2C8FEA57">
      <w:pPr>
        <w:pStyle w:val="9"/>
        <w:spacing w:line="400" w:lineRule="exact"/>
        <w:ind w:firstLine="420" w:firstLineChars="200"/>
        <w:rPr>
          <w:rFonts w:ascii="宋体" w:hAnsi="宋体"/>
          <w:color w:val="auto"/>
          <w:highlight w:val="none"/>
        </w:rPr>
      </w:pPr>
      <w:r>
        <w:rPr>
          <w:rFonts w:hint="eastAsia" w:ascii="宋体" w:hAnsi="宋体"/>
          <w:color w:val="auto"/>
          <w:highlight w:val="none"/>
        </w:rPr>
        <w:t>15.5.1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p>
    <w:p w14:paraId="155D7A6D">
      <w:pPr>
        <w:pStyle w:val="9"/>
        <w:spacing w:line="400" w:lineRule="exact"/>
        <w:ind w:firstLine="420" w:firstLineChars="200"/>
        <w:rPr>
          <w:rFonts w:ascii="宋体" w:hAnsi="宋体"/>
          <w:color w:val="auto"/>
          <w:highlight w:val="none"/>
        </w:rPr>
      </w:pPr>
      <w:r>
        <w:rPr>
          <w:rFonts w:hint="eastAsia" w:ascii="宋体" w:hAnsi="宋体"/>
          <w:color w:val="auto"/>
          <w:highlight w:val="none"/>
        </w:rPr>
        <w:t>15.5.2 承包人提出的合理化建议降低了合同价格、缩短了工期或者提高了工程经济效益的，发包人可按国家有关规定在专用合同条款中约定给予奖励。</w:t>
      </w:r>
    </w:p>
    <w:p w14:paraId="555C6AF3">
      <w:pPr>
        <w:pStyle w:val="51"/>
        <w:outlineLvl w:val="3"/>
        <w:rPr>
          <w:color w:val="auto"/>
          <w:highlight w:val="none"/>
        </w:rPr>
      </w:pPr>
      <w:bookmarkStart w:id="421" w:name="_Toc240967135"/>
      <w:bookmarkStart w:id="422" w:name="_Toc14169"/>
      <w:bookmarkStart w:id="423" w:name="_Toc4227"/>
      <w:r>
        <w:rPr>
          <w:rFonts w:hint="eastAsia"/>
          <w:color w:val="auto"/>
          <w:highlight w:val="none"/>
        </w:rPr>
        <w:t>15.6 暂列金额</w:t>
      </w:r>
      <w:bookmarkEnd w:id="421"/>
      <w:bookmarkEnd w:id="422"/>
      <w:bookmarkEnd w:id="423"/>
    </w:p>
    <w:p w14:paraId="4BB68807">
      <w:pPr>
        <w:pStyle w:val="9"/>
        <w:spacing w:line="400" w:lineRule="exact"/>
        <w:ind w:firstLine="420" w:firstLineChars="200"/>
        <w:rPr>
          <w:rFonts w:ascii="宋体" w:hAnsi="宋体"/>
          <w:color w:val="auto"/>
          <w:highlight w:val="none"/>
        </w:rPr>
      </w:pPr>
      <w:r>
        <w:rPr>
          <w:rFonts w:hint="eastAsia" w:ascii="宋体" w:hAnsi="宋体"/>
          <w:color w:val="auto"/>
          <w:highlight w:val="none"/>
        </w:rPr>
        <w:t>暂列金额只能按照监理人的指示使用，并对合同价格进行相应调整。</w:t>
      </w:r>
    </w:p>
    <w:p w14:paraId="4263E93F">
      <w:pPr>
        <w:pStyle w:val="51"/>
        <w:outlineLvl w:val="3"/>
        <w:rPr>
          <w:color w:val="auto"/>
          <w:highlight w:val="none"/>
        </w:rPr>
      </w:pPr>
      <w:bookmarkStart w:id="424" w:name="_Toc19420"/>
      <w:bookmarkStart w:id="425" w:name="_Toc9965"/>
      <w:bookmarkStart w:id="426" w:name="_Toc240967136"/>
      <w:r>
        <w:rPr>
          <w:rFonts w:hint="eastAsia"/>
          <w:color w:val="auto"/>
          <w:highlight w:val="none"/>
        </w:rPr>
        <w:t>15.7 计日工</w:t>
      </w:r>
      <w:bookmarkEnd w:id="424"/>
      <w:bookmarkEnd w:id="425"/>
      <w:bookmarkEnd w:id="426"/>
    </w:p>
    <w:p w14:paraId="7BF6A30A">
      <w:pPr>
        <w:pStyle w:val="9"/>
        <w:spacing w:line="400" w:lineRule="exact"/>
        <w:ind w:firstLine="420" w:firstLineChars="200"/>
        <w:rPr>
          <w:rFonts w:ascii="宋体" w:hAnsi="宋体"/>
          <w:color w:val="auto"/>
          <w:highlight w:val="none"/>
        </w:rPr>
      </w:pPr>
      <w:r>
        <w:rPr>
          <w:rFonts w:hint="eastAsia" w:ascii="宋体" w:hAnsi="宋体"/>
          <w:color w:val="auto"/>
          <w:highlight w:val="none"/>
        </w:rPr>
        <w:t>15.7.1 发包人认为有必要时，由监理人通知承包人以计日工方式实施变更的零星工作。其价款按列入已标价工程量清单中的计日工计价子目及其单价进行计算。</w:t>
      </w:r>
    </w:p>
    <w:p w14:paraId="242069B6">
      <w:pPr>
        <w:pStyle w:val="9"/>
        <w:spacing w:line="400" w:lineRule="exact"/>
        <w:ind w:firstLine="420" w:firstLineChars="200"/>
        <w:rPr>
          <w:rFonts w:ascii="宋体" w:hAnsi="宋体"/>
          <w:color w:val="auto"/>
          <w:highlight w:val="none"/>
        </w:rPr>
      </w:pPr>
      <w:r>
        <w:rPr>
          <w:rFonts w:hint="eastAsia" w:ascii="宋体" w:hAnsi="宋体"/>
          <w:color w:val="auto"/>
          <w:highlight w:val="none"/>
        </w:rPr>
        <w:t>15.7.2 采用计日工计价的任何一项变更工作，应从暂列金额中支付，承包人应在该项变更的实施过程中，每天提交以下报表和有关凭证报送监理人审批：</w:t>
      </w:r>
    </w:p>
    <w:p w14:paraId="7E481CB1">
      <w:pPr>
        <w:pStyle w:val="9"/>
        <w:spacing w:line="400" w:lineRule="exact"/>
        <w:ind w:firstLine="420" w:firstLineChars="200"/>
        <w:rPr>
          <w:rFonts w:ascii="宋体" w:hAnsi="宋体"/>
          <w:color w:val="auto"/>
          <w:highlight w:val="none"/>
        </w:rPr>
      </w:pPr>
      <w:r>
        <w:rPr>
          <w:rFonts w:hint="eastAsia" w:ascii="宋体" w:hAnsi="宋体"/>
          <w:color w:val="auto"/>
          <w:highlight w:val="none"/>
        </w:rPr>
        <w:t>（1）工作名称、内容和数量；</w:t>
      </w:r>
    </w:p>
    <w:p w14:paraId="51C270A8">
      <w:pPr>
        <w:pStyle w:val="9"/>
        <w:spacing w:line="400" w:lineRule="exact"/>
        <w:ind w:firstLine="420" w:firstLineChars="200"/>
        <w:rPr>
          <w:rFonts w:ascii="宋体" w:hAnsi="宋体"/>
          <w:color w:val="auto"/>
          <w:highlight w:val="none"/>
        </w:rPr>
      </w:pPr>
      <w:r>
        <w:rPr>
          <w:rFonts w:hint="eastAsia" w:ascii="宋体" w:hAnsi="宋体"/>
          <w:color w:val="auto"/>
          <w:highlight w:val="none"/>
        </w:rPr>
        <w:t>（2）投入该工作所有人员的姓名、工种、级别和耗用工时；</w:t>
      </w:r>
    </w:p>
    <w:p w14:paraId="067A78BE">
      <w:pPr>
        <w:pStyle w:val="9"/>
        <w:spacing w:line="400" w:lineRule="exact"/>
        <w:ind w:firstLine="420" w:firstLineChars="200"/>
        <w:rPr>
          <w:rFonts w:ascii="宋体" w:hAnsi="宋体"/>
          <w:color w:val="auto"/>
          <w:highlight w:val="none"/>
        </w:rPr>
      </w:pPr>
      <w:r>
        <w:rPr>
          <w:rFonts w:hint="eastAsia" w:ascii="宋体" w:hAnsi="宋体"/>
          <w:color w:val="auto"/>
          <w:highlight w:val="none"/>
        </w:rPr>
        <w:t>（3）投入该工作的材料类别和数量；</w:t>
      </w:r>
    </w:p>
    <w:p w14:paraId="45B25853">
      <w:pPr>
        <w:pStyle w:val="9"/>
        <w:spacing w:line="400" w:lineRule="exact"/>
        <w:ind w:firstLine="420" w:firstLineChars="200"/>
        <w:rPr>
          <w:rFonts w:ascii="宋体" w:hAnsi="宋体"/>
          <w:color w:val="auto"/>
          <w:highlight w:val="none"/>
        </w:rPr>
      </w:pPr>
      <w:r>
        <w:rPr>
          <w:rFonts w:hint="eastAsia" w:ascii="宋体" w:hAnsi="宋体"/>
          <w:color w:val="auto"/>
          <w:highlight w:val="none"/>
        </w:rPr>
        <w:t>（4）投入该工作的施工设备型号、台数和耗用台时；</w:t>
      </w:r>
    </w:p>
    <w:p w14:paraId="0B382B2A">
      <w:pPr>
        <w:pStyle w:val="9"/>
        <w:spacing w:line="400" w:lineRule="exact"/>
        <w:ind w:firstLine="420" w:firstLineChars="200"/>
        <w:rPr>
          <w:rFonts w:ascii="宋体" w:hAnsi="宋体"/>
          <w:color w:val="auto"/>
          <w:highlight w:val="none"/>
        </w:rPr>
      </w:pPr>
      <w:r>
        <w:rPr>
          <w:rFonts w:hint="eastAsia" w:ascii="宋体" w:hAnsi="宋体"/>
          <w:color w:val="auto"/>
          <w:highlight w:val="none"/>
        </w:rPr>
        <w:t>（5）监理人要求提交的其他资料和凭证。</w:t>
      </w:r>
    </w:p>
    <w:p w14:paraId="73B7A1C9">
      <w:pPr>
        <w:pStyle w:val="9"/>
        <w:spacing w:line="400" w:lineRule="exact"/>
        <w:ind w:firstLine="420" w:firstLineChars="200"/>
        <w:rPr>
          <w:rFonts w:ascii="隶书" w:eastAsia="隶书"/>
          <w:color w:val="auto"/>
          <w:highlight w:val="none"/>
        </w:rPr>
      </w:pPr>
      <w:r>
        <w:rPr>
          <w:rFonts w:hint="eastAsia" w:ascii="宋体" w:hAnsi="宋体"/>
          <w:color w:val="auto"/>
          <w:highlight w:val="none"/>
        </w:rPr>
        <w:t>15.7.3 计日工由承包人汇总后，按第17.3.2项的约定列入进度付款申请单，由监理人复核并经发包人同意后列入进度付款。</w:t>
      </w:r>
    </w:p>
    <w:p w14:paraId="56906DDB">
      <w:pPr>
        <w:pStyle w:val="51"/>
        <w:outlineLvl w:val="3"/>
        <w:rPr>
          <w:color w:val="auto"/>
          <w:highlight w:val="none"/>
        </w:rPr>
      </w:pPr>
      <w:bookmarkStart w:id="427" w:name="_Toc10110"/>
      <w:bookmarkStart w:id="428" w:name="_Toc20737"/>
      <w:bookmarkStart w:id="429" w:name="_Toc240967137"/>
      <w:r>
        <w:rPr>
          <w:rFonts w:hint="eastAsia"/>
          <w:color w:val="auto"/>
          <w:highlight w:val="none"/>
        </w:rPr>
        <w:t>15.8 暂估价</w:t>
      </w:r>
      <w:bookmarkEnd w:id="427"/>
      <w:bookmarkEnd w:id="428"/>
      <w:bookmarkEnd w:id="429"/>
    </w:p>
    <w:p w14:paraId="0CC6433F">
      <w:pPr>
        <w:pStyle w:val="9"/>
        <w:spacing w:line="400" w:lineRule="exact"/>
        <w:ind w:firstLine="420" w:firstLineChars="200"/>
        <w:rPr>
          <w:rFonts w:ascii="宋体" w:hAnsi="宋体"/>
          <w:color w:val="auto"/>
          <w:highlight w:val="none"/>
        </w:rPr>
      </w:pPr>
      <w:r>
        <w:rPr>
          <w:rFonts w:hint="eastAsia" w:ascii="宋体" w:hAnsi="宋体"/>
          <w:color w:val="auto"/>
          <w:highlight w:val="none"/>
        </w:rPr>
        <w:t>15.8.1 发包人在工程量清单中给定暂估价的材料、工程设备和专业工程属于依法必须招标的范围并达到规定的规模标准的，由发包人和承包人以招标的方式选择供应商或分包人。发包人和承包人的权利义务关系在专用合同条款中约定。中标金额与工程量清单中所列的暂估价的金额差以及相应的税金等其他费用列入合同价格。</w:t>
      </w:r>
    </w:p>
    <w:p w14:paraId="54C12820">
      <w:pPr>
        <w:pStyle w:val="9"/>
        <w:spacing w:line="400" w:lineRule="exact"/>
        <w:ind w:firstLine="420" w:firstLineChars="200"/>
        <w:rPr>
          <w:rFonts w:ascii="宋体" w:hAnsi="宋体"/>
          <w:color w:val="auto"/>
          <w:highlight w:val="none"/>
        </w:rPr>
      </w:pPr>
      <w:r>
        <w:rPr>
          <w:rFonts w:hint="eastAsia" w:ascii="宋体" w:hAnsi="宋体"/>
          <w:color w:val="auto"/>
          <w:highlight w:val="none"/>
        </w:rPr>
        <w:t>15.8.2 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以及相应的税金等其他费用列入合同价格。</w:t>
      </w:r>
    </w:p>
    <w:p w14:paraId="016CAC9E">
      <w:pPr>
        <w:pStyle w:val="9"/>
        <w:spacing w:line="400" w:lineRule="exact"/>
        <w:ind w:firstLine="420" w:firstLineChars="200"/>
        <w:rPr>
          <w:rFonts w:ascii="隶书" w:eastAsia="隶书"/>
          <w:color w:val="auto"/>
          <w:highlight w:val="none"/>
        </w:rPr>
      </w:pPr>
      <w:r>
        <w:rPr>
          <w:rFonts w:hint="eastAsia" w:ascii="宋体" w:hAnsi="宋体"/>
          <w:color w:val="auto"/>
          <w:highlight w:val="none"/>
        </w:rPr>
        <w:t>15.8.3 发包人在工程量清单中给定暂估价的专业工程不属于依法必须招标的范围或未达到规定的规模标准的，由监理人按照第15.4款进行估价，但专用合同条款另有约定的除外。经估价的专业工程与工程量清单中所列的暂估价的金额差以及相应的税金等其他费用列入合同价格。</w:t>
      </w:r>
    </w:p>
    <w:p w14:paraId="3CBBC77A">
      <w:pPr>
        <w:pStyle w:val="52"/>
        <w:outlineLvl w:val="2"/>
        <w:rPr>
          <w:color w:val="auto"/>
          <w:highlight w:val="none"/>
        </w:rPr>
      </w:pPr>
      <w:bookmarkStart w:id="430" w:name="_Toc10763"/>
      <w:bookmarkStart w:id="431" w:name="_Toc240967138"/>
      <w:bookmarkStart w:id="432" w:name="_Toc14009"/>
      <w:r>
        <w:rPr>
          <w:rFonts w:hint="eastAsia"/>
          <w:color w:val="auto"/>
          <w:highlight w:val="none"/>
        </w:rPr>
        <w:t>16. 价格调整</w:t>
      </w:r>
      <w:bookmarkEnd w:id="430"/>
      <w:bookmarkEnd w:id="431"/>
      <w:bookmarkEnd w:id="432"/>
    </w:p>
    <w:p w14:paraId="15237C96">
      <w:pPr>
        <w:pStyle w:val="51"/>
        <w:outlineLvl w:val="3"/>
        <w:rPr>
          <w:color w:val="auto"/>
          <w:highlight w:val="none"/>
        </w:rPr>
      </w:pPr>
      <w:bookmarkStart w:id="433" w:name="_Toc26261"/>
      <w:bookmarkStart w:id="434" w:name="_Toc11914"/>
      <w:bookmarkStart w:id="435" w:name="_Toc240967139"/>
      <w:r>
        <w:rPr>
          <w:rFonts w:hint="eastAsia"/>
          <w:color w:val="auto"/>
          <w:highlight w:val="none"/>
        </w:rPr>
        <w:t>16.1 物价波动引起的价格调整</w:t>
      </w:r>
      <w:bookmarkEnd w:id="433"/>
      <w:bookmarkEnd w:id="434"/>
      <w:bookmarkEnd w:id="435"/>
    </w:p>
    <w:p w14:paraId="0ECF3C25">
      <w:pPr>
        <w:pStyle w:val="9"/>
        <w:spacing w:line="400" w:lineRule="exact"/>
        <w:ind w:firstLine="420" w:firstLineChars="200"/>
        <w:rPr>
          <w:rFonts w:ascii="宋体" w:hAnsi="宋体"/>
          <w:color w:val="auto"/>
          <w:highlight w:val="none"/>
        </w:rPr>
      </w:pPr>
      <w:r>
        <w:rPr>
          <w:rFonts w:hint="eastAsia" w:ascii="宋体" w:hAnsi="宋体"/>
          <w:color w:val="auto"/>
          <w:highlight w:val="none"/>
        </w:rPr>
        <w:t>除专用合同条款另有约定外，因物价波动引起的价格调整按照本款约定处理。</w:t>
      </w:r>
    </w:p>
    <w:p w14:paraId="28C4926F">
      <w:pPr>
        <w:pStyle w:val="9"/>
        <w:spacing w:line="400" w:lineRule="exact"/>
        <w:ind w:firstLine="420" w:firstLineChars="200"/>
        <w:rPr>
          <w:rFonts w:ascii="宋体" w:hAnsi="宋体"/>
          <w:color w:val="auto"/>
          <w:highlight w:val="none"/>
        </w:rPr>
      </w:pPr>
      <w:r>
        <w:rPr>
          <w:rFonts w:hint="eastAsia" w:ascii="宋体" w:hAnsi="宋体"/>
          <w:color w:val="auto"/>
          <w:highlight w:val="none"/>
        </w:rPr>
        <w:t>16.1.1 采用价格指数调整价格差额</w:t>
      </w:r>
    </w:p>
    <w:p w14:paraId="461B53B4">
      <w:pPr>
        <w:pStyle w:val="9"/>
        <w:spacing w:line="400" w:lineRule="exact"/>
        <w:ind w:firstLine="420" w:firstLineChars="200"/>
        <w:rPr>
          <w:rFonts w:ascii="宋体" w:hAnsi="宋体"/>
          <w:color w:val="auto"/>
          <w:highlight w:val="none"/>
        </w:rPr>
      </w:pPr>
      <w:r>
        <w:rPr>
          <w:rFonts w:hint="eastAsia" w:ascii="宋体" w:hAnsi="宋体"/>
          <w:color w:val="auto"/>
          <w:highlight w:val="none"/>
        </w:rPr>
        <w:t>16.1.1.1 价格调整公式</w:t>
      </w:r>
    </w:p>
    <w:p w14:paraId="0323574E">
      <w:pPr>
        <w:pStyle w:val="9"/>
        <w:spacing w:line="400" w:lineRule="exact"/>
        <w:ind w:firstLine="420" w:firstLineChars="200"/>
        <w:rPr>
          <w:rFonts w:ascii="宋体" w:hAnsi="宋体"/>
          <w:color w:val="auto"/>
          <w:highlight w:val="none"/>
        </w:rPr>
      </w:pPr>
      <w:r>
        <w:rPr>
          <w:rFonts w:hint="eastAsia" w:ascii="宋体" w:hAnsi="宋体"/>
          <w:color w:val="auto"/>
          <w:highlight w:val="none"/>
        </w:rPr>
        <w:t>因人工、材料和设备等价格波动影响合同价格时，根据投标函附录中的价格指数和权重表约定的数据，按以下公式计算差额并调整合同价格。</w:t>
      </w:r>
    </w:p>
    <w:p w14:paraId="26D036A8">
      <w:pPr>
        <w:pStyle w:val="9"/>
        <w:autoSpaceDE w:val="0"/>
        <w:autoSpaceDN w:val="0"/>
        <w:adjustRightInd w:val="0"/>
        <w:spacing w:line="1200" w:lineRule="exact"/>
        <w:ind w:right="248" w:firstLine="757" w:firstLineChars="398"/>
        <w:rPr>
          <w:rFonts w:ascii="宋体" w:hAnsi="宋体"/>
          <w:color w:val="auto"/>
          <w:highlight w:val="none"/>
        </w:rPr>
      </w:pPr>
      <w:r>
        <w:rPr>
          <w:rFonts w:hint="eastAsia" w:ascii="宋体" w:hAnsi="宋体"/>
          <w:b/>
          <w:bCs/>
          <w:color w:val="auto"/>
          <w:kern w:val="0"/>
          <w:sz w:val="19"/>
          <w:szCs w:val="19"/>
          <w:highlight w:val="none"/>
          <w:lang w:val="zh-CN"/>
        </w:rPr>
        <w:t xml:space="preserve">        </w:t>
      </w:r>
      <w:r>
        <w:rPr>
          <w:rFonts w:ascii="宋体" w:hAnsi="宋体"/>
          <w:color w:val="auto"/>
          <w:position w:val="-34"/>
          <w:highlight w:val="none"/>
        </w:rPr>
        <w:object>
          <v:shape id="_x0000_i1025" o:spt="75" type="#_x0000_t75" style="height:39.75pt;width:306pt;" o:ole="t" filled="f" o:preferrelative="t" stroked="f" coordsize="21600,21600">
            <v:path/>
            <v:fill on="f" focussize="0,0"/>
            <v:stroke on="f"/>
            <v:imagedata r:id="rId8" o:title=""/>
            <o:lock v:ext="edit" grouping="f" rotation="f" text="f" aspectratio="t"/>
            <w10:wrap type="none"/>
            <w10:anchorlock/>
          </v:shape>
          <o:OLEObject Type="Embed" ProgID="Equation.3" ShapeID="_x0000_i1025" DrawAspect="Content" ObjectID="_1468075725" r:id="rId7">
            <o:LockedField>false</o:LockedField>
          </o:OLEObject>
        </w:object>
      </w:r>
    </w:p>
    <w:p w14:paraId="04EA0BBB">
      <w:pPr>
        <w:pStyle w:val="9"/>
        <w:tabs>
          <w:tab w:val="left" w:pos="1260"/>
        </w:tabs>
        <w:spacing w:line="400" w:lineRule="exact"/>
        <w:ind w:firstLine="420" w:firstLineChars="200"/>
        <w:rPr>
          <w:rFonts w:ascii="宋体" w:hAnsi="宋体"/>
          <w:color w:val="auto"/>
          <w:highlight w:val="none"/>
        </w:rPr>
      </w:pPr>
      <w:r>
        <w:rPr>
          <w:rFonts w:hint="eastAsia" w:ascii="宋体" w:hAnsi="宋体"/>
          <w:color w:val="auto"/>
          <w:highlight w:val="none"/>
        </w:rPr>
        <w:t xml:space="preserve"> </w:t>
      </w:r>
    </w:p>
    <w:p w14:paraId="006B2A24">
      <w:pPr>
        <w:pStyle w:val="9"/>
        <w:tabs>
          <w:tab w:val="left" w:pos="1260"/>
        </w:tabs>
        <w:spacing w:line="400" w:lineRule="exact"/>
        <w:ind w:firstLine="420" w:firstLineChars="200"/>
        <w:rPr>
          <w:rFonts w:ascii="宋体" w:hAnsi="宋体"/>
          <w:color w:val="auto"/>
          <w:highlight w:val="none"/>
        </w:rPr>
      </w:pPr>
      <w:r>
        <w:rPr>
          <w:rFonts w:hint="eastAsia" w:ascii="宋体" w:hAnsi="宋体"/>
          <w:color w:val="auto"/>
          <w:highlight w:val="none"/>
        </w:rPr>
        <w:t>式中： △P -- 需调整的价格差额；</w:t>
      </w:r>
    </w:p>
    <w:p w14:paraId="777EE274">
      <w:pPr>
        <w:pStyle w:val="9"/>
        <w:tabs>
          <w:tab w:val="left" w:pos="1260"/>
        </w:tabs>
        <w:spacing w:line="400" w:lineRule="exact"/>
        <w:rPr>
          <w:rFonts w:ascii="宋体" w:hAnsi="宋体"/>
          <w:color w:val="auto"/>
          <w:highlight w:val="none"/>
        </w:rPr>
      </w:pPr>
      <w:r>
        <w:rPr>
          <w:rFonts w:hint="eastAsia" w:ascii="宋体" w:hAnsi="宋体"/>
          <w:color w:val="auto"/>
          <w:highlight w:val="none"/>
        </w:rPr>
        <w:tab/>
      </w:r>
      <w:r>
        <w:rPr>
          <w:rFonts w:hint="eastAsia" w:ascii="宋体" w:hAnsi="宋体"/>
          <w:color w:val="auto"/>
          <w:highlight w:val="none"/>
        </w:rPr>
        <w:t>P</w:t>
      </w:r>
      <w:r>
        <w:rPr>
          <w:rFonts w:hint="eastAsia" w:ascii="宋体" w:hAnsi="宋体"/>
          <w:color w:val="auto"/>
          <w:szCs w:val="21"/>
          <w:highlight w:val="none"/>
          <w:vertAlign w:val="subscript"/>
        </w:rPr>
        <w:t>0</w:t>
      </w:r>
      <w:r>
        <w:rPr>
          <w:rFonts w:hint="eastAsia" w:ascii="宋体" w:hAnsi="宋体"/>
          <w:color w:val="auto"/>
          <w:highlight w:val="none"/>
        </w:rPr>
        <w:t xml:space="preserve"> -- 第17.3.3项、第17.5.2项和第17.6.2项约定的付款证书中承包人应得到的已完成工程量的金额。此项金额应不包括价格调整、不计质量保证金的扣留和支付、预付款的支付和扣回。第15条约定的变更及其他金额已按现行价格计价的，也不计在内；</w:t>
      </w:r>
    </w:p>
    <w:p w14:paraId="716938CD">
      <w:pPr>
        <w:pStyle w:val="9"/>
        <w:tabs>
          <w:tab w:val="left" w:pos="1260"/>
        </w:tabs>
        <w:spacing w:line="400" w:lineRule="exact"/>
        <w:rPr>
          <w:rFonts w:ascii="宋体" w:hAnsi="宋体"/>
          <w:color w:val="auto"/>
          <w:highlight w:val="none"/>
        </w:rPr>
      </w:pPr>
      <w:r>
        <w:rPr>
          <w:rFonts w:hint="eastAsia" w:ascii="宋体" w:hAnsi="宋体"/>
          <w:color w:val="auto"/>
          <w:highlight w:val="none"/>
        </w:rPr>
        <w:tab/>
      </w:r>
      <w:r>
        <w:rPr>
          <w:rFonts w:hint="eastAsia" w:ascii="宋体" w:hAnsi="宋体"/>
          <w:color w:val="auto"/>
          <w:highlight w:val="none"/>
        </w:rPr>
        <w:t>A -- 定值权重(即不调部分的权重)；</w:t>
      </w:r>
    </w:p>
    <w:p w14:paraId="2BD97F00">
      <w:pPr>
        <w:pStyle w:val="9"/>
        <w:tabs>
          <w:tab w:val="left" w:pos="1260"/>
        </w:tabs>
        <w:spacing w:line="400" w:lineRule="exact"/>
        <w:rPr>
          <w:rFonts w:ascii="宋体" w:hAnsi="宋体"/>
          <w:color w:val="auto"/>
          <w:highlight w:val="none"/>
        </w:rPr>
      </w:pPr>
      <w:r>
        <w:rPr>
          <w:rFonts w:hint="eastAsia" w:ascii="宋体" w:hAnsi="宋体"/>
          <w:color w:val="auto"/>
          <w:highlight w:val="none"/>
        </w:rPr>
        <w:tab/>
      </w:r>
      <w:r>
        <w:rPr>
          <w:rFonts w:hint="eastAsia" w:ascii="宋体" w:hAnsi="宋体"/>
          <w:color w:val="auto"/>
          <w:highlight w:val="none"/>
        </w:rPr>
        <w:t>B</w:t>
      </w:r>
      <w:r>
        <w:rPr>
          <w:rFonts w:hint="eastAsia" w:ascii="宋体" w:hAnsi="宋体"/>
          <w:color w:val="auto"/>
          <w:szCs w:val="21"/>
          <w:highlight w:val="none"/>
          <w:vertAlign w:val="subscript"/>
        </w:rPr>
        <w:t>1</w:t>
      </w:r>
      <w:r>
        <w:rPr>
          <w:rFonts w:hint="eastAsia" w:ascii="宋体" w:hAnsi="宋体"/>
          <w:color w:val="auto"/>
          <w:sz w:val="15"/>
          <w:szCs w:val="15"/>
          <w:highlight w:val="none"/>
        </w:rPr>
        <w:t>;</w:t>
      </w:r>
      <w:r>
        <w:rPr>
          <w:rFonts w:hint="eastAsia" w:ascii="宋体" w:hAnsi="宋体"/>
          <w:color w:val="auto"/>
          <w:highlight w:val="none"/>
        </w:rPr>
        <w:t xml:space="preserve"> B</w:t>
      </w:r>
      <w:r>
        <w:rPr>
          <w:rFonts w:hint="eastAsia" w:ascii="宋体" w:hAnsi="宋体"/>
          <w:color w:val="auto"/>
          <w:szCs w:val="21"/>
          <w:highlight w:val="none"/>
          <w:vertAlign w:val="subscript"/>
        </w:rPr>
        <w:t>2</w:t>
      </w:r>
      <w:r>
        <w:rPr>
          <w:rFonts w:hint="eastAsia" w:ascii="宋体" w:hAnsi="宋体"/>
          <w:color w:val="auto"/>
          <w:highlight w:val="none"/>
        </w:rPr>
        <w:t xml:space="preserve"> ;B</w:t>
      </w:r>
      <w:r>
        <w:rPr>
          <w:rFonts w:hint="eastAsia" w:ascii="宋体" w:hAnsi="宋体"/>
          <w:color w:val="auto"/>
          <w:szCs w:val="21"/>
          <w:highlight w:val="none"/>
          <w:vertAlign w:val="subscript"/>
        </w:rPr>
        <w:t>3</w:t>
      </w:r>
      <w:r>
        <w:rPr>
          <w:rFonts w:hint="eastAsia" w:ascii="宋体" w:hAnsi="宋体"/>
          <w:color w:val="auto"/>
          <w:sz w:val="15"/>
          <w:szCs w:val="15"/>
          <w:highlight w:val="none"/>
        </w:rPr>
        <w:t>·····</w:t>
      </w:r>
      <w:r>
        <w:rPr>
          <w:rFonts w:hint="eastAsia" w:ascii="宋体" w:hAnsi="宋体"/>
          <w:color w:val="auto"/>
          <w:highlight w:val="none"/>
        </w:rPr>
        <w:t>B</w:t>
      </w:r>
      <w:r>
        <w:rPr>
          <w:rFonts w:hint="eastAsia" w:ascii="宋体" w:hAnsi="宋体"/>
          <w:color w:val="auto"/>
          <w:szCs w:val="21"/>
          <w:highlight w:val="none"/>
          <w:vertAlign w:val="subscript"/>
        </w:rPr>
        <w:t>n</w:t>
      </w:r>
      <w:r>
        <w:rPr>
          <w:rFonts w:hint="eastAsia" w:ascii="宋体" w:hAnsi="宋体"/>
          <w:color w:val="auto"/>
          <w:highlight w:val="none"/>
        </w:rPr>
        <w:t xml:space="preserve"> -- 各可调因子的变值权重(即可调部分的权重)为各可调因子在投标函投标总报价中所占的比例；</w:t>
      </w:r>
    </w:p>
    <w:p w14:paraId="5D4FA631">
      <w:pPr>
        <w:pStyle w:val="9"/>
        <w:tabs>
          <w:tab w:val="left" w:pos="1260"/>
        </w:tabs>
        <w:spacing w:line="400" w:lineRule="exact"/>
        <w:rPr>
          <w:rFonts w:ascii="宋体" w:hAnsi="宋体"/>
          <w:color w:val="auto"/>
          <w:highlight w:val="none"/>
        </w:rPr>
      </w:pPr>
      <w:r>
        <w:rPr>
          <w:rFonts w:hint="eastAsia" w:ascii="宋体" w:hAnsi="宋体"/>
          <w:color w:val="auto"/>
          <w:highlight w:val="none"/>
        </w:rPr>
        <w:tab/>
      </w:r>
      <w:r>
        <w:rPr>
          <w:rFonts w:hint="eastAsia" w:ascii="宋体" w:hAnsi="宋体"/>
          <w:color w:val="auto"/>
          <w:highlight w:val="none"/>
        </w:rPr>
        <w:t>F</w:t>
      </w:r>
      <w:r>
        <w:rPr>
          <w:rFonts w:hint="eastAsia" w:ascii="宋体" w:hAnsi="宋体"/>
          <w:color w:val="auto"/>
          <w:szCs w:val="21"/>
          <w:highlight w:val="none"/>
          <w:vertAlign w:val="subscript"/>
        </w:rPr>
        <w:t>t1</w:t>
      </w:r>
      <w:r>
        <w:rPr>
          <w:rFonts w:hint="eastAsia" w:ascii="宋体" w:hAnsi="宋体"/>
          <w:color w:val="auto"/>
          <w:highlight w:val="none"/>
        </w:rPr>
        <w:t xml:space="preserve"> ;F</w:t>
      </w:r>
      <w:r>
        <w:rPr>
          <w:rFonts w:hint="eastAsia" w:ascii="宋体" w:hAnsi="宋体"/>
          <w:color w:val="auto"/>
          <w:szCs w:val="21"/>
          <w:highlight w:val="none"/>
          <w:vertAlign w:val="subscript"/>
        </w:rPr>
        <w:t>t2</w:t>
      </w:r>
      <w:r>
        <w:rPr>
          <w:rFonts w:hint="eastAsia" w:ascii="宋体" w:hAnsi="宋体"/>
          <w:color w:val="auto"/>
          <w:highlight w:val="none"/>
        </w:rPr>
        <w:t xml:space="preserve"> ;F</w:t>
      </w:r>
      <w:r>
        <w:rPr>
          <w:rFonts w:hint="eastAsia" w:ascii="宋体" w:hAnsi="宋体"/>
          <w:color w:val="auto"/>
          <w:szCs w:val="21"/>
          <w:highlight w:val="none"/>
          <w:vertAlign w:val="subscript"/>
        </w:rPr>
        <w:t>t3</w:t>
      </w:r>
      <w:r>
        <w:rPr>
          <w:rFonts w:hint="eastAsia" w:ascii="宋体" w:hAnsi="宋体"/>
          <w:color w:val="auto"/>
          <w:sz w:val="15"/>
          <w:szCs w:val="15"/>
          <w:highlight w:val="none"/>
        </w:rPr>
        <w:t>·····</w:t>
      </w:r>
      <w:r>
        <w:rPr>
          <w:rFonts w:hint="eastAsia" w:ascii="宋体" w:hAnsi="宋体"/>
          <w:color w:val="auto"/>
          <w:highlight w:val="none"/>
        </w:rPr>
        <w:t>F</w:t>
      </w:r>
      <w:r>
        <w:rPr>
          <w:rFonts w:hint="eastAsia" w:ascii="宋体" w:hAnsi="宋体"/>
          <w:color w:val="auto"/>
          <w:szCs w:val="21"/>
          <w:highlight w:val="none"/>
          <w:vertAlign w:val="subscript"/>
        </w:rPr>
        <w:t>tn</w:t>
      </w:r>
      <w:r>
        <w:rPr>
          <w:rFonts w:hint="eastAsia" w:ascii="宋体" w:hAnsi="宋体"/>
          <w:color w:val="auto"/>
          <w:highlight w:val="none"/>
        </w:rPr>
        <w:t xml:space="preserve"> -- 各可调因子的现行价格指数，指第17.3.3项、第17.5.2项和第17.6.2项约定的付款证书相关周期最后一天的前42天的各可调因子的价格指数；</w:t>
      </w:r>
    </w:p>
    <w:p w14:paraId="0DD5622C">
      <w:pPr>
        <w:pStyle w:val="9"/>
        <w:tabs>
          <w:tab w:val="left" w:pos="1260"/>
        </w:tabs>
        <w:spacing w:line="400" w:lineRule="exact"/>
        <w:rPr>
          <w:rFonts w:ascii="宋体" w:hAnsi="宋体"/>
          <w:color w:val="auto"/>
          <w:highlight w:val="none"/>
        </w:rPr>
      </w:pPr>
      <w:r>
        <w:rPr>
          <w:rFonts w:hint="eastAsia" w:ascii="宋体" w:hAnsi="宋体"/>
          <w:color w:val="auto"/>
          <w:highlight w:val="none"/>
        </w:rPr>
        <w:tab/>
      </w:r>
      <w:r>
        <w:rPr>
          <w:rFonts w:hint="eastAsia" w:ascii="宋体" w:hAnsi="宋体"/>
          <w:color w:val="auto"/>
          <w:highlight w:val="none"/>
        </w:rPr>
        <w:t>F</w:t>
      </w:r>
      <w:r>
        <w:rPr>
          <w:rFonts w:hint="eastAsia" w:ascii="宋体" w:hAnsi="宋体"/>
          <w:color w:val="auto"/>
          <w:szCs w:val="21"/>
          <w:highlight w:val="none"/>
          <w:vertAlign w:val="subscript"/>
        </w:rPr>
        <w:t>o1</w:t>
      </w:r>
      <w:r>
        <w:rPr>
          <w:rFonts w:hint="eastAsia" w:ascii="宋体" w:hAnsi="宋体"/>
          <w:color w:val="auto"/>
          <w:highlight w:val="none"/>
        </w:rPr>
        <w:t>; F</w:t>
      </w:r>
      <w:r>
        <w:rPr>
          <w:rFonts w:hint="eastAsia" w:ascii="宋体" w:hAnsi="宋体"/>
          <w:color w:val="auto"/>
          <w:szCs w:val="21"/>
          <w:highlight w:val="none"/>
          <w:vertAlign w:val="subscript"/>
        </w:rPr>
        <w:t>o2</w:t>
      </w:r>
      <w:r>
        <w:rPr>
          <w:rFonts w:hint="eastAsia" w:ascii="宋体" w:hAnsi="宋体"/>
          <w:color w:val="auto"/>
          <w:sz w:val="15"/>
          <w:szCs w:val="15"/>
          <w:highlight w:val="none"/>
        </w:rPr>
        <w:t>;</w:t>
      </w:r>
      <w:r>
        <w:rPr>
          <w:rFonts w:hint="eastAsia" w:ascii="宋体" w:hAnsi="宋体"/>
          <w:color w:val="auto"/>
          <w:highlight w:val="none"/>
        </w:rPr>
        <w:t xml:space="preserve"> F</w:t>
      </w:r>
      <w:r>
        <w:rPr>
          <w:rFonts w:hint="eastAsia" w:ascii="宋体" w:hAnsi="宋体"/>
          <w:color w:val="auto"/>
          <w:szCs w:val="21"/>
          <w:highlight w:val="none"/>
          <w:vertAlign w:val="subscript"/>
        </w:rPr>
        <w:t>o3</w:t>
      </w:r>
      <w:r>
        <w:rPr>
          <w:rFonts w:hint="eastAsia" w:ascii="宋体" w:hAnsi="宋体"/>
          <w:color w:val="auto"/>
          <w:sz w:val="15"/>
          <w:szCs w:val="15"/>
          <w:highlight w:val="none"/>
        </w:rPr>
        <w:t>·····</w:t>
      </w:r>
      <w:r>
        <w:rPr>
          <w:rFonts w:hint="eastAsia" w:ascii="宋体" w:hAnsi="宋体"/>
          <w:color w:val="auto"/>
          <w:highlight w:val="none"/>
        </w:rPr>
        <w:t>F</w:t>
      </w:r>
      <w:r>
        <w:rPr>
          <w:rFonts w:hint="eastAsia" w:ascii="宋体" w:hAnsi="宋体"/>
          <w:color w:val="auto"/>
          <w:szCs w:val="21"/>
          <w:highlight w:val="none"/>
          <w:vertAlign w:val="subscript"/>
        </w:rPr>
        <w:t>on</w:t>
      </w:r>
      <w:r>
        <w:rPr>
          <w:rFonts w:hint="eastAsia" w:ascii="宋体" w:hAnsi="宋体"/>
          <w:color w:val="auto"/>
          <w:highlight w:val="none"/>
        </w:rPr>
        <w:t xml:space="preserve"> -- 各可调因子的基本价格指数，指基准日期的各可调因子的价格指数。</w:t>
      </w:r>
    </w:p>
    <w:p w14:paraId="7FBBF26B">
      <w:pPr>
        <w:pStyle w:val="9"/>
        <w:spacing w:line="400" w:lineRule="exact"/>
        <w:ind w:firstLine="420" w:firstLineChars="200"/>
        <w:rPr>
          <w:rFonts w:ascii="宋体" w:hAnsi="宋体"/>
          <w:color w:val="auto"/>
          <w:highlight w:val="none"/>
        </w:rPr>
      </w:pPr>
      <w:r>
        <w:rPr>
          <w:rFonts w:hint="eastAsia" w:ascii="宋体" w:hAnsi="宋体"/>
          <w:color w:val="auto"/>
          <w:highlight w:val="none"/>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14:paraId="5A39C353">
      <w:pPr>
        <w:pStyle w:val="9"/>
        <w:spacing w:line="400" w:lineRule="exact"/>
        <w:ind w:firstLine="420" w:firstLineChars="200"/>
        <w:rPr>
          <w:rFonts w:ascii="宋体" w:hAnsi="宋体"/>
          <w:color w:val="auto"/>
          <w:highlight w:val="none"/>
        </w:rPr>
      </w:pPr>
      <w:r>
        <w:rPr>
          <w:rFonts w:hint="eastAsia" w:ascii="宋体" w:hAnsi="宋体"/>
          <w:color w:val="auto"/>
          <w:highlight w:val="none"/>
        </w:rPr>
        <w:t>16.1.1.2 暂时确定调整差额</w:t>
      </w:r>
    </w:p>
    <w:p w14:paraId="42DE0E72">
      <w:pPr>
        <w:pStyle w:val="9"/>
        <w:spacing w:line="400" w:lineRule="exact"/>
        <w:ind w:firstLine="420" w:firstLineChars="200"/>
        <w:rPr>
          <w:rFonts w:ascii="宋体" w:hAnsi="宋体"/>
          <w:color w:val="auto"/>
          <w:highlight w:val="none"/>
        </w:rPr>
      </w:pPr>
      <w:r>
        <w:rPr>
          <w:rFonts w:hint="eastAsia" w:ascii="宋体" w:hAnsi="宋体"/>
          <w:color w:val="auto"/>
          <w:highlight w:val="none"/>
        </w:rPr>
        <w:t>在计算调整差额时得不到现行价格指数的，可暂用上一次价格指数计算，并在以后的付款中再按实际价格指数进行调整。</w:t>
      </w:r>
    </w:p>
    <w:p w14:paraId="3DCD9DDF">
      <w:pPr>
        <w:pStyle w:val="9"/>
        <w:spacing w:line="400" w:lineRule="exact"/>
        <w:ind w:firstLine="420" w:firstLineChars="200"/>
        <w:rPr>
          <w:rFonts w:ascii="宋体" w:hAnsi="宋体"/>
          <w:color w:val="auto"/>
          <w:highlight w:val="none"/>
        </w:rPr>
      </w:pPr>
      <w:r>
        <w:rPr>
          <w:rFonts w:hint="eastAsia" w:ascii="宋体" w:hAnsi="宋体"/>
          <w:color w:val="auto"/>
          <w:highlight w:val="none"/>
        </w:rPr>
        <w:t>16.1.1.3 权重的调整</w:t>
      </w:r>
    </w:p>
    <w:p w14:paraId="7D81FF43">
      <w:pPr>
        <w:pStyle w:val="9"/>
        <w:spacing w:line="400" w:lineRule="exact"/>
        <w:ind w:firstLine="420" w:firstLineChars="200"/>
        <w:rPr>
          <w:rFonts w:ascii="宋体" w:hAnsi="宋体"/>
          <w:color w:val="auto"/>
          <w:highlight w:val="none"/>
        </w:rPr>
      </w:pPr>
      <w:r>
        <w:rPr>
          <w:rFonts w:hint="eastAsia" w:ascii="宋体" w:hAnsi="宋体"/>
          <w:color w:val="auto"/>
          <w:highlight w:val="none"/>
        </w:rPr>
        <w:t>按第15.1款约定的变更导致原定合同中的权重不合理时，由监理人与承包人和发包人协商后进行调整。</w:t>
      </w:r>
    </w:p>
    <w:p w14:paraId="7E0E9843">
      <w:pPr>
        <w:pStyle w:val="9"/>
        <w:spacing w:line="400" w:lineRule="exact"/>
        <w:ind w:firstLine="420" w:firstLineChars="200"/>
        <w:rPr>
          <w:rFonts w:ascii="宋体" w:hAnsi="宋体"/>
          <w:color w:val="auto"/>
          <w:highlight w:val="none"/>
        </w:rPr>
      </w:pPr>
      <w:r>
        <w:rPr>
          <w:rFonts w:hint="eastAsia" w:ascii="宋体" w:hAnsi="宋体"/>
          <w:color w:val="auto"/>
          <w:highlight w:val="none"/>
        </w:rPr>
        <w:t>16.1.1.4 承包人工期延误后的价格调整</w:t>
      </w:r>
    </w:p>
    <w:p w14:paraId="14A5CE6E">
      <w:pPr>
        <w:pStyle w:val="9"/>
        <w:spacing w:line="400" w:lineRule="exact"/>
        <w:ind w:firstLine="420" w:firstLineChars="200"/>
        <w:rPr>
          <w:rFonts w:ascii="宋体" w:hAnsi="宋体"/>
          <w:color w:val="auto"/>
          <w:highlight w:val="none"/>
        </w:rPr>
      </w:pPr>
      <w:r>
        <w:rPr>
          <w:rFonts w:hint="eastAsia" w:ascii="宋体" w:hAnsi="宋体"/>
          <w:color w:val="auto"/>
          <w:highlight w:val="none"/>
        </w:rPr>
        <w:t>由于承包人原因未在约定的工期内竣工的，则对原约定竣工日期后继续施工的工程，在使用第16.1.1.1目价格调整公式时，应采用原约定竣工日期与实际竣工日期的两个价格指数中较低的一个作为现行价格指数。</w:t>
      </w:r>
    </w:p>
    <w:p w14:paraId="08D956F0">
      <w:pPr>
        <w:pStyle w:val="9"/>
        <w:spacing w:line="400" w:lineRule="exact"/>
        <w:ind w:firstLine="420" w:firstLineChars="200"/>
        <w:rPr>
          <w:rFonts w:ascii="宋体" w:hAnsi="宋体"/>
          <w:color w:val="auto"/>
          <w:highlight w:val="none"/>
        </w:rPr>
      </w:pPr>
      <w:r>
        <w:rPr>
          <w:rFonts w:hint="eastAsia" w:ascii="宋体" w:hAnsi="宋体"/>
          <w:color w:val="auto"/>
          <w:highlight w:val="none"/>
        </w:rPr>
        <w:t>16.1.2 采用造价信息调整价格差额</w:t>
      </w:r>
    </w:p>
    <w:p w14:paraId="21DD7A4A">
      <w:pPr>
        <w:pStyle w:val="9"/>
        <w:spacing w:line="400" w:lineRule="exact"/>
        <w:ind w:firstLine="420" w:firstLineChars="200"/>
        <w:rPr>
          <w:rFonts w:ascii="隶书" w:eastAsia="隶书"/>
          <w:color w:val="auto"/>
          <w:highlight w:val="none"/>
        </w:rPr>
      </w:pPr>
      <w:r>
        <w:rPr>
          <w:rFonts w:hint="eastAsia" w:ascii="宋体" w:hAnsi="宋体"/>
          <w:color w:val="auto"/>
          <w:highlight w:val="none"/>
        </w:rPr>
        <w:t>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p>
    <w:p w14:paraId="42F17B47">
      <w:pPr>
        <w:pStyle w:val="51"/>
        <w:outlineLvl w:val="3"/>
        <w:rPr>
          <w:color w:val="auto"/>
          <w:highlight w:val="none"/>
        </w:rPr>
      </w:pPr>
      <w:bookmarkStart w:id="436" w:name="_Toc240967140"/>
      <w:bookmarkStart w:id="437" w:name="_Toc12692"/>
      <w:bookmarkStart w:id="438" w:name="_Toc29401"/>
      <w:r>
        <w:rPr>
          <w:rFonts w:hint="eastAsia"/>
          <w:color w:val="auto"/>
          <w:highlight w:val="none"/>
        </w:rPr>
        <w:t>16.2 法律变化引起的价格调整</w:t>
      </w:r>
      <w:bookmarkEnd w:id="436"/>
      <w:bookmarkEnd w:id="437"/>
      <w:bookmarkEnd w:id="438"/>
    </w:p>
    <w:p w14:paraId="2D795764">
      <w:pPr>
        <w:pStyle w:val="9"/>
        <w:spacing w:line="400" w:lineRule="exact"/>
        <w:ind w:firstLine="420" w:firstLineChars="200"/>
        <w:rPr>
          <w:rFonts w:ascii="宋体" w:hAnsi="宋体"/>
          <w:color w:val="auto"/>
          <w:highlight w:val="none"/>
        </w:rPr>
      </w:pPr>
      <w:r>
        <w:rPr>
          <w:rFonts w:hint="eastAsia" w:ascii="宋体" w:hAnsi="宋体"/>
          <w:color w:val="auto"/>
          <w:highlight w:val="none"/>
        </w:rPr>
        <w:t>在基准日后，因法律变化导致承包人在合同履行中所需要的工程费用发生除第16.1款约定以外的增减时，监理人应根据法律、国家或省、自治区、直辖市有关部门的规定，按第3.5款商定或确定需调整的合同价款。</w:t>
      </w:r>
    </w:p>
    <w:p w14:paraId="27CB96B9">
      <w:pPr>
        <w:pStyle w:val="52"/>
        <w:outlineLvl w:val="2"/>
        <w:rPr>
          <w:color w:val="auto"/>
          <w:highlight w:val="none"/>
        </w:rPr>
      </w:pPr>
      <w:bookmarkStart w:id="439" w:name="_Toc28310"/>
      <w:bookmarkStart w:id="440" w:name="_Toc10036"/>
      <w:bookmarkStart w:id="441" w:name="_Toc240967141"/>
      <w:r>
        <w:rPr>
          <w:rFonts w:hint="eastAsia"/>
          <w:color w:val="auto"/>
          <w:highlight w:val="none"/>
        </w:rPr>
        <w:t>17. 计量与支付</w:t>
      </w:r>
      <w:bookmarkEnd w:id="439"/>
      <w:bookmarkEnd w:id="440"/>
      <w:bookmarkEnd w:id="441"/>
    </w:p>
    <w:p w14:paraId="420ACE64">
      <w:pPr>
        <w:pStyle w:val="51"/>
        <w:outlineLvl w:val="3"/>
        <w:rPr>
          <w:color w:val="auto"/>
          <w:highlight w:val="none"/>
        </w:rPr>
      </w:pPr>
      <w:bookmarkStart w:id="442" w:name="_Toc240967142"/>
      <w:bookmarkStart w:id="443" w:name="_Toc31019"/>
      <w:bookmarkStart w:id="444" w:name="_Toc32146"/>
      <w:r>
        <w:rPr>
          <w:rFonts w:hint="eastAsia"/>
          <w:color w:val="auto"/>
          <w:highlight w:val="none"/>
        </w:rPr>
        <w:t>17.1 计量</w:t>
      </w:r>
      <w:bookmarkEnd w:id="442"/>
      <w:bookmarkEnd w:id="443"/>
      <w:bookmarkEnd w:id="444"/>
    </w:p>
    <w:p w14:paraId="4B32C772">
      <w:pPr>
        <w:pStyle w:val="9"/>
        <w:spacing w:line="400" w:lineRule="exact"/>
        <w:ind w:firstLine="420" w:firstLineChars="200"/>
        <w:rPr>
          <w:rFonts w:ascii="宋体" w:hAnsi="宋体"/>
          <w:color w:val="auto"/>
          <w:highlight w:val="none"/>
        </w:rPr>
      </w:pPr>
      <w:r>
        <w:rPr>
          <w:rFonts w:hint="eastAsia" w:ascii="宋体" w:hAnsi="宋体"/>
          <w:color w:val="auto"/>
          <w:highlight w:val="none"/>
        </w:rPr>
        <w:t>17.1.1 计量单位</w:t>
      </w:r>
    </w:p>
    <w:p w14:paraId="75F2417C">
      <w:pPr>
        <w:pStyle w:val="9"/>
        <w:spacing w:line="400" w:lineRule="exact"/>
        <w:ind w:firstLine="420" w:firstLineChars="200"/>
        <w:rPr>
          <w:rFonts w:ascii="宋体" w:hAnsi="宋体"/>
          <w:color w:val="auto"/>
          <w:highlight w:val="none"/>
        </w:rPr>
      </w:pPr>
      <w:r>
        <w:rPr>
          <w:rFonts w:hint="eastAsia" w:ascii="宋体" w:hAnsi="宋体"/>
          <w:color w:val="auto"/>
          <w:highlight w:val="none"/>
        </w:rPr>
        <w:t>计量采用国家法定的计量单位。</w:t>
      </w:r>
    </w:p>
    <w:p w14:paraId="3ED558DE">
      <w:pPr>
        <w:pStyle w:val="9"/>
        <w:spacing w:line="400" w:lineRule="exact"/>
        <w:ind w:firstLine="420" w:firstLineChars="200"/>
        <w:rPr>
          <w:rFonts w:ascii="宋体" w:hAnsi="宋体"/>
          <w:color w:val="auto"/>
          <w:highlight w:val="none"/>
        </w:rPr>
      </w:pPr>
      <w:r>
        <w:rPr>
          <w:rFonts w:hint="eastAsia" w:ascii="宋体" w:hAnsi="宋体"/>
          <w:color w:val="auto"/>
          <w:highlight w:val="none"/>
        </w:rPr>
        <w:t>17.1.2 计量方法</w:t>
      </w:r>
    </w:p>
    <w:p w14:paraId="5D59FADC">
      <w:pPr>
        <w:pStyle w:val="9"/>
        <w:spacing w:line="400" w:lineRule="exact"/>
        <w:ind w:firstLine="420" w:firstLineChars="200"/>
        <w:rPr>
          <w:rFonts w:ascii="宋体" w:hAnsi="宋体"/>
          <w:color w:val="auto"/>
          <w:highlight w:val="none"/>
        </w:rPr>
      </w:pPr>
      <w:r>
        <w:rPr>
          <w:rFonts w:hint="eastAsia" w:ascii="宋体" w:hAnsi="宋体"/>
          <w:color w:val="auto"/>
          <w:highlight w:val="none"/>
        </w:rPr>
        <w:t>工程量清单中的工程量计算规则应按有关国家标准、行业标准的规定，并在合同中约定执行。</w:t>
      </w:r>
    </w:p>
    <w:p w14:paraId="600701E6">
      <w:pPr>
        <w:pStyle w:val="9"/>
        <w:spacing w:line="400" w:lineRule="exact"/>
        <w:ind w:firstLine="420" w:firstLineChars="200"/>
        <w:rPr>
          <w:rFonts w:ascii="宋体" w:hAnsi="宋体"/>
          <w:color w:val="auto"/>
          <w:highlight w:val="none"/>
        </w:rPr>
      </w:pPr>
      <w:r>
        <w:rPr>
          <w:rFonts w:hint="eastAsia" w:ascii="宋体" w:hAnsi="宋体"/>
          <w:color w:val="auto"/>
          <w:highlight w:val="none"/>
        </w:rPr>
        <w:t>17.1.3 计量周期</w:t>
      </w:r>
    </w:p>
    <w:p w14:paraId="0DB53D84">
      <w:pPr>
        <w:pStyle w:val="9"/>
        <w:spacing w:line="400" w:lineRule="exact"/>
        <w:ind w:firstLine="420" w:firstLineChars="200"/>
        <w:rPr>
          <w:rFonts w:ascii="宋体" w:hAnsi="宋体"/>
          <w:color w:val="auto"/>
          <w:highlight w:val="none"/>
        </w:rPr>
      </w:pPr>
      <w:r>
        <w:rPr>
          <w:rFonts w:hint="eastAsia" w:ascii="宋体" w:hAnsi="宋体"/>
          <w:color w:val="auto"/>
          <w:highlight w:val="none"/>
        </w:rPr>
        <w:t>除专用合同条款另有约定外，单价子目已完成工程量按月计量，总价子目的计量周期按批准的支付分解报告确定。</w:t>
      </w:r>
    </w:p>
    <w:p w14:paraId="7174E78E">
      <w:pPr>
        <w:pStyle w:val="9"/>
        <w:spacing w:line="400" w:lineRule="exact"/>
        <w:ind w:firstLine="420" w:firstLineChars="200"/>
        <w:rPr>
          <w:rFonts w:ascii="宋体" w:hAnsi="宋体"/>
          <w:color w:val="auto"/>
          <w:highlight w:val="none"/>
        </w:rPr>
      </w:pPr>
      <w:r>
        <w:rPr>
          <w:rFonts w:hint="eastAsia" w:ascii="宋体" w:hAnsi="宋体"/>
          <w:color w:val="auto"/>
          <w:highlight w:val="none"/>
        </w:rPr>
        <w:t>17.1.4 单价子目的计量</w:t>
      </w:r>
    </w:p>
    <w:p w14:paraId="4F76B927">
      <w:pPr>
        <w:pStyle w:val="9"/>
        <w:spacing w:line="400" w:lineRule="exact"/>
        <w:ind w:firstLine="420" w:firstLineChars="200"/>
        <w:rPr>
          <w:rFonts w:ascii="宋体" w:hAnsi="宋体"/>
          <w:color w:val="auto"/>
          <w:highlight w:val="none"/>
        </w:rPr>
      </w:pPr>
      <w:r>
        <w:rPr>
          <w:rFonts w:hint="eastAsia" w:ascii="宋体" w:hAnsi="宋体"/>
          <w:color w:val="auto"/>
          <w:highlight w:val="none"/>
        </w:rPr>
        <w:t>（1）已标价工程量清单中的单价子目工程量为估算工程量。结算工程量是承包人实际完成的，并按合同约定的计量方法进行计量的工程量。</w:t>
      </w:r>
    </w:p>
    <w:p w14:paraId="0B49E41A">
      <w:pPr>
        <w:pStyle w:val="9"/>
        <w:spacing w:line="400" w:lineRule="exact"/>
        <w:ind w:firstLine="420" w:firstLineChars="200"/>
        <w:rPr>
          <w:rFonts w:ascii="宋体" w:hAnsi="宋体"/>
          <w:color w:val="auto"/>
          <w:highlight w:val="none"/>
        </w:rPr>
      </w:pPr>
      <w:r>
        <w:rPr>
          <w:rFonts w:hint="eastAsia" w:ascii="宋体" w:hAnsi="宋体"/>
          <w:color w:val="auto"/>
          <w:highlight w:val="none"/>
        </w:rPr>
        <w:t>（2）承包人对已完成的工程进行计量，向监理人提交进度付款申请单、已完成工程量报表和有关计量资料。</w:t>
      </w:r>
    </w:p>
    <w:p w14:paraId="342D2C34">
      <w:pPr>
        <w:pStyle w:val="9"/>
        <w:spacing w:line="400" w:lineRule="exact"/>
        <w:ind w:firstLine="420" w:firstLineChars="200"/>
        <w:rPr>
          <w:rFonts w:ascii="宋体" w:hAnsi="宋体"/>
          <w:color w:val="auto"/>
          <w:highlight w:val="none"/>
        </w:rPr>
      </w:pPr>
      <w:r>
        <w:rPr>
          <w:rFonts w:hint="eastAsia" w:ascii="宋体" w:hAnsi="宋体"/>
          <w:color w:val="auto"/>
          <w:highlight w:val="none"/>
        </w:rPr>
        <w:t>（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p>
    <w:p w14:paraId="59E77A78">
      <w:pPr>
        <w:pStyle w:val="9"/>
        <w:spacing w:line="400" w:lineRule="exact"/>
        <w:ind w:firstLine="420" w:firstLineChars="200"/>
        <w:rPr>
          <w:rFonts w:ascii="宋体" w:hAnsi="宋体"/>
          <w:color w:val="auto"/>
          <w:highlight w:val="none"/>
        </w:rPr>
      </w:pPr>
      <w:r>
        <w:rPr>
          <w:rFonts w:hint="eastAsia" w:ascii="宋体" w:hAnsi="宋体"/>
          <w:color w:val="auto"/>
          <w:highlight w:val="none"/>
        </w:rPr>
        <w:t>（4）监理人认为有必要时，可通知承包人共同进行联合测量、计量，承包人应遵照执行。</w:t>
      </w:r>
    </w:p>
    <w:p w14:paraId="0A17788F">
      <w:pPr>
        <w:pStyle w:val="9"/>
        <w:spacing w:line="400" w:lineRule="exact"/>
        <w:ind w:firstLine="420" w:firstLineChars="200"/>
        <w:rPr>
          <w:rFonts w:ascii="宋体" w:hAnsi="宋体"/>
          <w:color w:val="auto"/>
          <w:highlight w:val="none"/>
        </w:rPr>
      </w:pPr>
      <w:r>
        <w:rPr>
          <w:rFonts w:hint="eastAsia" w:ascii="宋体" w:hAnsi="宋体"/>
          <w:color w:val="auto"/>
          <w:highlight w:val="none"/>
        </w:rPr>
        <w:t>（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14:paraId="32EA7234">
      <w:pPr>
        <w:pStyle w:val="9"/>
        <w:spacing w:line="400" w:lineRule="exact"/>
        <w:ind w:firstLine="420" w:firstLineChars="200"/>
        <w:rPr>
          <w:rFonts w:ascii="宋体" w:hAnsi="宋体"/>
          <w:color w:val="auto"/>
          <w:highlight w:val="none"/>
        </w:rPr>
      </w:pPr>
      <w:r>
        <w:rPr>
          <w:rFonts w:hint="eastAsia" w:ascii="宋体" w:hAnsi="宋体"/>
          <w:color w:val="auto"/>
          <w:highlight w:val="none"/>
        </w:rPr>
        <w:t>（6）监理人应在收到承包人提交的工程量报表后的7天内进行复核，监理人未在约定时间内复核的，承包人提交的工程量报表中的工程量视为承包人实际完成的工程量，据此计算工程价款。</w:t>
      </w:r>
    </w:p>
    <w:p w14:paraId="33F39042">
      <w:pPr>
        <w:pStyle w:val="9"/>
        <w:spacing w:line="400" w:lineRule="exact"/>
        <w:ind w:firstLine="420" w:firstLineChars="200"/>
        <w:rPr>
          <w:rFonts w:ascii="宋体" w:hAnsi="宋体"/>
          <w:color w:val="auto"/>
          <w:highlight w:val="none"/>
        </w:rPr>
      </w:pPr>
      <w:r>
        <w:rPr>
          <w:rFonts w:hint="eastAsia" w:ascii="宋体" w:hAnsi="宋体"/>
          <w:color w:val="auto"/>
          <w:highlight w:val="none"/>
        </w:rPr>
        <w:t>17.1.5 总价子目的计量</w:t>
      </w:r>
    </w:p>
    <w:p w14:paraId="2A4D3821">
      <w:pPr>
        <w:pStyle w:val="9"/>
        <w:spacing w:line="400" w:lineRule="exact"/>
        <w:ind w:firstLine="420" w:firstLineChars="200"/>
        <w:rPr>
          <w:rFonts w:ascii="宋体" w:hAnsi="宋体"/>
          <w:color w:val="auto"/>
          <w:highlight w:val="none"/>
        </w:rPr>
      </w:pPr>
      <w:r>
        <w:rPr>
          <w:rFonts w:hint="eastAsia" w:ascii="宋体" w:hAnsi="宋体"/>
          <w:color w:val="auto"/>
          <w:highlight w:val="none"/>
        </w:rPr>
        <w:t>除专用合同条款另有约定外，总价子目的分解和计量按照下述约定进行。</w:t>
      </w:r>
    </w:p>
    <w:p w14:paraId="003ECB5F">
      <w:pPr>
        <w:pStyle w:val="9"/>
        <w:spacing w:line="400" w:lineRule="exact"/>
        <w:ind w:firstLine="420" w:firstLineChars="200"/>
        <w:rPr>
          <w:rFonts w:ascii="宋体" w:hAnsi="宋体"/>
          <w:color w:val="auto"/>
          <w:highlight w:val="none"/>
        </w:rPr>
      </w:pPr>
      <w:r>
        <w:rPr>
          <w:rFonts w:hint="eastAsia" w:ascii="宋体" w:hAnsi="宋体"/>
          <w:color w:val="auto"/>
          <w:highlight w:val="none"/>
        </w:rPr>
        <w:t>（1）总价子目的计量和支付应以总价为基础，不因第16.1款中的因素而进行调整。承包人实际完成的工程量，是进行工程目标管理和控制进度支付的依据。</w:t>
      </w:r>
    </w:p>
    <w:p w14:paraId="6A547FDE">
      <w:pPr>
        <w:pStyle w:val="9"/>
        <w:spacing w:line="400" w:lineRule="exact"/>
        <w:ind w:firstLine="420" w:firstLineChars="200"/>
        <w:rPr>
          <w:rFonts w:ascii="宋体" w:hAnsi="宋体"/>
          <w:color w:val="auto"/>
          <w:highlight w:val="none"/>
        </w:rPr>
      </w:pPr>
      <w:r>
        <w:rPr>
          <w:rFonts w:hint="eastAsia" w:ascii="宋体" w:hAnsi="宋体"/>
          <w:color w:val="auto"/>
          <w:highlight w:val="none"/>
        </w:rPr>
        <w:t>（2）承包人在合同约定的每个计量周期内，对已完成的工程进行计量，并向监理人提交进度付款申请单、专用合同条款约定的合同总价支付分解表所表示的阶段性或分项计量的支持性资料，以及所达到工程形象目标或分阶段需完成的工程量和有关计量资料。</w:t>
      </w:r>
    </w:p>
    <w:p w14:paraId="5E5C4A45">
      <w:pPr>
        <w:pStyle w:val="9"/>
        <w:spacing w:line="400" w:lineRule="exact"/>
        <w:ind w:firstLine="420" w:firstLineChars="200"/>
        <w:rPr>
          <w:rFonts w:ascii="宋体" w:hAnsi="宋体"/>
          <w:color w:val="auto"/>
          <w:highlight w:val="none"/>
        </w:rPr>
      </w:pPr>
      <w:r>
        <w:rPr>
          <w:rFonts w:hint="eastAsia" w:ascii="宋体" w:hAnsi="宋体"/>
          <w:color w:val="auto"/>
          <w:highlight w:val="none"/>
        </w:rPr>
        <w:t>（3）监理人对承包人提交的上述资料进行复核，以确定分阶段实际完成的工程量和工程形象目标。对其有异议的，可要求承包人按第8.2款约定进行共同复核和抽样复测。</w:t>
      </w:r>
    </w:p>
    <w:p w14:paraId="7939BE39">
      <w:pPr>
        <w:pStyle w:val="9"/>
        <w:spacing w:line="400" w:lineRule="exact"/>
        <w:ind w:firstLine="420" w:firstLineChars="200"/>
        <w:rPr>
          <w:rFonts w:ascii="隶书" w:eastAsia="隶书"/>
          <w:color w:val="auto"/>
          <w:highlight w:val="none"/>
        </w:rPr>
      </w:pPr>
      <w:r>
        <w:rPr>
          <w:rFonts w:hint="eastAsia" w:ascii="宋体" w:hAnsi="宋体"/>
          <w:color w:val="auto"/>
          <w:highlight w:val="none"/>
        </w:rPr>
        <w:t>（4）除按照第15条约定的变更外，总价子目的工程量是承包人用于结算的最终工程量。</w:t>
      </w:r>
      <w:r>
        <w:rPr>
          <w:rFonts w:hint="eastAsia" w:ascii="隶书" w:eastAsia="隶书"/>
          <w:color w:val="auto"/>
          <w:highlight w:val="none"/>
        </w:rPr>
        <w:t xml:space="preserve"> </w:t>
      </w:r>
    </w:p>
    <w:p w14:paraId="460CDD7E">
      <w:pPr>
        <w:pStyle w:val="51"/>
        <w:outlineLvl w:val="3"/>
        <w:rPr>
          <w:color w:val="auto"/>
          <w:highlight w:val="none"/>
        </w:rPr>
      </w:pPr>
      <w:bookmarkStart w:id="445" w:name="_Toc1716"/>
      <w:bookmarkStart w:id="446" w:name="_Toc240967143"/>
      <w:bookmarkStart w:id="447" w:name="_Toc30066"/>
      <w:r>
        <w:rPr>
          <w:rFonts w:hint="eastAsia"/>
          <w:color w:val="auto"/>
          <w:highlight w:val="none"/>
        </w:rPr>
        <w:t>17.2 预付款</w:t>
      </w:r>
      <w:bookmarkEnd w:id="445"/>
      <w:bookmarkEnd w:id="446"/>
      <w:bookmarkEnd w:id="447"/>
    </w:p>
    <w:p w14:paraId="23D21BC5">
      <w:pPr>
        <w:pStyle w:val="9"/>
        <w:spacing w:line="400" w:lineRule="exact"/>
        <w:ind w:firstLine="420" w:firstLineChars="200"/>
        <w:rPr>
          <w:rFonts w:ascii="宋体" w:hAnsi="宋体"/>
          <w:color w:val="auto"/>
          <w:highlight w:val="none"/>
        </w:rPr>
      </w:pPr>
      <w:r>
        <w:rPr>
          <w:rFonts w:hint="eastAsia" w:ascii="宋体" w:hAnsi="宋体"/>
          <w:color w:val="auto"/>
          <w:highlight w:val="none"/>
        </w:rPr>
        <w:t>17.2.1 预付款</w:t>
      </w:r>
    </w:p>
    <w:p w14:paraId="40B7A715">
      <w:pPr>
        <w:pStyle w:val="9"/>
        <w:spacing w:line="400" w:lineRule="exact"/>
        <w:ind w:firstLine="420" w:firstLineChars="200"/>
        <w:rPr>
          <w:rFonts w:ascii="宋体" w:hAnsi="宋体"/>
          <w:color w:val="auto"/>
          <w:highlight w:val="none"/>
        </w:rPr>
      </w:pPr>
      <w:r>
        <w:rPr>
          <w:rFonts w:hint="eastAsia" w:ascii="宋体" w:hAnsi="宋体"/>
          <w:color w:val="auto"/>
          <w:highlight w:val="none"/>
        </w:rPr>
        <w:t>预付款用于承包人为合同工程施工购置材料、工程设备、施工设备、修建临时设施以及组织施工队伍进场等。预付款的额度和预付办法在专用合同条款中约定。预付款必须专用于合同工程。</w:t>
      </w:r>
    </w:p>
    <w:p w14:paraId="4B1987F0">
      <w:pPr>
        <w:pStyle w:val="9"/>
        <w:spacing w:line="400" w:lineRule="exact"/>
        <w:ind w:firstLine="420" w:firstLineChars="200"/>
        <w:rPr>
          <w:rFonts w:ascii="宋体" w:hAnsi="宋体"/>
          <w:color w:val="auto"/>
          <w:highlight w:val="none"/>
        </w:rPr>
      </w:pPr>
      <w:r>
        <w:rPr>
          <w:rFonts w:hint="eastAsia" w:ascii="宋体" w:hAnsi="宋体"/>
          <w:color w:val="auto"/>
          <w:highlight w:val="none"/>
        </w:rPr>
        <w:t>17.2.2 预付款保函</w:t>
      </w:r>
    </w:p>
    <w:p w14:paraId="62591C45">
      <w:pPr>
        <w:pStyle w:val="9"/>
        <w:spacing w:line="400" w:lineRule="exact"/>
        <w:ind w:firstLine="420" w:firstLineChars="200"/>
        <w:rPr>
          <w:rFonts w:ascii="宋体" w:hAnsi="宋体"/>
          <w:color w:val="auto"/>
          <w:highlight w:val="none"/>
        </w:rPr>
      </w:pPr>
      <w:r>
        <w:rPr>
          <w:rFonts w:hint="eastAsia" w:ascii="宋体" w:hAnsi="宋体"/>
          <w:color w:val="auto"/>
          <w:highlight w:val="none"/>
        </w:rPr>
        <w:t>除专用合同条款另有约定外，承包人应在收到预付款的同时向发包人提交预付款保函，预付款保函的担保金额应与预付款金额相同。保函的担保金额可根据预付款扣回的金额相应递减。</w:t>
      </w:r>
    </w:p>
    <w:p w14:paraId="1DDE17DB">
      <w:pPr>
        <w:pStyle w:val="9"/>
        <w:spacing w:line="400" w:lineRule="exact"/>
        <w:ind w:firstLine="420" w:firstLineChars="200"/>
        <w:rPr>
          <w:rFonts w:ascii="宋体" w:hAnsi="宋体"/>
          <w:color w:val="auto"/>
          <w:highlight w:val="none"/>
        </w:rPr>
      </w:pPr>
      <w:r>
        <w:rPr>
          <w:rFonts w:hint="eastAsia" w:ascii="宋体" w:hAnsi="宋体"/>
          <w:color w:val="auto"/>
          <w:highlight w:val="none"/>
        </w:rPr>
        <w:t>17.2.3 预付款的扣回与还清</w:t>
      </w:r>
    </w:p>
    <w:p w14:paraId="073F7D94">
      <w:pPr>
        <w:pStyle w:val="9"/>
        <w:spacing w:line="400" w:lineRule="exact"/>
        <w:ind w:firstLine="420" w:firstLineChars="200"/>
        <w:rPr>
          <w:rFonts w:ascii="宋体" w:hAnsi="宋体"/>
          <w:color w:val="auto"/>
          <w:highlight w:val="none"/>
        </w:rPr>
      </w:pPr>
      <w:r>
        <w:rPr>
          <w:rFonts w:hint="eastAsia" w:ascii="宋体" w:hAnsi="宋体"/>
          <w:color w:val="auto"/>
          <w:highlight w:val="none"/>
        </w:rPr>
        <w:t>预付款在进度付款中扣回，扣回办法在专用合同条款中约定。在颁发工程接收证书前，由于不可抗力或其他原因解除合同时，预付款尚未扣清的，尚未扣清的预付款余额应作为承包人的到期应付款。</w:t>
      </w:r>
    </w:p>
    <w:p w14:paraId="2E03E8A9">
      <w:pPr>
        <w:pStyle w:val="51"/>
        <w:outlineLvl w:val="3"/>
        <w:rPr>
          <w:color w:val="auto"/>
          <w:highlight w:val="none"/>
        </w:rPr>
      </w:pPr>
      <w:bookmarkStart w:id="448" w:name="_Toc16383"/>
      <w:bookmarkStart w:id="449" w:name="_Toc23815"/>
      <w:bookmarkStart w:id="450" w:name="_Toc240967144"/>
      <w:r>
        <w:rPr>
          <w:rFonts w:hint="eastAsia"/>
          <w:color w:val="auto"/>
          <w:highlight w:val="none"/>
        </w:rPr>
        <w:t>17.3 工程进度付款</w:t>
      </w:r>
      <w:bookmarkEnd w:id="448"/>
      <w:bookmarkEnd w:id="449"/>
      <w:bookmarkEnd w:id="450"/>
    </w:p>
    <w:p w14:paraId="11F1E30D">
      <w:pPr>
        <w:pStyle w:val="9"/>
        <w:spacing w:line="400" w:lineRule="exact"/>
        <w:ind w:firstLine="420" w:firstLineChars="200"/>
        <w:rPr>
          <w:rFonts w:ascii="宋体" w:hAnsi="宋体"/>
          <w:color w:val="auto"/>
          <w:highlight w:val="none"/>
        </w:rPr>
      </w:pPr>
      <w:r>
        <w:rPr>
          <w:rFonts w:hint="eastAsia" w:ascii="宋体" w:hAnsi="宋体"/>
          <w:color w:val="auto"/>
          <w:highlight w:val="none"/>
        </w:rPr>
        <w:t>17.3.1 付款周期</w:t>
      </w:r>
    </w:p>
    <w:p w14:paraId="63AB0512">
      <w:pPr>
        <w:pStyle w:val="9"/>
        <w:spacing w:line="400" w:lineRule="exact"/>
        <w:ind w:firstLine="420" w:firstLineChars="200"/>
        <w:rPr>
          <w:rFonts w:ascii="宋体" w:hAnsi="宋体"/>
          <w:color w:val="auto"/>
          <w:highlight w:val="none"/>
        </w:rPr>
      </w:pPr>
      <w:r>
        <w:rPr>
          <w:rFonts w:hint="eastAsia" w:ascii="宋体" w:hAnsi="宋体"/>
          <w:color w:val="auto"/>
          <w:highlight w:val="none"/>
        </w:rPr>
        <w:t>付款周期同计量周期。</w:t>
      </w:r>
    </w:p>
    <w:p w14:paraId="647BFED2">
      <w:pPr>
        <w:pStyle w:val="9"/>
        <w:spacing w:line="400" w:lineRule="exact"/>
        <w:ind w:firstLine="420" w:firstLineChars="200"/>
        <w:rPr>
          <w:rFonts w:ascii="宋体" w:hAnsi="宋体"/>
          <w:color w:val="auto"/>
          <w:highlight w:val="none"/>
        </w:rPr>
      </w:pPr>
      <w:r>
        <w:rPr>
          <w:rFonts w:hint="eastAsia" w:ascii="宋体" w:hAnsi="宋体"/>
          <w:color w:val="auto"/>
          <w:highlight w:val="none"/>
        </w:rPr>
        <w:t>17.3.2 进度付款申请单</w:t>
      </w:r>
    </w:p>
    <w:p w14:paraId="09663C14">
      <w:pPr>
        <w:pStyle w:val="9"/>
        <w:spacing w:line="400" w:lineRule="exact"/>
        <w:ind w:firstLine="420" w:firstLineChars="200"/>
        <w:rPr>
          <w:rFonts w:ascii="宋体" w:hAnsi="宋体"/>
          <w:color w:val="auto"/>
          <w:highlight w:val="none"/>
        </w:rPr>
      </w:pPr>
      <w:r>
        <w:rPr>
          <w:rFonts w:hint="eastAsia" w:ascii="宋体" w:hAnsi="宋体"/>
          <w:color w:val="auto"/>
          <w:highlight w:val="none"/>
        </w:rPr>
        <w:t>承包人应在每个付款周期末，按监理人批准的格式和专用合同条款约定的份数，向监理人提交进度付款申请单，并附相应的支持性证明文件。除专用合同条款另有约定外，进度付款申请单应包括下列内容：</w:t>
      </w:r>
    </w:p>
    <w:p w14:paraId="29C5BC2E">
      <w:pPr>
        <w:pStyle w:val="9"/>
        <w:spacing w:line="400" w:lineRule="exact"/>
        <w:ind w:firstLine="420" w:firstLineChars="200"/>
        <w:rPr>
          <w:rFonts w:ascii="宋体" w:hAnsi="宋体"/>
          <w:color w:val="auto"/>
          <w:highlight w:val="none"/>
        </w:rPr>
      </w:pPr>
      <w:r>
        <w:rPr>
          <w:rFonts w:hint="eastAsia" w:ascii="宋体" w:hAnsi="宋体"/>
          <w:color w:val="auto"/>
          <w:highlight w:val="none"/>
        </w:rPr>
        <w:t>（1）截至本次付款周期末已实施工程的价款；</w:t>
      </w:r>
    </w:p>
    <w:p w14:paraId="06A0E92B">
      <w:pPr>
        <w:pStyle w:val="9"/>
        <w:spacing w:line="400" w:lineRule="exact"/>
        <w:ind w:firstLine="420" w:firstLineChars="200"/>
        <w:rPr>
          <w:rFonts w:ascii="宋体" w:hAnsi="宋体"/>
          <w:color w:val="auto"/>
          <w:highlight w:val="none"/>
        </w:rPr>
      </w:pPr>
      <w:r>
        <w:rPr>
          <w:rFonts w:hint="eastAsia" w:ascii="宋体" w:hAnsi="宋体"/>
          <w:color w:val="auto"/>
          <w:highlight w:val="none"/>
        </w:rPr>
        <w:t>（2）根据第15条应增加和扣减的变更金额；</w:t>
      </w:r>
    </w:p>
    <w:p w14:paraId="1E80B49A">
      <w:pPr>
        <w:pStyle w:val="9"/>
        <w:spacing w:line="400" w:lineRule="exact"/>
        <w:ind w:firstLine="420" w:firstLineChars="200"/>
        <w:rPr>
          <w:rFonts w:ascii="宋体" w:hAnsi="宋体"/>
          <w:color w:val="auto"/>
          <w:highlight w:val="none"/>
        </w:rPr>
      </w:pPr>
      <w:r>
        <w:rPr>
          <w:rFonts w:hint="eastAsia" w:ascii="宋体" w:hAnsi="宋体"/>
          <w:color w:val="auto"/>
          <w:highlight w:val="none"/>
        </w:rPr>
        <w:t>（3）根据第23条应增加和扣减的索赔金额；</w:t>
      </w:r>
    </w:p>
    <w:p w14:paraId="45C95738">
      <w:pPr>
        <w:pStyle w:val="9"/>
        <w:spacing w:line="400" w:lineRule="exact"/>
        <w:ind w:firstLine="420" w:firstLineChars="200"/>
        <w:rPr>
          <w:rFonts w:ascii="宋体" w:hAnsi="宋体"/>
          <w:color w:val="auto"/>
          <w:highlight w:val="none"/>
        </w:rPr>
      </w:pPr>
      <w:r>
        <w:rPr>
          <w:rFonts w:hint="eastAsia" w:ascii="宋体" w:hAnsi="宋体"/>
          <w:color w:val="auto"/>
          <w:highlight w:val="none"/>
        </w:rPr>
        <w:t>（4）根据第17.2款约定应支付的预付款和扣减的返还预付款；</w:t>
      </w:r>
    </w:p>
    <w:p w14:paraId="5FD77825">
      <w:pPr>
        <w:pStyle w:val="9"/>
        <w:spacing w:line="400" w:lineRule="exact"/>
        <w:ind w:firstLine="420" w:firstLineChars="200"/>
        <w:rPr>
          <w:rFonts w:ascii="宋体" w:hAnsi="宋体"/>
          <w:color w:val="auto"/>
          <w:highlight w:val="none"/>
        </w:rPr>
      </w:pPr>
      <w:r>
        <w:rPr>
          <w:rFonts w:hint="eastAsia" w:ascii="宋体" w:hAnsi="宋体"/>
          <w:color w:val="auto"/>
          <w:highlight w:val="none"/>
        </w:rPr>
        <w:t>（5）根据第17.4.1项约定应扣减的质量保证金；</w:t>
      </w:r>
    </w:p>
    <w:p w14:paraId="25C4FAA8">
      <w:pPr>
        <w:pStyle w:val="9"/>
        <w:spacing w:line="400" w:lineRule="exact"/>
        <w:ind w:firstLine="420" w:firstLineChars="200"/>
        <w:rPr>
          <w:rFonts w:ascii="宋体" w:hAnsi="宋体"/>
          <w:color w:val="auto"/>
          <w:highlight w:val="none"/>
        </w:rPr>
      </w:pPr>
      <w:r>
        <w:rPr>
          <w:rFonts w:hint="eastAsia" w:ascii="宋体" w:hAnsi="宋体"/>
          <w:color w:val="auto"/>
          <w:highlight w:val="none"/>
        </w:rPr>
        <w:t>（6）根据合同应增加和扣减的其他金额。</w:t>
      </w:r>
    </w:p>
    <w:p w14:paraId="6889EF34">
      <w:pPr>
        <w:pStyle w:val="9"/>
        <w:spacing w:line="400" w:lineRule="exact"/>
        <w:ind w:firstLine="420" w:firstLineChars="200"/>
        <w:rPr>
          <w:rFonts w:ascii="宋体" w:hAnsi="宋体"/>
          <w:color w:val="auto"/>
          <w:highlight w:val="none"/>
        </w:rPr>
      </w:pPr>
      <w:r>
        <w:rPr>
          <w:rFonts w:hint="eastAsia" w:ascii="宋体" w:hAnsi="宋体"/>
          <w:color w:val="auto"/>
          <w:highlight w:val="none"/>
        </w:rPr>
        <w:t>17.3.3 进度付款证书和支付时间</w:t>
      </w:r>
    </w:p>
    <w:p w14:paraId="0AD747D2">
      <w:pPr>
        <w:pStyle w:val="9"/>
        <w:spacing w:line="400" w:lineRule="exact"/>
        <w:ind w:firstLine="420" w:firstLineChars="200"/>
        <w:rPr>
          <w:rFonts w:ascii="宋体" w:hAnsi="宋体"/>
          <w:color w:val="auto"/>
          <w:highlight w:val="none"/>
        </w:rPr>
      </w:pPr>
      <w:r>
        <w:rPr>
          <w:rFonts w:hint="eastAsia" w:ascii="宋体" w:hAnsi="宋体"/>
          <w:color w:val="auto"/>
          <w:highlight w:val="none"/>
        </w:rPr>
        <w:t>（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p>
    <w:p w14:paraId="4ADF09D3">
      <w:pPr>
        <w:pStyle w:val="9"/>
        <w:spacing w:line="400" w:lineRule="exact"/>
        <w:ind w:firstLine="420" w:firstLineChars="200"/>
        <w:rPr>
          <w:rFonts w:ascii="宋体" w:hAnsi="宋体"/>
          <w:color w:val="auto"/>
          <w:highlight w:val="none"/>
        </w:rPr>
      </w:pPr>
      <w:r>
        <w:rPr>
          <w:rFonts w:hint="eastAsia" w:ascii="宋体" w:hAnsi="宋体"/>
          <w:color w:val="auto"/>
          <w:highlight w:val="none"/>
        </w:rPr>
        <w:t>（2）发包人应在监理人收到进度付款申请单后的28天内，将进度应付款支付给承包人。发包人不按期支付的，按专用合同条款的约定支付逾期付款违约金。</w:t>
      </w:r>
    </w:p>
    <w:p w14:paraId="667B54D0">
      <w:pPr>
        <w:pStyle w:val="9"/>
        <w:spacing w:line="400" w:lineRule="exact"/>
        <w:ind w:firstLine="420" w:firstLineChars="200"/>
        <w:rPr>
          <w:rFonts w:ascii="宋体" w:hAnsi="宋体"/>
          <w:color w:val="auto"/>
          <w:highlight w:val="none"/>
        </w:rPr>
      </w:pPr>
      <w:r>
        <w:rPr>
          <w:rFonts w:hint="eastAsia" w:ascii="宋体" w:hAnsi="宋体"/>
          <w:color w:val="auto"/>
          <w:highlight w:val="none"/>
        </w:rPr>
        <w:t>（3）监理人出具进度付款证书，不应视为监理人已同意、批准或接受了承包人完成的该部分工作。</w:t>
      </w:r>
    </w:p>
    <w:p w14:paraId="328259AE">
      <w:pPr>
        <w:pStyle w:val="9"/>
        <w:spacing w:line="400" w:lineRule="exact"/>
        <w:ind w:firstLine="420" w:firstLineChars="200"/>
        <w:rPr>
          <w:rFonts w:ascii="宋体" w:hAnsi="宋体"/>
          <w:color w:val="auto"/>
          <w:highlight w:val="none"/>
        </w:rPr>
      </w:pPr>
      <w:r>
        <w:rPr>
          <w:rFonts w:hint="eastAsia" w:ascii="宋体" w:hAnsi="宋体"/>
          <w:color w:val="auto"/>
          <w:highlight w:val="none"/>
        </w:rPr>
        <w:t>（4）进度付款涉及政府投资资金的，按照国库集中支付等国家相关规定和专用合同条款的约定办理。</w:t>
      </w:r>
    </w:p>
    <w:p w14:paraId="283BEAC3">
      <w:pPr>
        <w:pStyle w:val="9"/>
        <w:spacing w:line="400" w:lineRule="exact"/>
        <w:ind w:firstLine="420" w:firstLineChars="200"/>
        <w:rPr>
          <w:rFonts w:ascii="宋体" w:hAnsi="宋体"/>
          <w:color w:val="auto"/>
          <w:highlight w:val="none"/>
        </w:rPr>
      </w:pPr>
      <w:r>
        <w:rPr>
          <w:rFonts w:hint="eastAsia" w:ascii="宋体" w:hAnsi="宋体"/>
          <w:color w:val="auto"/>
          <w:highlight w:val="none"/>
        </w:rPr>
        <w:t>17.3.4 工程进度付款的修正</w:t>
      </w:r>
    </w:p>
    <w:p w14:paraId="78C38B2A">
      <w:pPr>
        <w:pStyle w:val="9"/>
        <w:spacing w:line="400" w:lineRule="exact"/>
        <w:ind w:firstLine="420" w:firstLineChars="200"/>
        <w:rPr>
          <w:rFonts w:ascii="隶书" w:eastAsia="隶书"/>
          <w:color w:val="auto"/>
          <w:highlight w:val="none"/>
        </w:rPr>
      </w:pPr>
      <w:r>
        <w:rPr>
          <w:rFonts w:hint="eastAsia" w:ascii="宋体" w:hAnsi="宋体"/>
          <w:color w:val="auto"/>
          <w:highlight w:val="none"/>
        </w:rPr>
        <w:t>在对以往历次已签发的进度付款证书进行汇总和复核中发现错、漏或重复的，监理人有权予以修正，承包人也有权提出修正申请。经双方复核同意的修正，应在本次进度付款中支付或扣除。</w:t>
      </w:r>
    </w:p>
    <w:p w14:paraId="69397FB1">
      <w:pPr>
        <w:pStyle w:val="51"/>
        <w:outlineLvl w:val="3"/>
        <w:rPr>
          <w:color w:val="auto"/>
          <w:highlight w:val="none"/>
        </w:rPr>
      </w:pPr>
      <w:bookmarkStart w:id="451" w:name="_Toc27094"/>
      <w:bookmarkStart w:id="452" w:name="_Toc240967145"/>
      <w:bookmarkStart w:id="453" w:name="_Toc16281"/>
      <w:r>
        <w:rPr>
          <w:rFonts w:hint="eastAsia"/>
          <w:color w:val="auto"/>
          <w:highlight w:val="none"/>
        </w:rPr>
        <w:t>17.4 质量保证金</w:t>
      </w:r>
      <w:bookmarkEnd w:id="451"/>
      <w:bookmarkEnd w:id="452"/>
      <w:bookmarkEnd w:id="453"/>
    </w:p>
    <w:p w14:paraId="7D24005D">
      <w:pPr>
        <w:pStyle w:val="9"/>
        <w:spacing w:line="400" w:lineRule="exact"/>
        <w:ind w:firstLine="420" w:firstLineChars="200"/>
        <w:rPr>
          <w:rFonts w:ascii="宋体" w:hAnsi="宋体"/>
          <w:color w:val="auto"/>
          <w:highlight w:val="none"/>
        </w:rPr>
      </w:pPr>
      <w:r>
        <w:rPr>
          <w:rFonts w:hint="eastAsia" w:ascii="宋体" w:hAnsi="宋体"/>
          <w:color w:val="auto"/>
          <w:highlight w:val="none"/>
        </w:rPr>
        <w:t>17.4.1 监理人应从第一个付款周期开始，在发包人的进度付款中，按专用合同条款的约定扣留质量保证金，直至扣留的质量保证金总额达到专用合同条款约定的金额或比例为止。质量保证金的计算额度不包括预付款的支付、扣回以及价格调整的金额。</w:t>
      </w:r>
    </w:p>
    <w:p w14:paraId="6C9DE138">
      <w:pPr>
        <w:pStyle w:val="9"/>
        <w:spacing w:line="400" w:lineRule="exact"/>
        <w:ind w:firstLine="420" w:firstLineChars="200"/>
        <w:rPr>
          <w:rFonts w:ascii="宋体" w:hAnsi="宋体"/>
          <w:color w:val="auto"/>
          <w:highlight w:val="none"/>
        </w:rPr>
      </w:pPr>
      <w:r>
        <w:rPr>
          <w:rFonts w:hint="eastAsia" w:ascii="宋体" w:hAnsi="宋体"/>
          <w:color w:val="auto"/>
          <w:highlight w:val="none"/>
        </w:rPr>
        <w:t>17.4.2 在第1.1.4.5目约定的缺陷责任期满时，承包人向发包人申请到期应返还承包人剩余的质量保证金金额，发包人应在14天内会同承包人按照合同约定的内容核实承包人是否完成缺陷责任。如无异议，发包人应当在核实后将剩余保证金返还承包人。</w:t>
      </w:r>
    </w:p>
    <w:p w14:paraId="3F283A19">
      <w:pPr>
        <w:pStyle w:val="9"/>
        <w:spacing w:line="400" w:lineRule="exact"/>
        <w:ind w:firstLine="420" w:firstLineChars="200"/>
        <w:rPr>
          <w:rFonts w:ascii="隶书" w:eastAsia="隶书"/>
          <w:color w:val="auto"/>
          <w:highlight w:val="none"/>
        </w:rPr>
      </w:pPr>
      <w:r>
        <w:rPr>
          <w:rFonts w:hint="eastAsia" w:ascii="宋体" w:hAnsi="宋体"/>
          <w:color w:val="auto"/>
          <w:highlight w:val="none"/>
        </w:rPr>
        <w:t>17.4.3 在第1.1.4.5目约定的缺陷责任期满时，承包人没有完成缺陷责任的，发包人有权扣留与未履行责任剩余工作所需金额相应的质量保证金余额，并有权根据第19.3款约定要求延长缺陷责任期，直至完成剩余工作为止。</w:t>
      </w:r>
      <w:r>
        <w:rPr>
          <w:rFonts w:hint="eastAsia" w:ascii="隶书" w:eastAsia="隶书"/>
          <w:color w:val="auto"/>
          <w:highlight w:val="none"/>
        </w:rPr>
        <w:t xml:space="preserve"> </w:t>
      </w:r>
    </w:p>
    <w:p w14:paraId="48661092">
      <w:pPr>
        <w:pStyle w:val="51"/>
        <w:outlineLvl w:val="3"/>
        <w:rPr>
          <w:color w:val="auto"/>
          <w:highlight w:val="none"/>
        </w:rPr>
      </w:pPr>
      <w:bookmarkStart w:id="454" w:name="_Toc14554"/>
      <w:bookmarkStart w:id="455" w:name="_Toc240967146"/>
      <w:bookmarkStart w:id="456" w:name="_Toc30497"/>
      <w:r>
        <w:rPr>
          <w:rFonts w:hint="eastAsia"/>
          <w:color w:val="auto"/>
          <w:highlight w:val="none"/>
        </w:rPr>
        <w:t>17.5 竣工结算</w:t>
      </w:r>
      <w:bookmarkEnd w:id="454"/>
      <w:bookmarkEnd w:id="455"/>
      <w:bookmarkEnd w:id="456"/>
    </w:p>
    <w:p w14:paraId="4B17DB81">
      <w:pPr>
        <w:pStyle w:val="9"/>
        <w:spacing w:line="400" w:lineRule="exact"/>
        <w:ind w:firstLine="420" w:firstLineChars="200"/>
        <w:rPr>
          <w:rFonts w:ascii="宋体" w:hAnsi="宋体"/>
          <w:color w:val="auto"/>
          <w:highlight w:val="none"/>
        </w:rPr>
      </w:pPr>
      <w:r>
        <w:rPr>
          <w:rFonts w:hint="eastAsia" w:ascii="宋体" w:hAnsi="宋体"/>
          <w:color w:val="auto"/>
          <w:highlight w:val="none"/>
        </w:rPr>
        <w:t>17.5.1 竣工付款申请单</w:t>
      </w:r>
    </w:p>
    <w:p w14:paraId="13EF8957">
      <w:pPr>
        <w:pStyle w:val="9"/>
        <w:spacing w:line="400" w:lineRule="exact"/>
        <w:ind w:firstLine="420" w:firstLineChars="200"/>
        <w:rPr>
          <w:rFonts w:ascii="宋体" w:hAnsi="宋体"/>
          <w:color w:val="auto"/>
          <w:highlight w:val="none"/>
        </w:rPr>
      </w:pPr>
      <w:r>
        <w:rPr>
          <w:rFonts w:hint="eastAsia" w:ascii="宋体" w:hAnsi="宋体"/>
          <w:color w:val="auto"/>
          <w:highlight w:val="none"/>
        </w:rPr>
        <w:t>（1）工程接收证书颁发后，承包人应按专用合同条款约定的份数和期限向监理人提交竣工付款申请单，并提供相关证明材料。除专用合同条款另有约定外，竣工付款申请单应包括下列内容：竣工结算合同总价、发包人已支付承包人的工程价款、应扣留的质量保证金、应支付的竣工付款金额。</w:t>
      </w:r>
    </w:p>
    <w:p w14:paraId="4CAB9233">
      <w:pPr>
        <w:pStyle w:val="9"/>
        <w:spacing w:line="400" w:lineRule="exact"/>
        <w:ind w:firstLine="420" w:firstLineChars="200"/>
        <w:rPr>
          <w:rFonts w:ascii="宋体" w:hAnsi="宋体"/>
          <w:color w:val="auto"/>
          <w:highlight w:val="none"/>
        </w:rPr>
      </w:pPr>
      <w:r>
        <w:rPr>
          <w:rFonts w:hint="eastAsia" w:ascii="宋体" w:hAnsi="宋体"/>
          <w:color w:val="auto"/>
          <w:highlight w:val="none"/>
        </w:rPr>
        <w:t>（2）监理人对竣工付款申请单有异议的，有权要求承包人进行修正和提供补充资料。经监理人和承包人协商后，由承包人向监理人提交修正后的竣工付款申请单。</w:t>
      </w:r>
    </w:p>
    <w:p w14:paraId="44BBF229">
      <w:pPr>
        <w:pStyle w:val="9"/>
        <w:spacing w:line="400" w:lineRule="exact"/>
        <w:ind w:firstLine="420" w:firstLineChars="200"/>
        <w:rPr>
          <w:rFonts w:ascii="宋体" w:hAnsi="宋体"/>
          <w:color w:val="auto"/>
          <w:highlight w:val="none"/>
        </w:rPr>
      </w:pPr>
      <w:r>
        <w:rPr>
          <w:rFonts w:hint="eastAsia" w:ascii="宋体" w:hAnsi="宋体"/>
          <w:color w:val="auto"/>
          <w:highlight w:val="none"/>
        </w:rPr>
        <w:t>17.5.2 竣工付款证书及支付时间</w:t>
      </w:r>
    </w:p>
    <w:p w14:paraId="1DCC5540">
      <w:pPr>
        <w:pStyle w:val="9"/>
        <w:spacing w:line="400" w:lineRule="exact"/>
        <w:ind w:firstLine="420" w:firstLineChars="200"/>
        <w:rPr>
          <w:rFonts w:ascii="宋体" w:hAnsi="宋体"/>
          <w:color w:val="auto"/>
          <w:highlight w:val="none"/>
        </w:rPr>
      </w:pPr>
      <w:r>
        <w:rPr>
          <w:rFonts w:hint="eastAsia" w:ascii="宋体" w:hAnsi="宋体"/>
          <w:color w:val="auto"/>
          <w:highlight w:val="none"/>
        </w:rPr>
        <w:t>（1）监理人在收到承包人提交的竣工付款申请单后的14天内完成核查，提出发包人到期应支付给承包人的价款送发包人审核并抄送承包人。发包人应在收到后14天内审核完毕，由监理人向承包人出具经发包人签认的竣工付款证书。监理人未在约定时间内核查，又未提出具体意见的，视为承包人提交的竣工付款申请单已经监理人核查同意；发包人未在约定时间内审核又未提出具体意见的，监理人提出发包人到期应支付给承包人的价款视为已经发包人同意。</w:t>
      </w:r>
    </w:p>
    <w:p w14:paraId="5F6FE177">
      <w:pPr>
        <w:pStyle w:val="9"/>
        <w:spacing w:line="400" w:lineRule="exact"/>
        <w:ind w:firstLine="420" w:firstLineChars="200"/>
        <w:rPr>
          <w:rFonts w:ascii="宋体" w:hAnsi="宋体"/>
          <w:color w:val="auto"/>
          <w:highlight w:val="none"/>
        </w:rPr>
      </w:pPr>
      <w:r>
        <w:rPr>
          <w:rFonts w:hint="eastAsia" w:ascii="宋体" w:hAnsi="宋体"/>
          <w:color w:val="auto"/>
          <w:highlight w:val="none"/>
        </w:rPr>
        <w:t>（2）发包人应在监理人出具竣工付款证书后的14天内，将应支付款支付给承包人。发包人不按期支付的，按第17.3.3（2）目的约定，将逾期付款违约金支付给承包人。</w:t>
      </w:r>
    </w:p>
    <w:p w14:paraId="29DD21C7">
      <w:pPr>
        <w:pStyle w:val="9"/>
        <w:spacing w:line="400" w:lineRule="exact"/>
        <w:ind w:firstLine="420" w:firstLineChars="200"/>
        <w:rPr>
          <w:rFonts w:ascii="宋体" w:hAnsi="宋体"/>
          <w:color w:val="auto"/>
          <w:highlight w:val="none"/>
        </w:rPr>
      </w:pPr>
      <w:r>
        <w:rPr>
          <w:rFonts w:hint="eastAsia" w:ascii="宋体" w:hAnsi="宋体"/>
          <w:color w:val="auto"/>
          <w:highlight w:val="none"/>
        </w:rPr>
        <w:t>（3）承包人对发包人签认的竣工付款证书有异议的，发包人可出具竣工付款申请单中承包人已同意部分的临时付款证书。存在争议的部分，按第24条的约定办理。</w:t>
      </w:r>
    </w:p>
    <w:p w14:paraId="5A120F69">
      <w:pPr>
        <w:pStyle w:val="9"/>
        <w:spacing w:line="400" w:lineRule="exact"/>
        <w:ind w:firstLine="420" w:firstLineChars="200"/>
        <w:rPr>
          <w:rFonts w:ascii="隶书" w:eastAsia="隶书"/>
          <w:color w:val="auto"/>
          <w:highlight w:val="none"/>
        </w:rPr>
      </w:pPr>
      <w:r>
        <w:rPr>
          <w:rFonts w:hint="eastAsia" w:ascii="宋体" w:hAnsi="宋体"/>
          <w:color w:val="auto"/>
          <w:highlight w:val="none"/>
        </w:rPr>
        <w:t>（4）竣工付款涉及政府投资资金的，按第17.3.3（４）目的约定办理。</w:t>
      </w:r>
    </w:p>
    <w:p w14:paraId="0CF3207C">
      <w:pPr>
        <w:pStyle w:val="51"/>
        <w:outlineLvl w:val="3"/>
        <w:rPr>
          <w:color w:val="auto"/>
          <w:highlight w:val="none"/>
        </w:rPr>
      </w:pPr>
      <w:bookmarkStart w:id="457" w:name="_Toc240967147"/>
      <w:bookmarkStart w:id="458" w:name="_Toc9571"/>
      <w:bookmarkStart w:id="459" w:name="_Toc15653"/>
      <w:r>
        <w:rPr>
          <w:rFonts w:hint="eastAsia"/>
          <w:color w:val="auto"/>
          <w:highlight w:val="none"/>
        </w:rPr>
        <w:t>17.6 最终结清</w:t>
      </w:r>
      <w:bookmarkEnd w:id="457"/>
      <w:bookmarkEnd w:id="458"/>
      <w:bookmarkEnd w:id="459"/>
    </w:p>
    <w:p w14:paraId="1D4C044F">
      <w:pPr>
        <w:pStyle w:val="9"/>
        <w:spacing w:line="400" w:lineRule="exact"/>
        <w:ind w:firstLine="420" w:firstLineChars="200"/>
        <w:rPr>
          <w:rFonts w:ascii="宋体" w:hAnsi="宋体"/>
          <w:color w:val="auto"/>
          <w:highlight w:val="none"/>
        </w:rPr>
      </w:pPr>
      <w:r>
        <w:rPr>
          <w:rFonts w:hint="eastAsia" w:ascii="宋体" w:hAnsi="宋体"/>
          <w:color w:val="auto"/>
          <w:highlight w:val="none"/>
        </w:rPr>
        <w:t>17.6.1 最终结清申请单</w:t>
      </w:r>
    </w:p>
    <w:p w14:paraId="3B59E194">
      <w:pPr>
        <w:pStyle w:val="9"/>
        <w:spacing w:line="400" w:lineRule="exact"/>
        <w:ind w:firstLine="420" w:firstLineChars="200"/>
        <w:rPr>
          <w:rFonts w:ascii="宋体" w:hAnsi="宋体"/>
          <w:color w:val="auto"/>
          <w:highlight w:val="none"/>
        </w:rPr>
      </w:pPr>
      <w:r>
        <w:rPr>
          <w:rFonts w:hint="eastAsia" w:ascii="宋体" w:hAnsi="宋体"/>
          <w:color w:val="auto"/>
          <w:highlight w:val="none"/>
        </w:rPr>
        <w:t>（1）缺陷责任期终止证书签发后，承包人可按专用合同条款约定的份数和期限向监理人提交最终结清申请单，并提供相关证明材料。</w:t>
      </w:r>
    </w:p>
    <w:p w14:paraId="4EBB86E6">
      <w:pPr>
        <w:pStyle w:val="9"/>
        <w:spacing w:line="400" w:lineRule="exact"/>
        <w:ind w:firstLine="420" w:firstLineChars="200"/>
        <w:rPr>
          <w:rFonts w:ascii="宋体" w:hAnsi="宋体"/>
          <w:color w:val="auto"/>
          <w:highlight w:val="none"/>
        </w:rPr>
      </w:pPr>
      <w:r>
        <w:rPr>
          <w:rFonts w:hint="eastAsia" w:ascii="宋体" w:hAnsi="宋体"/>
          <w:color w:val="auto"/>
          <w:highlight w:val="none"/>
        </w:rPr>
        <w:t>（2）发包人对最终结清申请单内容有异议的，有权要求承包人进行修正和提供补充资料，由承包人向监理人提交修正后的最终结清申请单。</w:t>
      </w:r>
    </w:p>
    <w:p w14:paraId="771F254D">
      <w:pPr>
        <w:pStyle w:val="9"/>
        <w:spacing w:line="400" w:lineRule="exact"/>
        <w:ind w:firstLine="420" w:firstLineChars="200"/>
        <w:rPr>
          <w:rFonts w:ascii="宋体" w:hAnsi="宋体"/>
          <w:color w:val="auto"/>
          <w:highlight w:val="none"/>
        </w:rPr>
      </w:pPr>
      <w:r>
        <w:rPr>
          <w:rFonts w:hint="eastAsia" w:ascii="宋体" w:hAnsi="宋体"/>
          <w:color w:val="auto"/>
          <w:highlight w:val="none"/>
        </w:rPr>
        <w:t>17.6.2 最终结清证书和支付时间</w:t>
      </w:r>
    </w:p>
    <w:p w14:paraId="62B0AC42">
      <w:pPr>
        <w:pStyle w:val="9"/>
        <w:spacing w:line="400" w:lineRule="exact"/>
        <w:ind w:firstLine="420" w:firstLineChars="200"/>
        <w:rPr>
          <w:rFonts w:ascii="宋体" w:hAnsi="宋体"/>
          <w:color w:val="auto"/>
          <w:highlight w:val="none"/>
        </w:rPr>
      </w:pPr>
      <w:r>
        <w:rPr>
          <w:rFonts w:hint="eastAsia" w:ascii="宋体" w:hAnsi="宋体"/>
          <w:color w:val="auto"/>
          <w:highlight w:val="none"/>
        </w:rPr>
        <w:t>（1）监理人收到承包人提交的最终结清申请单后的14天内，提出发包人应支付给承包人的价款送发包人审核并抄送承包人。发包人应在收到后14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p>
    <w:p w14:paraId="1F3FC9D5">
      <w:pPr>
        <w:pStyle w:val="9"/>
        <w:spacing w:line="400" w:lineRule="exact"/>
        <w:ind w:firstLine="420" w:firstLineChars="200"/>
        <w:rPr>
          <w:rFonts w:ascii="宋体" w:hAnsi="宋体"/>
          <w:color w:val="auto"/>
          <w:highlight w:val="none"/>
        </w:rPr>
      </w:pPr>
      <w:r>
        <w:rPr>
          <w:rFonts w:hint="eastAsia" w:ascii="宋体" w:hAnsi="宋体"/>
          <w:color w:val="auto"/>
          <w:highlight w:val="none"/>
        </w:rPr>
        <w:t>（2）发包人应在监理人出具最终结清证书后的14天内，将应支付款支付给承包人。发包人不按期支付的，按第17.3.3（2）目的约定，将逾期付款违约金支付给承包人。</w:t>
      </w:r>
    </w:p>
    <w:p w14:paraId="4E360827">
      <w:pPr>
        <w:pStyle w:val="9"/>
        <w:spacing w:line="400" w:lineRule="exact"/>
        <w:ind w:firstLine="420" w:firstLineChars="200"/>
        <w:rPr>
          <w:rFonts w:ascii="宋体" w:hAnsi="宋体"/>
          <w:color w:val="auto"/>
          <w:highlight w:val="none"/>
        </w:rPr>
      </w:pPr>
      <w:r>
        <w:rPr>
          <w:rFonts w:hint="eastAsia" w:ascii="宋体" w:hAnsi="宋体"/>
          <w:color w:val="auto"/>
          <w:highlight w:val="none"/>
        </w:rPr>
        <w:t>（3）承包人对发包人签认的最终结清证书有异议的，按第24条的约定办理。</w:t>
      </w:r>
    </w:p>
    <w:p w14:paraId="62FC69F1">
      <w:pPr>
        <w:pStyle w:val="9"/>
        <w:spacing w:line="400" w:lineRule="exact"/>
        <w:ind w:firstLine="420" w:firstLineChars="200"/>
        <w:rPr>
          <w:rFonts w:ascii="隶书" w:eastAsia="隶书"/>
          <w:color w:val="auto"/>
          <w:highlight w:val="none"/>
        </w:rPr>
      </w:pPr>
      <w:r>
        <w:rPr>
          <w:rFonts w:hint="eastAsia" w:ascii="宋体" w:hAnsi="宋体"/>
          <w:color w:val="auto"/>
          <w:highlight w:val="none"/>
        </w:rPr>
        <w:t>（4）最终结清付款涉及政府投资资金的，按第17.3.3（４）目的约定办理。</w:t>
      </w:r>
    </w:p>
    <w:p w14:paraId="14DB1D9E">
      <w:pPr>
        <w:pStyle w:val="52"/>
        <w:outlineLvl w:val="2"/>
        <w:rPr>
          <w:color w:val="auto"/>
          <w:highlight w:val="none"/>
        </w:rPr>
      </w:pPr>
      <w:bookmarkStart w:id="460" w:name="_Toc6005"/>
      <w:bookmarkStart w:id="461" w:name="_Toc240967148"/>
      <w:bookmarkStart w:id="462" w:name="_Toc21349"/>
      <w:r>
        <w:rPr>
          <w:rFonts w:hint="eastAsia"/>
          <w:color w:val="auto"/>
          <w:highlight w:val="none"/>
        </w:rPr>
        <w:t>18. 竣工验收</w:t>
      </w:r>
      <w:bookmarkEnd w:id="460"/>
      <w:bookmarkEnd w:id="461"/>
      <w:bookmarkEnd w:id="462"/>
    </w:p>
    <w:p w14:paraId="33948D18">
      <w:pPr>
        <w:pStyle w:val="51"/>
        <w:outlineLvl w:val="3"/>
        <w:rPr>
          <w:color w:val="auto"/>
          <w:highlight w:val="none"/>
        </w:rPr>
      </w:pPr>
      <w:bookmarkStart w:id="463" w:name="_Toc240967149"/>
      <w:bookmarkStart w:id="464" w:name="_Toc5216"/>
      <w:bookmarkStart w:id="465" w:name="_Toc24930"/>
      <w:r>
        <w:rPr>
          <w:rFonts w:hint="eastAsia"/>
          <w:color w:val="auto"/>
          <w:highlight w:val="none"/>
        </w:rPr>
        <w:t>18.1 竣工验收的含义</w:t>
      </w:r>
      <w:bookmarkEnd w:id="463"/>
      <w:bookmarkEnd w:id="464"/>
      <w:bookmarkEnd w:id="465"/>
    </w:p>
    <w:p w14:paraId="5FBA9DC6">
      <w:pPr>
        <w:pStyle w:val="9"/>
        <w:spacing w:line="400" w:lineRule="exact"/>
        <w:ind w:firstLine="420" w:firstLineChars="200"/>
        <w:rPr>
          <w:rFonts w:ascii="宋体" w:hAnsi="宋体"/>
          <w:color w:val="auto"/>
          <w:highlight w:val="none"/>
        </w:rPr>
      </w:pPr>
      <w:r>
        <w:rPr>
          <w:rFonts w:hint="eastAsia" w:ascii="宋体" w:hAnsi="宋体"/>
          <w:color w:val="auto"/>
          <w:highlight w:val="none"/>
        </w:rPr>
        <w:t>18.1.1 竣工验收指承包人完成了全部合同工作后，发包人按合同要求进行的验收。</w:t>
      </w:r>
    </w:p>
    <w:p w14:paraId="05363174">
      <w:pPr>
        <w:pStyle w:val="9"/>
        <w:spacing w:line="400" w:lineRule="exact"/>
        <w:ind w:firstLine="420" w:firstLineChars="200"/>
        <w:rPr>
          <w:rFonts w:ascii="宋体" w:hAnsi="宋体"/>
          <w:color w:val="auto"/>
          <w:highlight w:val="none"/>
        </w:rPr>
      </w:pPr>
      <w:r>
        <w:rPr>
          <w:rFonts w:hint="eastAsia" w:ascii="宋体" w:hAnsi="宋体"/>
          <w:color w:val="auto"/>
          <w:highlight w:val="none"/>
        </w:rPr>
        <w:t>18.1.2 国家验收是政府有关部门根据法律、规范、规程和政策要求，针对发包人全面组织实施的整个工程正式交付投运前的验收。</w:t>
      </w:r>
    </w:p>
    <w:p w14:paraId="5A211D10">
      <w:pPr>
        <w:pStyle w:val="9"/>
        <w:spacing w:line="400" w:lineRule="exact"/>
        <w:ind w:firstLine="420" w:firstLineChars="200"/>
        <w:rPr>
          <w:rFonts w:ascii="宋体" w:hAnsi="宋体"/>
          <w:color w:val="auto"/>
          <w:highlight w:val="none"/>
        </w:rPr>
      </w:pPr>
      <w:r>
        <w:rPr>
          <w:rFonts w:hint="eastAsia" w:ascii="宋体" w:hAnsi="宋体"/>
          <w:color w:val="auto"/>
          <w:highlight w:val="none"/>
        </w:rPr>
        <w:t xml:space="preserve">18.1.3 需要进行国家验收的，竣工验收是国家验收的一部分。竣工验收所采用的各项验收和评定标准应符合国家验收标准。发包人和承包人为竣工验收提供的各项竣工验收资料应符合国家验收的要求。 </w:t>
      </w:r>
    </w:p>
    <w:p w14:paraId="3FC1D313">
      <w:pPr>
        <w:pStyle w:val="51"/>
        <w:outlineLvl w:val="3"/>
        <w:rPr>
          <w:color w:val="auto"/>
          <w:highlight w:val="none"/>
        </w:rPr>
      </w:pPr>
      <w:bookmarkStart w:id="466" w:name="_Toc12762"/>
      <w:bookmarkStart w:id="467" w:name="_Toc240967150"/>
      <w:bookmarkStart w:id="468" w:name="_Toc3505"/>
      <w:r>
        <w:rPr>
          <w:rFonts w:hint="eastAsia"/>
          <w:color w:val="auto"/>
          <w:highlight w:val="none"/>
        </w:rPr>
        <w:t>18.2 竣工验收申请报告</w:t>
      </w:r>
      <w:bookmarkEnd w:id="466"/>
      <w:bookmarkEnd w:id="467"/>
      <w:bookmarkEnd w:id="468"/>
    </w:p>
    <w:p w14:paraId="5DB682C0">
      <w:pPr>
        <w:pStyle w:val="9"/>
        <w:spacing w:line="400" w:lineRule="exact"/>
        <w:ind w:firstLine="420" w:firstLineChars="200"/>
        <w:rPr>
          <w:rFonts w:ascii="宋体" w:hAnsi="宋体"/>
          <w:color w:val="auto"/>
          <w:highlight w:val="none"/>
        </w:rPr>
      </w:pPr>
      <w:r>
        <w:rPr>
          <w:rFonts w:hint="eastAsia" w:ascii="宋体" w:hAnsi="宋体"/>
          <w:color w:val="auto"/>
          <w:highlight w:val="none"/>
        </w:rPr>
        <w:t>当工程具备以下条件时，承包人即可向监理人报送竣工验收申请报告：</w:t>
      </w:r>
    </w:p>
    <w:p w14:paraId="59FDDAB4">
      <w:pPr>
        <w:pStyle w:val="9"/>
        <w:spacing w:line="400" w:lineRule="exact"/>
        <w:ind w:firstLine="420" w:firstLineChars="200"/>
        <w:rPr>
          <w:rFonts w:ascii="宋体" w:hAnsi="宋体"/>
          <w:color w:val="auto"/>
          <w:highlight w:val="none"/>
        </w:rPr>
      </w:pPr>
      <w:r>
        <w:rPr>
          <w:rFonts w:hint="eastAsia" w:ascii="宋体" w:hAnsi="宋体"/>
          <w:color w:val="auto"/>
          <w:highlight w:val="none"/>
        </w:rPr>
        <w:t>（1）除监理人同意列入缺陷责任期内完成的尾工（甩项）工程和缺陷修补工作外，合同范围内的全部单位工程以及有关工作，包括合同要求的试验、试运行以及检验和验收均已完成，并符合合同要求；</w:t>
      </w:r>
    </w:p>
    <w:p w14:paraId="1C1612C7">
      <w:pPr>
        <w:pStyle w:val="9"/>
        <w:spacing w:line="400" w:lineRule="exact"/>
        <w:ind w:firstLine="420" w:firstLineChars="200"/>
        <w:rPr>
          <w:rFonts w:ascii="宋体" w:hAnsi="宋体"/>
          <w:color w:val="auto"/>
          <w:highlight w:val="none"/>
        </w:rPr>
      </w:pPr>
      <w:r>
        <w:rPr>
          <w:rFonts w:hint="eastAsia" w:ascii="宋体" w:hAnsi="宋体"/>
          <w:color w:val="auto"/>
          <w:highlight w:val="none"/>
        </w:rPr>
        <w:t xml:space="preserve">（2）已按合同约定的内容和份数备齐了符合要求的竣工资料； </w:t>
      </w:r>
    </w:p>
    <w:p w14:paraId="2D3AC47D">
      <w:pPr>
        <w:pStyle w:val="9"/>
        <w:spacing w:line="400" w:lineRule="exact"/>
        <w:ind w:firstLine="420" w:firstLineChars="200"/>
        <w:rPr>
          <w:rFonts w:ascii="宋体" w:hAnsi="宋体"/>
          <w:color w:val="auto"/>
          <w:highlight w:val="none"/>
        </w:rPr>
      </w:pPr>
      <w:r>
        <w:rPr>
          <w:rFonts w:hint="eastAsia" w:ascii="宋体" w:hAnsi="宋体"/>
          <w:color w:val="auto"/>
          <w:highlight w:val="none"/>
        </w:rPr>
        <w:t>（3）已按监理人的要求编制了在缺陷责任期内完成的尾工（甩项）工程和缺陷修补工作清单以及相应施工计划；</w:t>
      </w:r>
    </w:p>
    <w:p w14:paraId="6E434014">
      <w:pPr>
        <w:pStyle w:val="9"/>
        <w:spacing w:line="400" w:lineRule="exact"/>
        <w:ind w:firstLine="420" w:firstLineChars="200"/>
        <w:rPr>
          <w:rFonts w:ascii="宋体" w:hAnsi="宋体"/>
          <w:color w:val="auto"/>
          <w:highlight w:val="none"/>
        </w:rPr>
      </w:pPr>
      <w:r>
        <w:rPr>
          <w:rFonts w:hint="eastAsia" w:ascii="宋体" w:hAnsi="宋体"/>
          <w:color w:val="auto"/>
          <w:highlight w:val="none"/>
        </w:rPr>
        <w:t>（4）监理人要求在竣工验收前应完成的其他工作；</w:t>
      </w:r>
    </w:p>
    <w:p w14:paraId="74D361DC">
      <w:pPr>
        <w:pStyle w:val="9"/>
        <w:spacing w:line="400" w:lineRule="exact"/>
        <w:ind w:firstLine="420" w:firstLineChars="200"/>
        <w:rPr>
          <w:rFonts w:ascii="隶书" w:eastAsia="隶书"/>
          <w:color w:val="auto"/>
          <w:highlight w:val="none"/>
        </w:rPr>
      </w:pPr>
      <w:r>
        <w:rPr>
          <w:rFonts w:hint="eastAsia" w:ascii="宋体" w:hAnsi="宋体"/>
          <w:color w:val="auto"/>
          <w:highlight w:val="none"/>
        </w:rPr>
        <w:t>（5）监理人要求提交的竣工验收资料清单。</w:t>
      </w:r>
    </w:p>
    <w:p w14:paraId="4A97633F">
      <w:pPr>
        <w:pStyle w:val="51"/>
        <w:outlineLvl w:val="3"/>
        <w:rPr>
          <w:color w:val="auto"/>
          <w:highlight w:val="none"/>
        </w:rPr>
      </w:pPr>
      <w:bookmarkStart w:id="469" w:name="_Toc240967151"/>
      <w:bookmarkStart w:id="470" w:name="_Toc13274"/>
      <w:bookmarkStart w:id="471" w:name="_Toc27758"/>
      <w:r>
        <w:rPr>
          <w:rFonts w:hint="eastAsia"/>
          <w:color w:val="auto"/>
          <w:highlight w:val="none"/>
        </w:rPr>
        <w:t>18.3 验收</w:t>
      </w:r>
      <w:bookmarkEnd w:id="469"/>
      <w:bookmarkEnd w:id="470"/>
      <w:bookmarkEnd w:id="471"/>
    </w:p>
    <w:p w14:paraId="7B5EFE2D">
      <w:pPr>
        <w:pStyle w:val="9"/>
        <w:spacing w:line="400" w:lineRule="exact"/>
        <w:ind w:firstLine="420" w:firstLineChars="200"/>
        <w:rPr>
          <w:rFonts w:ascii="宋体" w:hAnsi="宋体"/>
          <w:color w:val="auto"/>
          <w:highlight w:val="none"/>
        </w:rPr>
      </w:pPr>
      <w:r>
        <w:rPr>
          <w:rFonts w:hint="eastAsia" w:ascii="宋体" w:hAnsi="宋体"/>
          <w:color w:val="auto"/>
          <w:highlight w:val="none"/>
        </w:rPr>
        <w:t>监理人收到承包人按第18.2款约定提交的竣工验收申请报告后，应审查申请报告的各项内容，并按以下不同情况进行处理。</w:t>
      </w:r>
    </w:p>
    <w:p w14:paraId="295CF0EB">
      <w:pPr>
        <w:pStyle w:val="9"/>
        <w:spacing w:line="400" w:lineRule="exact"/>
        <w:ind w:firstLine="420" w:firstLineChars="200"/>
        <w:rPr>
          <w:rFonts w:ascii="宋体" w:hAnsi="宋体"/>
          <w:color w:val="auto"/>
          <w:highlight w:val="none"/>
        </w:rPr>
      </w:pPr>
      <w:r>
        <w:rPr>
          <w:rFonts w:hint="eastAsia" w:ascii="宋体" w:hAnsi="宋体"/>
          <w:color w:val="auto"/>
          <w:highlight w:val="none"/>
        </w:rPr>
        <w:t>18.3.1 监理人审查后认为尚不具备竣工验收条件的，应在收到竣工验收申请报告后的28天内通知承包人，指出在颁发接收证书前承包人还需进行的工作内容。承包人完成监理人通知的全部工作内容后，应再次提交竣工验收申请报告，直至监理人同意为止。</w:t>
      </w:r>
    </w:p>
    <w:p w14:paraId="548E04D1">
      <w:pPr>
        <w:pStyle w:val="9"/>
        <w:spacing w:line="400" w:lineRule="exact"/>
        <w:ind w:firstLine="420" w:firstLineChars="200"/>
        <w:rPr>
          <w:rFonts w:ascii="宋体" w:hAnsi="宋体"/>
          <w:color w:val="auto"/>
          <w:highlight w:val="none"/>
        </w:rPr>
      </w:pPr>
      <w:r>
        <w:rPr>
          <w:rFonts w:hint="eastAsia" w:ascii="宋体" w:hAnsi="宋体"/>
          <w:color w:val="auto"/>
          <w:highlight w:val="none"/>
        </w:rPr>
        <w:t>18.3.2 监理人审查后认为已具备竣工验收条件的，应在收到竣工验收申请报告后的28天内提请发包人进行工程验收。</w:t>
      </w:r>
    </w:p>
    <w:p w14:paraId="2256CE77">
      <w:pPr>
        <w:pStyle w:val="9"/>
        <w:spacing w:line="400" w:lineRule="exact"/>
        <w:ind w:firstLine="420" w:firstLineChars="200"/>
        <w:rPr>
          <w:rFonts w:ascii="宋体" w:hAnsi="宋体"/>
          <w:color w:val="auto"/>
          <w:highlight w:val="none"/>
        </w:rPr>
      </w:pPr>
      <w:r>
        <w:rPr>
          <w:rFonts w:hint="eastAsia" w:ascii="宋体" w:hAnsi="宋体"/>
          <w:color w:val="auto"/>
          <w:highlight w:val="none"/>
        </w:rPr>
        <w:t>18.3.3发包人经过验收后同意接受工程的，应在监理人收到竣工验收申请报告后的56天内，由监理人向承包人出具经发包人签认的工程接收证书。发包人验收后同意接收工程但提出整修和完善要求的，限期修好，并缓发工程接收证书。整修和完善工作完成后，监理人复查达到要求的，经发包人同意后，再向承包人出具工程接收证书。</w:t>
      </w:r>
    </w:p>
    <w:p w14:paraId="150A77F2">
      <w:pPr>
        <w:pStyle w:val="9"/>
        <w:spacing w:line="400" w:lineRule="exact"/>
        <w:ind w:firstLine="420" w:firstLineChars="200"/>
        <w:rPr>
          <w:rFonts w:ascii="宋体" w:hAnsi="宋体"/>
          <w:color w:val="auto"/>
          <w:highlight w:val="none"/>
        </w:rPr>
      </w:pPr>
      <w:r>
        <w:rPr>
          <w:rFonts w:hint="eastAsia" w:ascii="宋体" w:hAnsi="宋体"/>
          <w:color w:val="auto"/>
          <w:highlight w:val="none"/>
        </w:rPr>
        <w:t>18.3.4 发包人验收后不同意接收工程的，监理人应按照发包人的验收意见发出指示，要求承包人对不合格工程认真返工重作或进行补救处理，并承担由此产生的费用。承包人在完成不合格工程的返工重作或补救工作后，应重新提交竣工验收申请报告，按第18.3.1项、第18.3.2项和第18.3.3项的约定进行。</w:t>
      </w:r>
    </w:p>
    <w:p w14:paraId="0220D019">
      <w:pPr>
        <w:pStyle w:val="9"/>
        <w:spacing w:line="400" w:lineRule="exact"/>
        <w:ind w:firstLine="420" w:firstLineChars="200"/>
        <w:rPr>
          <w:rFonts w:ascii="宋体" w:hAnsi="宋体"/>
          <w:color w:val="auto"/>
          <w:highlight w:val="none"/>
        </w:rPr>
      </w:pPr>
      <w:r>
        <w:rPr>
          <w:rFonts w:hint="eastAsia" w:ascii="宋体" w:hAnsi="宋体"/>
          <w:color w:val="auto"/>
          <w:highlight w:val="none"/>
        </w:rPr>
        <w:t>18.3.5 除专用合同条款另有约定外，经验收合格工程的实际竣工日期，以提交竣工验收申请报告的日期为准，并在工程接收证书中写明。</w:t>
      </w:r>
    </w:p>
    <w:p w14:paraId="148692AB">
      <w:pPr>
        <w:pStyle w:val="9"/>
        <w:spacing w:line="400" w:lineRule="exact"/>
        <w:ind w:firstLine="420" w:firstLineChars="200"/>
        <w:rPr>
          <w:rFonts w:ascii="隶书" w:eastAsia="隶书"/>
          <w:color w:val="auto"/>
          <w:highlight w:val="none"/>
        </w:rPr>
      </w:pPr>
      <w:r>
        <w:rPr>
          <w:rFonts w:hint="eastAsia" w:ascii="宋体" w:hAnsi="宋体"/>
          <w:color w:val="auto"/>
          <w:highlight w:val="none"/>
        </w:rPr>
        <w:t>18.3.6 发包人在收到承包人竣工验收申请报告56天后未进行验收的，视为验收合格，实际竣工日期以提交竣工验收申请报告的日期为准，但发包人由于不可抗力不能进行验收的除外。</w:t>
      </w:r>
    </w:p>
    <w:p w14:paraId="0E7967F9">
      <w:pPr>
        <w:pStyle w:val="51"/>
        <w:outlineLvl w:val="3"/>
        <w:rPr>
          <w:color w:val="auto"/>
          <w:highlight w:val="none"/>
        </w:rPr>
      </w:pPr>
      <w:bookmarkStart w:id="472" w:name="_Toc24427"/>
      <w:bookmarkStart w:id="473" w:name="_Toc27521"/>
      <w:bookmarkStart w:id="474" w:name="_Toc240967152"/>
      <w:r>
        <w:rPr>
          <w:rFonts w:hint="eastAsia"/>
          <w:color w:val="auto"/>
          <w:highlight w:val="none"/>
        </w:rPr>
        <w:t>18.4 单位工程验收</w:t>
      </w:r>
      <w:bookmarkEnd w:id="472"/>
      <w:bookmarkEnd w:id="473"/>
      <w:bookmarkEnd w:id="474"/>
    </w:p>
    <w:p w14:paraId="32C9D0B9">
      <w:pPr>
        <w:pStyle w:val="9"/>
        <w:spacing w:line="400" w:lineRule="exact"/>
        <w:ind w:firstLine="420" w:firstLineChars="200"/>
        <w:rPr>
          <w:rFonts w:ascii="宋体" w:hAnsi="宋体"/>
          <w:color w:val="auto"/>
          <w:highlight w:val="none"/>
        </w:rPr>
      </w:pPr>
      <w:r>
        <w:rPr>
          <w:rFonts w:hint="eastAsia" w:ascii="宋体" w:hAnsi="宋体"/>
          <w:color w:val="auto"/>
          <w:highlight w:val="none"/>
        </w:rPr>
        <w:t>18.4.1 发包人根据合同进度计划安排，在全部工程竣工前需要使用已经竣工的单位工程时，或承包人提出经发包人同意时，可进行单位工程验收。验收的程序可参照第18.2款与第18.3款的约定进行。验收合格后，由监理人向承包人出具经发包人签认的单位工程验收证书。已签发单位工程接收证书的单位工程由发包人负责照管。单位工程的验收成果和结论作为全部工程竣工验收申请报告的附件。</w:t>
      </w:r>
    </w:p>
    <w:p w14:paraId="318AFE0E">
      <w:pPr>
        <w:pStyle w:val="9"/>
        <w:spacing w:line="400" w:lineRule="exact"/>
        <w:ind w:firstLine="420" w:firstLineChars="200"/>
        <w:rPr>
          <w:rFonts w:ascii="宋体" w:hAnsi="宋体"/>
          <w:color w:val="auto"/>
          <w:highlight w:val="none"/>
        </w:rPr>
      </w:pPr>
      <w:r>
        <w:rPr>
          <w:rFonts w:hint="eastAsia" w:ascii="宋体" w:hAnsi="宋体"/>
          <w:color w:val="auto"/>
          <w:highlight w:val="none"/>
        </w:rPr>
        <w:t>18.4.2 发包人在全部工程竣工前，使用已接收的单位工程导致承包人费用增加的，发包人应承担由此增加的费用和（或）工期延误，并支付承包人合理利润。</w:t>
      </w:r>
    </w:p>
    <w:p w14:paraId="7D469133">
      <w:pPr>
        <w:pStyle w:val="51"/>
        <w:outlineLvl w:val="3"/>
        <w:rPr>
          <w:color w:val="auto"/>
          <w:highlight w:val="none"/>
        </w:rPr>
      </w:pPr>
      <w:bookmarkStart w:id="475" w:name="_Toc25806"/>
      <w:bookmarkStart w:id="476" w:name="_Toc27205"/>
      <w:bookmarkStart w:id="477" w:name="_Toc240967153"/>
      <w:r>
        <w:rPr>
          <w:rFonts w:hint="eastAsia"/>
          <w:color w:val="auto"/>
          <w:highlight w:val="none"/>
        </w:rPr>
        <w:t>18.5 施工期运行</w:t>
      </w:r>
      <w:bookmarkEnd w:id="475"/>
      <w:bookmarkEnd w:id="476"/>
      <w:bookmarkEnd w:id="477"/>
    </w:p>
    <w:p w14:paraId="750EAD60">
      <w:pPr>
        <w:pStyle w:val="9"/>
        <w:spacing w:line="400" w:lineRule="exact"/>
        <w:ind w:firstLine="420" w:firstLineChars="200"/>
        <w:rPr>
          <w:rFonts w:ascii="宋体" w:hAnsi="宋体"/>
          <w:color w:val="auto"/>
          <w:highlight w:val="none"/>
        </w:rPr>
      </w:pPr>
      <w:r>
        <w:rPr>
          <w:rFonts w:hint="eastAsia" w:ascii="宋体" w:hAnsi="宋体"/>
          <w:color w:val="auto"/>
          <w:highlight w:val="none"/>
        </w:rPr>
        <w:t>18.5.1 施工期运行是指合同工程尚未全部竣工，其中某项或某几项单位工程或工程设备安装已竣工，根据专用合同条款约定，需要投入施工期运行的，经发包人按第18.4款的约定验收合格，证明能确保安全后，才能在施工期投入运行。</w:t>
      </w:r>
    </w:p>
    <w:p w14:paraId="591BAC7B">
      <w:pPr>
        <w:pStyle w:val="9"/>
        <w:spacing w:line="400" w:lineRule="exact"/>
        <w:ind w:firstLine="420" w:firstLineChars="200"/>
        <w:rPr>
          <w:rFonts w:ascii="宋体" w:hAnsi="宋体"/>
          <w:color w:val="auto"/>
          <w:highlight w:val="none"/>
        </w:rPr>
      </w:pPr>
      <w:r>
        <w:rPr>
          <w:rFonts w:hint="eastAsia" w:ascii="宋体" w:hAnsi="宋体"/>
          <w:color w:val="auto"/>
          <w:highlight w:val="none"/>
        </w:rPr>
        <w:t>18.5.2 在施工期运行中发现工程或工程设备损坏或存在缺陷的，由承包人按第19.2款约定进行修复。</w:t>
      </w:r>
    </w:p>
    <w:p w14:paraId="5C1B8B64">
      <w:pPr>
        <w:pStyle w:val="51"/>
        <w:outlineLvl w:val="3"/>
        <w:rPr>
          <w:color w:val="auto"/>
          <w:highlight w:val="none"/>
        </w:rPr>
      </w:pPr>
      <w:bookmarkStart w:id="478" w:name="_Toc10746"/>
      <w:bookmarkStart w:id="479" w:name="_Toc240967154"/>
      <w:bookmarkStart w:id="480" w:name="_Toc19599"/>
      <w:r>
        <w:rPr>
          <w:rFonts w:hint="eastAsia"/>
          <w:color w:val="auto"/>
          <w:highlight w:val="none"/>
        </w:rPr>
        <w:t>18.6 试运行</w:t>
      </w:r>
      <w:bookmarkEnd w:id="478"/>
      <w:bookmarkEnd w:id="479"/>
      <w:bookmarkEnd w:id="480"/>
    </w:p>
    <w:p w14:paraId="00BA1817">
      <w:pPr>
        <w:pStyle w:val="9"/>
        <w:spacing w:line="400" w:lineRule="exact"/>
        <w:ind w:firstLine="420" w:firstLineChars="200"/>
        <w:rPr>
          <w:rFonts w:ascii="宋体" w:hAnsi="宋体"/>
          <w:color w:val="auto"/>
          <w:highlight w:val="none"/>
        </w:rPr>
      </w:pPr>
      <w:r>
        <w:rPr>
          <w:rFonts w:hint="eastAsia" w:ascii="宋体" w:hAnsi="宋体"/>
          <w:color w:val="auto"/>
          <w:highlight w:val="none"/>
        </w:rPr>
        <w:t>18.6.1 除专用合同条款另有约定外，承包人应按专用合同条款约定进行工程及工程设备试运行，负责提供试运行所需的人员、器材和必要的条件，并承担全部试运行费用。</w:t>
      </w:r>
    </w:p>
    <w:p w14:paraId="0BE2A52E">
      <w:pPr>
        <w:pStyle w:val="9"/>
        <w:spacing w:line="400" w:lineRule="exact"/>
        <w:ind w:firstLine="420" w:firstLineChars="200"/>
        <w:rPr>
          <w:rFonts w:ascii="宋体" w:hAnsi="宋体"/>
          <w:color w:val="auto"/>
          <w:highlight w:val="none"/>
        </w:rPr>
      </w:pPr>
      <w:r>
        <w:rPr>
          <w:rFonts w:hint="eastAsia" w:ascii="宋体" w:hAnsi="宋体"/>
          <w:color w:val="auto"/>
          <w:highlight w:val="none"/>
        </w:rPr>
        <w:t>18.6.2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14:paraId="704710CE">
      <w:pPr>
        <w:pStyle w:val="51"/>
        <w:outlineLvl w:val="3"/>
        <w:rPr>
          <w:color w:val="auto"/>
          <w:highlight w:val="none"/>
        </w:rPr>
      </w:pPr>
      <w:bookmarkStart w:id="481" w:name="_Toc26371"/>
      <w:bookmarkStart w:id="482" w:name="_Toc240967155"/>
      <w:bookmarkStart w:id="483" w:name="_Toc15616"/>
      <w:r>
        <w:rPr>
          <w:rFonts w:hint="eastAsia"/>
          <w:color w:val="auto"/>
          <w:highlight w:val="none"/>
        </w:rPr>
        <w:t>18.7 竣工清场</w:t>
      </w:r>
      <w:bookmarkEnd w:id="481"/>
      <w:bookmarkEnd w:id="482"/>
      <w:bookmarkEnd w:id="483"/>
    </w:p>
    <w:p w14:paraId="5DAF8C90">
      <w:pPr>
        <w:pStyle w:val="9"/>
        <w:spacing w:line="400" w:lineRule="exact"/>
        <w:ind w:firstLine="420" w:firstLineChars="200"/>
        <w:rPr>
          <w:rFonts w:ascii="宋体" w:hAnsi="宋体"/>
          <w:color w:val="auto"/>
          <w:highlight w:val="none"/>
        </w:rPr>
      </w:pPr>
      <w:r>
        <w:rPr>
          <w:rFonts w:hint="eastAsia" w:ascii="宋体" w:hAnsi="宋体"/>
          <w:color w:val="auto"/>
          <w:highlight w:val="none"/>
        </w:rPr>
        <w:t>18.7.1 除合同另有约定外，工程接收证书颁发后，承包人应按以下要求对施工场地进行清理，直至监理人检验合格为止。竣工清场费用由承包人承担。</w:t>
      </w:r>
    </w:p>
    <w:p w14:paraId="4B95AF15">
      <w:pPr>
        <w:pStyle w:val="9"/>
        <w:spacing w:line="400" w:lineRule="exact"/>
        <w:ind w:firstLine="420" w:firstLineChars="200"/>
        <w:rPr>
          <w:rFonts w:ascii="宋体" w:hAnsi="宋体"/>
          <w:color w:val="auto"/>
          <w:highlight w:val="none"/>
        </w:rPr>
      </w:pPr>
      <w:r>
        <w:rPr>
          <w:rFonts w:hint="eastAsia" w:ascii="宋体" w:hAnsi="宋体"/>
          <w:color w:val="auto"/>
          <w:highlight w:val="none"/>
        </w:rPr>
        <w:t>（1）施工场地内残留的垃圾已全部清除出场；</w:t>
      </w:r>
    </w:p>
    <w:p w14:paraId="199CFBEC">
      <w:pPr>
        <w:pStyle w:val="9"/>
        <w:spacing w:line="400" w:lineRule="exact"/>
        <w:ind w:firstLine="420" w:firstLineChars="200"/>
        <w:rPr>
          <w:rFonts w:ascii="宋体" w:hAnsi="宋体"/>
          <w:color w:val="auto"/>
          <w:highlight w:val="none"/>
        </w:rPr>
      </w:pPr>
      <w:r>
        <w:rPr>
          <w:rFonts w:hint="eastAsia" w:ascii="宋体" w:hAnsi="宋体"/>
          <w:color w:val="auto"/>
          <w:highlight w:val="none"/>
        </w:rPr>
        <w:t>（2）临时工程已拆除，场地已按合同要求进行清理、平整或复原；</w:t>
      </w:r>
    </w:p>
    <w:p w14:paraId="47BCA7ED">
      <w:pPr>
        <w:pStyle w:val="9"/>
        <w:spacing w:line="400" w:lineRule="exact"/>
        <w:ind w:firstLine="420" w:firstLineChars="200"/>
        <w:rPr>
          <w:rFonts w:ascii="宋体" w:hAnsi="宋体"/>
          <w:color w:val="auto"/>
          <w:highlight w:val="none"/>
        </w:rPr>
      </w:pPr>
      <w:r>
        <w:rPr>
          <w:rFonts w:hint="eastAsia" w:ascii="宋体" w:hAnsi="宋体"/>
          <w:color w:val="auto"/>
          <w:highlight w:val="none"/>
        </w:rPr>
        <w:t>（3）按合同约定应撤离的承包人设备和剩余的材料，包括废弃的施工设备和材料，已按计划撤离施工场地；</w:t>
      </w:r>
    </w:p>
    <w:p w14:paraId="2DF282CB">
      <w:pPr>
        <w:pStyle w:val="9"/>
        <w:spacing w:line="400" w:lineRule="exact"/>
        <w:ind w:firstLine="420" w:firstLineChars="200"/>
        <w:rPr>
          <w:rFonts w:ascii="宋体" w:hAnsi="宋体"/>
          <w:color w:val="auto"/>
          <w:highlight w:val="none"/>
        </w:rPr>
      </w:pPr>
      <w:r>
        <w:rPr>
          <w:rFonts w:hint="eastAsia" w:ascii="宋体" w:hAnsi="宋体"/>
          <w:color w:val="auto"/>
          <w:highlight w:val="none"/>
        </w:rPr>
        <w:t>（4）工程建筑物周边及其附近道路、河道的施工堆积物，已按监理人指示全部清理；</w:t>
      </w:r>
    </w:p>
    <w:p w14:paraId="2B511FA5">
      <w:pPr>
        <w:pStyle w:val="9"/>
        <w:spacing w:line="400" w:lineRule="exact"/>
        <w:ind w:firstLine="420" w:firstLineChars="200"/>
        <w:rPr>
          <w:rFonts w:ascii="宋体" w:hAnsi="宋体"/>
          <w:color w:val="auto"/>
          <w:highlight w:val="none"/>
        </w:rPr>
      </w:pPr>
      <w:r>
        <w:rPr>
          <w:rFonts w:hint="eastAsia" w:ascii="宋体" w:hAnsi="宋体"/>
          <w:color w:val="auto"/>
          <w:highlight w:val="none"/>
        </w:rPr>
        <w:t>（5）监理人指示的其他场地清理工作已全部完成。</w:t>
      </w:r>
    </w:p>
    <w:p w14:paraId="0DC986A3">
      <w:pPr>
        <w:pStyle w:val="9"/>
        <w:spacing w:line="400" w:lineRule="exact"/>
        <w:ind w:firstLine="420" w:firstLineChars="200"/>
        <w:rPr>
          <w:rFonts w:ascii="宋体" w:hAnsi="宋体"/>
          <w:color w:val="auto"/>
          <w:highlight w:val="none"/>
        </w:rPr>
      </w:pPr>
      <w:r>
        <w:rPr>
          <w:rFonts w:hint="eastAsia" w:ascii="宋体" w:hAnsi="宋体"/>
          <w:color w:val="auto"/>
          <w:highlight w:val="none"/>
        </w:rPr>
        <w:t>18.7.2 承包人未按监理人的要求恢复临时占地，或者场地清理未达到合同约定的，发包人有权委托其他人恢复或清理，所发生的金额从拟支付给承包人的款项中扣除。</w:t>
      </w:r>
    </w:p>
    <w:p w14:paraId="01C2EC1C">
      <w:pPr>
        <w:pStyle w:val="51"/>
        <w:outlineLvl w:val="3"/>
        <w:rPr>
          <w:color w:val="auto"/>
          <w:highlight w:val="none"/>
        </w:rPr>
      </w:pPr>
      <w:bookmarkStart w:id="484" w:name="_Toc240967156"/>
      <w:bookmarkStart w:id="485" w:name="_Toc19583"/>
      <w:bookmarkStart w:id="486" w:name="_Toc9373"/>
      <w:r>
        <w:rPr>
          <w:rFonts w:hint="eastAsia"/>
          <w:color w:val="auto"/>
          <w:highlight w:val="none"/>
        </w:rPr>
        <w:t>18.8 施工队伍的撤离</w:t>
      </w:r>
      <w:bookmarkEnd w:id="484"/>
      <w:bookmarkEnd w:id="485"/>
      <w:bookmarkEnd w:id="486"/>
    </w:p>
    <w:p w14:paraId="27FBDF67">
      <w:pPr>
        <w:pStyle w:val="9"/>
        <w:spacing w:line="400" w:lineRule="exact"/>
        <w:ind w:firstLine="420" w:firstLineChars="200"/>
        <w:rPr>
          <w:rFonts w:ascii="宋体" w:hAnsi="宋体"/>
          <w:color w:val="auto"/>
          <w:highlight w:val="none"/>
        </w:rPr>
      </w:pPr>
      <w:r>
        <w:rPr>
          <w:rFonts w:hint="eastAsia" w:ascii="宋体" w:hAnsi="宋体"/>
          <w:color w:val="auto"/>
          <w:highlight w:val="none"/>
        </w:rPr>
        <w:t>工程接收证书颁发后的56天内，除了经监理人同意需在缺陷责任期内继续工作和使用的人员、施工设备和临时工程外，其余的人员、施工设备和临时工程均应撤离施工场地或拆除。除合同另有约定外，缺陷责任期满时，承包人的人员和施工设备应全部撤离施工场地。</w:t>
      </w:r>
    </w:p>
    <w:p w14:paraId="2379FE13">
      <w:pPr>
        <w:pStyle w:val="52"/>
        <w:outlineLvl w:val="2"/>
        <w:rPr>
          <w:color w:val="auto"/>
          <w:highlight w:val="none"/>
        </w:rPr>
      </w:pPr>
      <w:bookmarkStart w:id="487" w:name="_Toc240967157"/>
      <w:bookmarkStart w:id="488" w:name="_Toc13249"/>
      <w:bookmarkStart w:id="489" w:name="_Toc4637"/>
      <w:r>
        <w:rPr>
          <w:rFonts w:hint="eastAsia"/>
          <w:color w:val="auto"/>
          <w:highlight w:val="none"/>
        </w:rPr>
        <w:t>19. 缺陷责任与保修责任</w:t>
      </w:r>
      <w:bookmarkEnd w:id="487"/>
      <w:bookmarkEnd w:id="488"/>
      <w:bookmarkEnd w:id="489"/>
    </w:p>
    <w:p w14:paraId="70EEE043">
      <w:pPr>
        <w:pStyle w:val="51"/>
        <w:outlineLvl w:val="3"/>
        <w:rPr>
          <w:color w:val="auto"/>
          <w:highlight w:val="none"/>
        </w:rPr>
      </w:pPr>
      <w:bookmarkStart w:id="490" w:name="_Toc240967158"/>
      <w:bookmarkStart w:id="491" w:name="_Toc21548"/>
      <w:bookmarkStart w:id="492" w:name="_Toc2405"/>
      <w:r>
        <w:rPr>
          <w:rFonts w:hint="eastAsia"/>
          <w:color w:val="auto"/>
          <w:highlight w:val="none"/>
        </w:rPr>
        <w:t>19.1 缺陷责任期的起算时间</w:t>
      </w:r>
      <w:bookmarkEnd w:id="490"/>
      <w:bookmarkEnd w:id="491"/>
      <w:bookmarkEnd w:id="492"/>
    </w:p>
    <w:p w14:paraId="4AE5A431">
      <w:pPr>
        <w:pStyle w:val="9"/>
        <w:spacing w:line="400" w:lineRule="exact"/>
        <w:ind w:firstLine="420" w:firstLineChars="200"/>
        <w:rPr>
          <w:rFonts w:ascii="宋体" w:hAnsi="宋体"/>
          <w:color w:val="auto"/>
          <w:highlight w:val="none"/>
        </w:rPr>
      </w:pPr>
      <w:r>
        <w:rPr>
          <w:rFonts w:hint="eastAsia" w:ascii="宋体" w:hAnsi="宋体"/>
          <w:color w:val="auto"/>
          <w:highlight w:val="none"/>
        </w:rPr>
        <w:t>缺陷责任期自实际交工日期起计算。在全部工程竣工验收前，已经发包人提前验收的单位工程，其缺陷责任期的起算日期相应提前。</w:t>
      </w:r>
    </w:p>
    <w:p w14:paraId="15706C3E">
      <w:pPr>
        <w:pStyle w:val="51"/>
        <w:outlineLvl w:val="3"/>
        <w:rPr>
          <w:color w:val="auto"/>
          <w:highlight w:val="none"/>
        </w:rPr>
      </w:pPr>
      <w:bookmarkStart w:id="493" w:name="_Toc240967159"/>
      <w:bookmarkStart w:id="494" w:name="_Toc3106"/>
      <w:bookmarkStart w:id="495" w:name="_Toc27140"/>
      <w:r>
        <w:rPr>
          <w:rFonts w:hint="eastAsia"/>
          <w:color w:val="auto"/>
          <w:highlight w:val="none"/>
        </w:rPr>
        <w:t>19.2 缺陷责任</w:t>
      </w:r>
      <w:bookmarkEnd w:id="493"/>
      <w:bookmarkEnd w:id="494"/>
      <w:bookmarkEnd w:id="495"/>
    </w:p>
    <w:p w14:paraId="50C6AA33">
      <w:pPr>
        <w:pStyle w:val="9"/>
        <w:spacing w:line="400" w:lineRule="exact"/>
        <w:ind w:firstLine="420" w:firstLineChars="200"/>
        <w:rPr>
          <w:rFonts w:ascii="宋体" w:hAnsi="宋体"/>
          <w:color w:val="auto"/>
          <w:highlight w:val="none"/>
        </w:rPr>
      </w:pPr>
      <w:r>
        <w:rPr>
          <w:rFonts w:hint="eastAsia" w:ascii="宋体" w:hAnsi="宋体"/>
          <w:color w:val="auto"/>
          <w:highlight w:val="none"/>
        </w:rPr>
        <w:t>19.2.1 承包人应在缺陷责任期内对已交付使用的工程承担缺陷责任。</w:t>
      </w:r>
    </w:p>
    <w:p w14:paraId="10CD5F65">
      <w:pPr>
        <w:pStyle w:val="9"/>
        <w:spacing w:line="400" w:lineRule="exact"/>
        <w:ind w:firstLine="420" w:firstLineChars="200"/>
        <w:rPr>
          <w:rFonts w:ascii="宋体" w:hAnsi="宋体"/>
          <w:color w:val="auto"/>
          <w:highlight w:val="none"/>
        </w:rPr>
      </w:pPr>
      <w:r>
        <w:rPr>
          <w:rFonts w:hint="eastAsia" w:ascii="宋体" w:hAnsi="宋体"/>
          <w:color w:val="auto"/>
          <w:highlight w:val="none"/>
        </w:rPr>
        <w:t>19.2.2 缺陷责任期内，发包人对已接收使用的工程负责日常维护工作。发包人在使用过程中，发现已接收的工程存在新的缺陷或已修复的缺陷部位或部件又遭损坏的，承包人应负责修复，直至检验合格为止。</w:t>
      </w:r>
    </w:p>
    <w:p w14:paraId="51321CF7">
      <w:pPr>
        <w:pStyle w:val="9"/>
        <w:spacing w:line="400" w:lineRule="exact"/>
        <w:ind w:firstLine="420" w:firstLineChars="200"/>
        <w:rPr>
          <w:rFonts w:ascii="宋体" w:hAnsi="宋体"/>
          <w:color w:val="auto"/>
          <w:highlight w:val="none"/>
        </w:rPr>
      </w:pPr>
      <w:r>
        <w:rPr>
          <w:rFonts w:hint="eastAsia" w:ascii="宋体" w:hAnsi="宋体"/>
          <w:color w:val="auto"/>
          <w:highlight w:val="none"/>
        </w:rPr>
        <w:t>19.2.3 监理人和承包人应共同查清缺陷和（或）损坏的原因。经查明属承包人原因造成的，应由承包人承担修复和查验的费用。经查验属发包人原因造成的，发包人应承担修复和查验的费用，并支付承包人合理利润。</w:t>
      </w:r>
    </w:p>
    <w:p w14:paraId="23DC9B1F">
      <w:pPr>
        <w:pStyle w:val="9"/>
        <w:spacing w:line="400" w:lineRule="exact"/>
        <w:ind w:firstLine="420" w:firstLineChars="200"/>
        <w:rPr>
          <w:rFonts w:ascii="宋体" w:hAnsi="宋体"/>
          <w:color w:val="auto"/>
          <w:highlight w:val="none"/>
        </w:rPr>
      </w:pPr>
      <w:r>
        <w:rPr>
          <w:rFonts w:hint="eastAsia" w:ascii="宋体" w:hAnsi="宋体"/>
          <w:color w:val="auto"/>
          <w:highlight w:val="none"/>
        </w:rPr>
        <w:t>19.2.4 承包人不能在合理时间内修复缺陷的，发包人可自行修复或委托其他人修复，所需费用和利润的承担，按第19.2.3项约定办理。</w:t>
      </w:r>
    </w:p>
    <w:p w14:paraId="5B64AAC2">
      <w:pPr>
        <w:pStyle w:val="51"/>
        <w:outlineLvl w:val="3"/>
        <w:rPr>
          <w:color w:val="auto"/>
          <w:highlight w:val="none"/>
        </w:rPr>
      </w:pPr>
      <w:bookmarkStart w:id="496" w:name="_Toc240967160"/>
      <w:bookmarkStart w:id="497" w:name="_Toc5667"/>
      <w:bookmarkStart w:id="498" w:name="_Toc4701"/>
      <w:r>
        <w:rPr>
          <w:rFonts w:hint="eastAsia"/>
          <w:color w:val="auto"/>
          <w:highlight w:val="none"/>
        </w:rPr>
        <w:t>19.3 缺陷责任期的延长</w:t>
      </w:r>
      <w:bookmarkEnd w:id="496"/>
      <w:bookmarkEnd w:id="497"/>
      <w:bookmarkEnd w:id="498"/>
    </w:p>
    <w:p w14:paraId="747FD5B6">
      <w:pPr>
        <w:pStyle w:val="9"/>
        <w:spacing w:line="400" w:lineRule="exact"/>
        <w:ind w:firstLine="420" w:firstLineChars="200"/>
        <w:rPr>
          <w:rFonts w:ascii="隶书" w:eastAsia="隶书"/>
          <w:color w:val="auto"/>
          <w:highlight w:val="none"/>
        </w:rPr>
      </w:pPr>
      <w:r>
        <w:rPr>
          <w:rFonts w:hint="eastAsia" w:ascii="宋体" w:hAnsi="宋体"/>
          <w:color w:val="auto"/>
          <w:highlight w:val="none"/>
        </w:rPr>
        <w:t>由于承包人原因造成某项缺陷或损坏使某项工程或工程设备不能按原定目标使用而需要再次检查、检验和修复的，发包人有权要求承包人相应延长缺陷责任期，但缺陷责任期最长不超过2年。</w:t>
      </w:r>
    </w:p>
    <w:p w14:paraId="53FFAA82">
      <w:pPr>
        <w:pStyle w:val="51"/>
        <w:outlineLvl w:val="3"/>
        <w:rPr>
          <w:color w:val="auto"/>
          <w:highlight w:val="none"/>
        </w:rPr>
      </w:pPr>
      <w:bookmarkStart w:id="499" w:name="_Toc4094"/>
      <w:bookmarkStart w:id="500" w:name="_Toc15299"/>
      <w:bookmarkStart w:id="501" w:name="_Toc240967161"/>
      <w:r>
        <w:rPr>
          <w:rFonts w:hint="eastAsia"/>
          <w:color w:val="auto"/>
          <w:highlight w:val="none"/>
        </w:rPr>
        <w:t>19.4 进一步试验和试运行</w:t>
      </w:r>
      <w:bookmarkEnd w:id="499"/>
      <w:bookmarkEnd w:id="500"/>
      <w:bookmarkEnd w:id="501"/>
    </w:p>
    <w:p w14:paraId="3923F391">
      <w:pPr>
        <w:pStyle w:val="9"/>
        <w:spacing w:line="400" w:lineRule="exact"/>
        <w:ind w:firstLine="420" w:firstLineChars="200"/>
        <w:rPr>
          <w:rFonts w:ascii="宋体" w:hAnsi="宋体"/>
          <w:color w:val="auto"/>
          <w:highlight w:val="none"/>
        </w:rPr>
      </w:pPr>
      <w:r>
        <w:rPr>
          <w:rFonts w:hint="eastAsia" w:ascii="宋体" w:hAnsi="宋体"/>
          <w:color w:val="auto"/>
          <w:highlight w:val="none"/>
        </w:rPr>
        <w:t>任何一项缺陷或损坏修复后，经检查证明其影响了工程或工程设备的使用性能，承包人应重新进行合同约定的试验和试运行，试验和试运行的全部费用应由责任方承担。</w:t>
      </w:r>
    </w:p>
    <w:p w14:paraId="2520D056">
      <w:pPr>
        <w:pStyle w:val="51"/>
        <w:outlineLvl w:val="3"/>
        <w:rPr>
          <w:color w:val="auto"/>
          <w:highlight w:val="none"/>
        </w:rPr>
      </w:pPr>
      <w:bookmarkStart w:id="502" w:name="_Toc4662"/>
      <w:bookmarkStart w:id="503" w:name="_Toc5373"/>
      <w:bookmarkStart w:id="504" w:name="_Toc240967162"/>
      <w:r>
        <w:rPr>
          <w:rFonts w:hint="eastAsia"/>
          <w:color w:val="auto"/>
          <w:highlight w:val="none"/>
        </w:rPr>
        <w:t>19.5 承包人的进入权</w:t>
      </w:r>
      <w:bookmarkEnd w:id="502"/>
      <w:bookmarkEnd w:id="503"/>
      <w:bookmarkEnd w:id="504"/>
    </w:p>
    <w:p w14:paraId="54AFB522">
      <w:pPr>
        <w:pStyle w:val="9"/>
        <w:spacing w:line="400" w:lineRule="exact"/>
        <w:ind w:firstLine="420" w:firstLineChars="200"/>
        <w:rPr>
          <w:rFonts w:ascii="宋体" w:hAnsi="宋体"/>
          <w:color w:val="auto"/>
          <w:highlight w:val="none"/>
        </w:rPr>
      </w:pPr>
      <w:r>
        <w:rPr>
          <w:rFonts w:hint="eastAsia" w:ascii="宋体" w:hAnsi="宋体"/>
          <w:color w:val="auto"/>
          <w:highlight w:val="none"/>
        </w:rPr>
        <w:t>缺陷责任期内承包人为缺陷修复工作需要，有权进入工程现场，但应遵守发包人的保安和保密规定。</w:t>
      </w:r>
    </w:p>
    <w:p w14:paraId="266C7EB5">
      <w:pPr>
        <w:pStyle w:val="51"/>
        <w:outlineLvl w:val="3"/>
        <w:rPr>
          <w:color w:val="auto"/>
          <w:highlight w:val="none"/>
        </w:rPr>
      </w:pPr>
      <w:bookmarkStart w:id="505" w:name="_Toc240967163"/>
      <w:bookmarkStart w:id="506" w:name="_Toc11260"/>
      <w:bookmarkStart w:id="507" w:name="_Toc15588"/>
      <w:r>
        <w:rPr>
          <w:rFonts w:hint="eastAsia"/>
          <w:color w:val="auto"/>
          <w:highlight w:val="none"/>
        </w:rPr>
        <w:t>19.6 缺陷责任期终止证书</w:t>
      </w:r>
      <w:bookmarkEnd w:id="505"/>
      <w:bookmarkEnd w:id="506"/>
      <w:bookmarkEnd w:id="507"/>
    </w:p>
    <w:p w14:paraId="7F16F20A">
      <w:pPr>
        <w:pStyle w:val="9"/>
        <w:spacing w:line="400" w:lineRule="exact"/>
        <w:ind w:firstLine="420" w:firstLineChars="200"/>
        <w:rPr>
          <w:rFonts w:ascii="宋体" w:hAnsi="宋体"/>
          <w:color w:val="auto"/>
          <w:highlight w:val="none"/>
        </w:rPr>
      </w:pPr>
      <w:r>
        <w:rPr>
          <w:rFonts w:hint="eastAsia" w:ascii="宋体" w:hAnsi="宋体"/>
          <w:color w:val="auto"/>
          <w:highlight w:val="none"/>
        </w:rPr>
        <w:t>在第1.1.4.5目约定的缺陷责任期，包括根据第19.3款延长的期限终止后14天内，由监理人向承包人出具经发包人签认的缺陷责任期终止证书，并退还剩余的质量保证金。</w:t>
      </w:r>
    </w:p>
    <w:p w14:paraId="2D16F1C1">
      <w:pPr>
        <w:pStyle w:val="51"/>
        <w:outlineLvl w:val="3"/>
        <w:rPr>
          <w:color w:val="auto"/>
          <w:highlight w:val="none"/>
        </w:rPr>
      </w:pPr>
      <w:bookmarkStart w:id="508" w:name="_Toc22059"/>
      <w:bookmarkStart w:id="509" w:name="_Toc26312"/>
      <w:bookmarkStart w:id="510" w:name="_Toc240967164"/>
      <w:r>
        <w:rPr>
          <w:rFonts w:hint="eastAsia"/>
          <w:color w:val="auto"/>
          <w:highlight w:val="none"/>
        </w:rPr>
        <w:t>19.7 保修责任</w:t>
      </w:r>
      <w:bookmarkEnd w:id="508"/>
      <w:bookmarkEnd w:id="509"/>
      <w:bookmarkEnd w:id="510"/>
    </w:p>
    <w:p w14:paraId="4B326158">
      <w:pPr>
        <w:pStyle w:val="9"/>
        <w:spacing w:line="400" w:lineRule="exact"/>
        <w:ind w:firstLine="420" w:firstLineChars="200"/>
        <w:rPr>
          <w:rFonts w:ascii="隶书" w:eastAsia="隶书"/>
          <w:color w:val="auto"/>
          <w:highlight w:val="none"/>
        </w:rPr>
      </w:pPr>
      <w:r>
        <w:rPr>
          <w:rFonts w:hint="eastAsia" w:ascii="宋体" w:hAnsi="宋体"/>
          <w:color w:val="auto"/>
          <w:highlight w:val="none"/>
        </w:rPr>
        <w:t>合同当事人根据有关法律规定，在专用合同条款中约定工程质量保修范围、期限和责任。保修期自实际竣工日期起计算。在全部工程竣工验收前，已经发包人提前验收的单位工程，其保修期的起算日期相应提前。</w:t>
      </w:r>
    </w:p>
    <w:p w14:paraId="07F29411">
      <w:pPr>
        <w:pStyle w:val="52"/>
        <w:outlineLvl w:val="2"/>
        <w:rPr>
          <w:color w:val="auto"/>
          <w:highlight w:val="none"/>
        </w:rPr>
      </w:pPr>
      <w:bookmarkStart w:id="511" w:name="_Toc240967165"/>
      <w:bookmarkStart w:id="512" w:name="_Toc17545"/>
      <w:bookmarkStart w:id="513" w:name="_Toc29063"/>
      <w:r>
        <w:rPr>
          <w:rFonts w:hint="eastAsia"/>
          <w:color w:val="auto"/>
          <w:highlight w:val="none"/>
        </w:rPr>
        <w:t>20. 保险</w:t>
      </w:r>
      <w:bookmarkEnd w:id="511"/>
      <w:bookmarkEnd w:id="512"/>
      <w:bookmarkEnd w:id="513"/>
    </w:p>
    <w:p w14:paraId="2E0C3B49">
      <w:pPr>
        <w:pStyle w:val="51"/>
        <w:outlineLvl w:val="3"/>
        <w:rPr>
          <w:color w:val="auto"/>
          <w:highlight w:val="none"/>
        </w:rPr>
      </w:pPr>
      <w:bookmarkStart w:id="514" w:name="_Toc17243"/>
      <w:bookmarkStart w:id="515" w:name="_Toc240967166"/>
      <w:bookmarkStart w:id="516" w:name="_Toc25973"/>
      <w:r>
        <w:rPr>
          <w:rFonts w:hint="eastAsia"/>
          <w:color w:val="auto"/>
          <w:highlight w:val="none"/>
        </w:rPr>
        <w:t>20.1 工程保险</w:t>
      </w:r>
      <w:bookmarkEnd w:id="514"/>
      <w:bookmarkEnd w:id="515"/>
      <w:bookmarkEnd w:id="516"/>
    </w:p>
    <w:p w14:paraId="0477B946">
      <w:pPr>
        <w:pStyle w:val="9"/>
        <w:spacing w:line="400" w:lineRule="exact"/>
        <w:ind w:firstLine="420" w:firstLineChars="200"/>
        <w:rPr>
          <w:rFonts w:ascii="宋体" w:hAnsi="宋体"/>
          <w:color w:val="auto"/>
          <w:highlight w:val="none"/>
        </w:rPr>
      </w:pPr>
      <w:r>
        <w:rPr>
          <w:rFonts w:hint="eastAsia" w:ascii="宋体" w:hAnsi="宋体"/>
          <w:color w:val="auto"/>
          <w:highlight w:val="none"/>
        </w:rPr>
        <w:t>除专用合同条款另有约定外，承包人应以发包人和承包人的共同名义向双方同意的保险人投保建筑工程一切险、安装工程一切险。其具体的投保内容、保险金额、保险费率、保险期限等有关内容在专用合同条款中约定。</w:t>
      </w:r>
    </w:p>
    <w:p w14:paraId="11AA417B">
      <w:pPr>
        <w:pStyle w:val="51"/>
        <w:outlineLvl w:val="3"/>
        <w:rPr>
          <w:color w:val="auto"/>
          <w:highlight w:val="none"/>
        </w:rPr>
      </w:pPr>
      <w:bookmarkStart w:id="517" w:name="_Toc240967167"/>
      <w:bookmarkStart w:id="518" w:name="_Toc30485"/>
      <w:bookmarkStart w:id="519" w:name="_Toc1245"/>
      <w:r>
        <w:rPr>
          <w:rFonts w:hint="eastAsia"/>
          <w:color w:val="auto"/>
          <w:highlight w:val="none"/>
        </w:rPr>
        <w:t>20.2 人员工伤事故的保险</w:t>
      </w:r>
      <w:bookmarkEnd w:id="517"/>
      <w:bookmarkEnd w:id="518"/>
      <w:bookmarkEnd w:id="519"/>
    </w:p>
    <w:p w14:paraId="55335A04">
      <w:pPr>
        <w:pStyle w:val="9"/>
        <w:spacing w:line="400" w:lineRule="exact"/>
        <w:ind w:firstLine="420" w:firstLineChars="200"/>
        <w:rPr>
          <w:rFonts w:ascii="宋体" w:hAnsi="宋体"/>
          <w:color w:val="auto"/>
          <w:highlight w:val="none"/>
        </w:rPr>
      </w:pPr>
      <w:r>
        <w:rPr>
          <w:rFonts w:hint="eastAsia" w:ascii="宋体" w:hAnsi="宋体"/>
          <w:color w:val="auto"/>
          <w:highlight w:val="none"/>
        </w:rPr>
        <w:t>20.2.1 承包人员工伤事故的保险</w:t>
      </w:r>
    </w:p>
    <w:p w14:paraId="594E9D66">
      <w:pPr>
        <w:pStyle w:val="9"/>
        <w:spacing w:line="400" w:lineRule="exact"/>
        <w:ind w:firstLine="420" w:firstLineChars="200"/>
        <w:rPr>
          <w:rFonts w:ascii="宋体" w:hAnsi="宋体"/>
          <w:color w:val="auto"/>
          <w:highlight w:val="none"/>
        </w:rPr>
      </w:pPr>
      <w:r>
        <w:rPr>
          <w:rFonts w:hint="eastAsia" w:ascii="宋体" w:hAnsi="宋体"/>
          <w:color w:val="auto"/>
          <w:highlight w:val="none"/>
        </w:rPr>
        <w:t>承包人应</w:t>
      </w:r>
      <w:r>
        <w:rPr>
          <w:rFonts w:ascii="宋体" w:hAnsi="宋体"/>
          <w:color w:val="auto"/>
          <w:highlight w:val="none"/>
        </w:rPr>
        <w:t>依照</w:t>
      </w:r>
      <w:r>
        <w:rPr>
          <w:rFonts w:hint="eastAsia" w:ascii="宋体" w:hAnsi="宋体"/>
          <w:color w:val="auto"/>
          <w:highlight w:val="none"/>
        </w:rPr>
        <w:t>有关法律</w:t>
      </w:r>
      <w:r>
        <w:rPr>
          <w:rFonts w:ascii="宋体" w:hAnsi="宋体"/>
          <w:color w:val="auto"/>
          <w:highlight w:val="none"/>
        </w:rPr>
        <w:t>规定参加工伤保险，</w:t>
      </w:r>
      <w:r>
        <w:rPr>
          <w:rFonts w:hint="eastAsia" w:ascii="宋体" w:hAnsi="宋体"/>
          <w:color w:val="auto"/>
          <w:highlight w:val="none"/>
        </w:rPr>
        <w:t>为其履行合同所雇佣的全部人员，</w:t>
      </w:r>
      <w:r>
        <w:rPr>
          <w:rFonts w:ascii="宋体" w:hAnsi="宋体"/>
          <w:color w:val="auto"/>
          <w:highlight w:val="none"/>
        </w:rPr>
        <w:t>缴纳工伤保险费</w:t>
      </w:r>
      <w:r>
        <w:rPr>
          <w:rFonts w:hint="eastAsia" w:ascii="宋体" w:hAnsi="宋体"/>
          <w:color w:val="auto"/>
          <w:highlight w:val="none"/>
        </w:rPr>
        <w:t>，并要求其分包人也进行此项保险。</w:t>
      </w:r>
    </w:p>
    <w:p w14:paraId="58F3D564">
      <w:pPr>
        <w:pStyle w:val="9"/>
        <w:spacing w:line="400" w:lineRule="exact"/>
        <w:ind w:firstLine="420" w:firstLineChars="200"/>
        <w:rPr>
          <w:rFonts w:ascii="宋体" w:hAnsi="宋体"/>
          <w:color w:val="auto"/>
          <w:highlight w:val="none"/>
        </w:rPr>
      </w:pPr>
      <w:r>
        <w:rPr>
          <w:rFonts w:hint="eastAsia" w:ascii="宋体" w:hAnsi="宋体"/>
          <w:color w:val="auto"/>
          <w:highlight w:val="none"/>
        </w:rPr>
        <w:t>20.2.2 发包人员工伤事故的保险</w:t>
      </w:r>
    </w:p>
    <w:p w14:paraId="3EF9EE04">
      <w:pPr>
        <w:pStyle w:val="9"/>
        <w:spacing w:line="400" w:lineRule="exact"/>
        <w:ind w:firstLine="420" w:firstLineChars="200"/>
        <w:rPr>
          <w:rFonts w:ascii="宋体" w:hAnsi="宋体"/>
          <w:color w:val="auto"/>
          <w:highlight w:val="none"/>
        </w:rPr>
      </w:pPr>
      <w:r>
        <w:rPr>
          <w:rFonts w:hint="eastAsia" w:ascii="宋体" w:hAnsi="宋体"/>
          <w:color w:val="auto"/>
          <w:highlight w:val="none"/>
        </w:rPr>
        <w:t>发包人应</w:t>
      </w:r>
      <w:r>
        <w:rPr>
          <w:rFonts w:ascii="宋体" w:hAnsi="宋体"/>
          <w:color w:val="auto"/>
          <w:highlight w:val="none"/>
        </w:rPr>
        <w:t>依照</w:t>
      </w:r>
      <w:r>
        <w:rPr>
          <w:rFonts w:hint="eastAsia" w:ascii="宋体" w:hAnsi="宋体"/>
          <w:color w:val="auto"/>
          <w:highlight w:val="none"/>
        </w:rPr>
        <w:t>有关法律</w:t>
      </w:r>
      <w:r>
        <w:rPr>
          <w:rFonts w:ascii="宋体" w:hAnsi="宋体"/>
          <w:color w:val="auto"/>
          <w:highlight w:val="none"/>
        </w:rPr>
        <w:t>规定参加工伤保险，</w:t>
      </w:r>
      <w:r>
        <w:rPr>
          <w:rFonts w:hint="eastAsia" w:ascii="宋体" w:hAnsi="宋体"/>
          <w:color w:val="auto"/>
          <w:highlight w:val="none"/>
        </w:rPr>
        <w:t>为其现场机构雇佣的全部人员，</w:t>
      </w:r>
      <w:r>
        <w:rPr>
          <w:rFonts w:ascii="宋体" w:hAnsi="宋体"/>
          <w:color w:val="auto"/>
          <w:highlight w:val="none"/>
        </w:rPr>
        <w:t>缴纳工伤保险费</w:t>
      </w:r>
      <w:r>
        <w:rPr>
          <w:rFonts w:hint="eastAsia" w:ascii="宋体" w:hAnsi="宋体"/>
          <w:color w:val="auto"/>
          <w:highlight w:val="none"/>
        </w:rPr>
        <w:t>，并要求其监理人也进行此项保险。</w:t>
      </w:r>
    </w:p>
    <w:p w14:paraId="00DE2C7F">
      <w:pPr>
        <w:pStyle w:val="51"/>
        <w:outlineLvl w:val="3"/>
        <w:rPr>
          <w:color w:val="auto"/>
          <w:highlight w:val="none"/>
        </w:rPr>
      </w:pPr>
      <w:bookmarkStart w:id="520" w:name="_Toc24967"/>
      <w:bookmarkStart w:id="521" w:name="_Toc19968"/>
      <w:bookmarkStart w:id="522" w:name="_Toc240967168"/>
      <w:r>
        <w:rPr>
          <w:rFonts w:hint="eastAsia"/>
          <w:color w:val="auto"/>
          <w:highlight w:val="none"/>
        </w:rPr>
        <w:t>20.3 人身意外伤害险</w:t>
      </w:r>
      <w:bookmarkEnd w:id="520"/>
      <w:bookmarkEnd w:id="521"/>
      <w:bookmarkEnd w:id="522"/>
    </w:p>
    <w:p w14:paraId="5E28C434">
      <w:pPr>
        <w:pStyle w:val="9"/>
        <w:spacing w:line="400" w:lineRule="exact"/>
        <w:ind w:firstLine="420" w:firstLineChars="200"/>
        <w:rPr>
          <w:rFonts w:ascii="宋体" w:hAnsi="宋体"/>
          <w:color w:val="auto"/>
          <w:highlight w:val="none"/>
        </w:rPr>
      </w:pPr>
      <w:r>
        <w:rPr>
          <w:rFonts w:hint="eastAsia" w:ascii="宋体" w:hAnsi="宋体"/>
          <w:color w:val="auto"/>
          <w:highlight w:val="none"/>
        </w:rPr>
        <w:t>20.3.1 发包人应在整个施工期间为其现场机构雇用的全部人员，投保人身意外伤害险，缴纳保险费，并要求其监理人也进行此项保险。</w:t>
      </w:r>
    </w:p>
    <w:p w14:paraId="5D11E41C">
      <w:pPr>
        <w:pStyle w:val="9"/>
        <w:spacing w:line="400" w:lineRule="exact"/>
        <w:ind w:firstLine="420" w:firstLineChars="200"/>
        <w:rPr>
          <w:rFonts w:ascii="宋体" w:hAnsi="宋体"/>
          <w:color w:val="auto"/>
          <w:highlight w:val="none"/>
        </w:rPr>
      </w:pPr>
      <w:r>
        <w:rPr>
          <w:rFonts w:hint="eastAsia" w:ascii="宋体" w:hAnsi="宋体"/>
          <w:color w:val="auto"/>
          <w:highlight w:val="none"/>
        </w:rPr>
        <w:t>20.3.2 承包人应在整个施工期间为其现场机构雇用的全部人员，投保人身意外伤害险，缴纳保险费，并要求其分包人也进行此项保险。</w:t>
      </w:r>
    </w:p>
    <w:p w14:paraId="7F797AE3">
      <w:pPr>
        <w:pStyle w:val="51"/>
        <w:outlineLvl w:val="3"/>
        <w:rPr>
          <w:color w:val="auto"/>
          <w:highlight w:val="none"/>
        </w:rPr>
      </w:pPr>
      <w:bookmarkStart w:id="523" w:name="_Toc3776"/>
      <w:bookmarkStart w:id="524" w:name="_Toc29108"/>
      <w:bookmarkStart w:id="525" w:name="_Toc240967169"/>
      <w:r>
        <w:rPr>
          <w:rFonts w:hint="eastAsia"/>
          <w:color w:val="auto"/>
          <w:highlight w:val="none"/>
        </w:rPr>
        <w:t>20.4 第三者责任险</w:t>
      </w:r>
      <w:bookmarkEnd w:id="523"/>
      <w:bookmarkEnd w:id="524"/>
      <w:bookmarkEnd w:id="525"/>
    </w:p>
    <w:p w14:paraId="592B0C12">
      <w:pPr>
        <w:pStyle w:val="9"/>
        <w:spacing w:line="400" w:lineRule="exact"/>
        <w:ind w:firstLine="420" w:firstLineChars="200"/>
        <w:rPr>
          <w:rFonts w:ascii="宋体" w:hAnsi="宋体"/>
          <w:color w:val="auto"/>
          <w:highlight w:val="none"/>
        </w:rPr>
      </w:pPr>
      <w:r>
        <w:rPr>
          <w:rFonts w:hint="eastAsia" w:ascii="宋体" w:hAnsi="宋体"/>
          <w:color w:val="auto"/>
          <w:highlight w:val="none"/>
        </w:rPr>
        <w:t>20.4.1 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p>
    <w:p w14:paraId="22E32ED6">
      <w:pPr>
        <w:pStyle w:val="9"/>
        <w:spacing w:line="400" w:lineRule="exact"/>
        <w:ind w:firstLine="420" w:firstLineChars="200"/>
        <w:rPr>
          <w:rFonts w:ascii="宋体" w:hAnsi="宋体"/>
          <w:color w:val="auto"/>
          <w:highlight w:val="none"/>
        </w:rPr>
      </w:pPr>
      <w:r>
        <w:rPr>
          <w:rFonts w:hint="eastAsia" w:ascii="宋体" w:hAnsi="宋体"/>
          <w:color w:val="auto"/>
          <w:highlight w:val="none"/>
        </w:rPr>
        <w:t>20.4.2 在缺陷责任期终止证书颁发前，承包人应以承包人和发包人的共同名义，投保第20.4.1项约定的第三者责任险，其保险费率、保险金额等有关内容在专用合同条款中约定。</w:t>
      </w:r>
    </w:p>
    <w:p w14:paraId="5F56E4B2">
      <w:pPr>
        <w:pStyle w:val="51"/>
        <w:outlineLvl w:val="3"/>
        <w:rPr>
          <w:color w:val="auto"/>
          <w:highlight w:val="none"/>
        </w:rPr>
      </w:pPr>
      <w:bookmarkStart w:id="526" w:name="_Toc2329"/>
      <w:bookmarkStart w:id="527" w:name="_Toc27055"/>
      <w:bookmarkStart w:id="528" w:name="_Toc240967170"/>
      <w:r>
        <w:rPr>
          <w:rFonts w:hint="eastAsia"/>
          <w:color w:val="auto"/>
          <w:highlight w:val="none"/>
        </w:rPr>
        <w:t>20.5 其他保险</w:t>
      </w:r>
      <w:bookmarkEnd w:id="526"/>
      <w:bookmarkEnd w:id="527"/>
      <w:bookmarkEnd w:id="528"/>
    </w:p>
    <w:p w14:paraId="1CCEED96">
      <w:pPr>
        <w:pStyle w:val="9"/>
        <w:spacing w:line="400" w:lineRule="exact"/>
        <w:ind w:firstLine="420" w:firstLineChars="200"/>
        <w:rPr>
          <w:rFonts w:ascii="宋体" w:hAnsi="宋体"/>
          <w:color w:val="auto"/>
          <w:highlight w:val="none"/>
        </w:rPr>
      </w:pPr>
      <w:r>
        <w:rPr>
          <w:rFonts w:hint="eastAsia" w:ascii="宋体" w:hAnsi="宋体"/>
          <w:color w:val="auto"/>
          <w:highlight w:val="none"/>
        </w:rPr>
        <w:t>除专用合同条款另有约定外，承包人应为其施工设备、进场的材料和工程设备等办理保险。</w:t>
      </w:r>
    </w:p>
    <w:p w14:paraId="5A02B4EA">
      <w:pPr>
        <w:pStyle w:val="51"/>
        <w:outlineLvl w:val="3"/>
        <w:rPr>
          <w:color w:val="auto"/>
          <w:highlight w:val="none"/>
        </w:rPr>
      </w:pPr>
      <w:bookmarkStart w:id="529" w:name="_Toc240967171"/>
      <w:bookmarkStart w:id="530" w:name="_Toc30502"/>
      <w:bookmarkStart w:id="531" w:name="_Toc31981"/>
      <w:r>
        <w:rPr>
          <w:rFonts w:hint="eastAsia"/>
          <w:color w:val="auto"/>
          <w:highlight w:val="none"/>
        </w:rPr>
        <w:t>20.6 对各项保险的一般要求</w:t>
      </w:r>
      <w:bookmarkEnd w:id="529"/>
      <w:bookmarkEnd w:id="530"/>
      <w:bookmarkEnd w:id="531"/>
    </w:p>
    <w:p w14:paraId="04E10922">
      <w:pPr>
        <w:pStyle w:val="9"/>
        <w:spacing w:line="400" w:lineRule="exact"/>
        <w:ind w:firstLine="420" w:firstLineChars="200"/>
        <w:rPr>
          <w:rFonts w:ascii="宋体" w:hAnsi="宋体"/>
          <w:color w:val="auto"/>
          <w:highlight w:val="none"/>
        </w:rPr>
      </w:pPr>
      <w:r>
        <w:rPr>
          <w:rFonts w:hint="eastAsia" w:ascii="宋体" w:hAnsi="宋体"/>
          <w:color w:val="auto"/>
          <w:highlight w:val="none"/>
        </w:rPr>
        <w:t>20.6.1 保险凭证</w:t>
      </w:r>
    </w:p>
    <w:p w14:paraId="5AFED2CF">
      <w:pPr>
        <w:pStyle w:val="9"/>
        <w:spacing w:line="400" w:lineRule="exact"/>
        <w:ind w:firstLine="420" w:firstLineChars="200"/>
        <w:rPr>
          <w:rFonts w:ascii="宋体" w:hAnsi="宋体"/>
          <w:color w:val="auto"/>
          <w:highlight w:val="none"/>
        </w:rPr>
      </w:pPr>
      <w:r>
        <w:rPr>
          <w:rFonts w:hint="eastAsia" w:ascii="宋体" w:hAnsi="宋体"/>
          <w:color w:val="auto"/>
          <w:highlight w:val="none"/>
        </w:rPr>
        <w:t>承包人应在专用合同条款约定的期限内向发包人提交各项保险生效的证据和保险单副本，保险单必须与专用合同条款约定的条件保持一致。</w:t>
      </w:r>
    </w:p>
    <w:p w14:paraId="75D6EACA">
      <w:pPr>
        <w:pStyle w:val="9"/>
        <w:spacing w:line="400" w:lineRule="exact"/>
        <w:ind w:firstLine="420" w:firstLineChars="200"/>
        <w:rPr>
          <w:rFonts w:ascii="宋体" w:hAnsi="宋体"/>
          <w:color w:val="auto"/>
          <w:highlight w:val="none"/>
        </w:rPr>
      </w:pPr>
      <w:r>
        <w:rPr>
          <w:rFonts w:hint="eastAsia" w:ascii="宋体" w:hAnsi="宋体"/>
          <w:color w:val="auto"/>
          <w:highlight w:val="none"/>
        </w:rPr>
        <w:t>20.6.2 保险合同条款的变动</w:t>
      </w:r>
    </w:p>
    <w:p w14:paraId="663F8EFC">
      <w:pPr>
        <w:pStyle w:val="9"/>
        <w:spacing w:line="400" w:lineRule="exact"/>
        <w:ind w:firstLine="420" w:firstLineChars="200"/>
        <w:rPr>
          <w:rFonts w:ascii="宋体" w:hAnsi="宋体"/>
          <w:color w:val="auto"/>
          <w:highlight w:val="none"/>
        </w:rPr>
      </w:pPr>
      <w:r>
        <w:rPr>
          <w:rFonts w:hint="eastAsia" w:ascii="宋体" w:hAnsi="宋体"/>
          <w:color w:val="auto"/>
          <w:highlight w:val="none"/>
        </w:rPr>
        <w:t>承包人需要变动保险合同条款时，应事先征得发包人同意，并通知监理人。保险人作出变动的，承包人应在收到保险人通知后立即通知发包人和监理人。</w:t>
      </w:r>
    </w:p>
    <w:p w14:paraId="74CB86BB">
      <w:pPr>
        <w:pStyle w:val="9"/>
        <w:spacing w:line="400" w:lineRule="exact"/>
        <w:ind w:firstLine="420" w:firstLineChars="200"/>
        <w:rPr>
          <w:rFonts w:ascii="宋体" w:hAnsi="宋体"/>
          <w:color w:val="auto"/>
          <w:highlight w:val="none"/>
        </w:rPr>
      </w:pPr>
      <w:r>
        <w:rPr>
          <w:rFonts w:hint="eastAsia" w:ascii="宋体" w:hAnsi="宋体"/>
          <w:color w:val="auto"/>
          <w:highlight w:val="none"/>
        </w:rPr>
        <w:t>20.6.3 持续保险</w:t>
      </w:r>
    </w:p>
    <w:p w14:paraId="6F446921">
      <w:pPr>
        <w:pStyle w:val="9"/>
        <w:spacing w:line="400" w:lineRule="exact"/>
        <w:ind w:firstLine="420" w:firstLineChars="200"/>
        <w:rPr>
          <w:rFonts w:ascii="宋体" w:hAnsi="宋体"/>
          <w:color w:val="auto"/>
          <w:highlight w:val="none"/>
        </w:rPr>
      </w:pPr>
      <w:r>
        <w:rPr>
          <w:rFonts w:hint="eastAsia" w:ascii="宋体" w:hAnsi="宋体"/>
          <w:color w:val="auto"/>
          <w:highlight w:val="none"/>
        </w:rPr>
        <w:t>承包人应与保险人保持联系，使保险人能够随时了解工程实施中的变动，并确保按保险合同条款要求持续保险。</w:t>
      </w:r>
    </w:p>
    <w:p w14:paraId="7A88A8B2">
      <w:pPr>
        <w:pStyle w:val="9"/>
        <w:spacing w:line="400" w:lineRule="exact"/>
        <w:ind w:firstLine="420" w:firstLineChars="200"/>
        <w:rPr>
          <w:rFonts w:ascii="宋体" w:hAnsi="宋体"/>
          <w:color w:val="auto"/>
          <w:highlight w:val="none"/>
        </w:rPr>
      </w:pPr>
      <w:r>
        <w:rPr>
          <w:rFonts w:hint="eastAsia" w:ascii="宋体" w:hAnsi="宋体"/>
          <w:color w:val="auto"/>
          <w:highlight w:val="none"/>
        </w:rPr>
        <w:t>20.6.4 保险金不足的补偿</w:t>
      </w:r>
    </w:p>
    <w:p w14:paraId="322275FD">
      <w:pPr>
        <w:pStyle w:val="9"/>
        <w:spacing w:line="400" w:lineRule="exact"/>
        <w:ind w:firstLine="420" w:firstLineChars="200"/>
        <w:rPr>
          <w:rFonts w:ascii="宋体" w:hAnsi="宋体"/>
          <w:color w:val="auto"/>
          <w:highlight w:val="none"/>
        </w:rPr>
      </w:pPr>
      <w:r>
        <w:rPr>
          <w:rFonts w:hint="eastAsia" w:ascii="宋体" w:hAnsi="宋体"/>
          <w:color w:val="auto"/>
          <w:highlight w:val="none"/>
        </w:rPr>
        <w:t>保险金不足以补偿损失的，应由承包人和（或）发包人按合同约定负责补偿。</w:t>
      </w:r>
    </w:p>
    <w:p w14:paraId="5AC77DB8">
      <w:pPr>
        <w:pStyle w:val="9"/>
        <w:spacing w:line="400" w:lineRule="exact"/>
        <w:ind w:firstLine="420" w:firstLineChars="200"/>
        <w:rPr>
          <w:rFonts w:ascii="宋体" w:hAnsi="宋体"/>
          <w:color w:val="auto"/>
          <w:highlight w:val="none"/>
        </w:rPr>
      </w:pPr>
      <w:r>
        <w:rPr>
          <w:rFonts w:hint="eastAsia" w:ascii="宋体" w:hAnsi="宋体"/>
          <w:color w:val="auto"/>
          <w:highlight w:val="none"/>
        </w:rPr>
        <w:t>20.6.5 未按约定投保的补救</w:t>
      </w:r>
    </w:p>
    <w:p w14:paraId="6A17BFF8">
      <w:pPr>
        <w:pStyle w:val="9"/>
        <w:spacing w:line="400" w:lineRule="exact"/>
        <w:ind w:firstLine="420" w:firstLineChars="200"/>
        <w:rPr>
          <w:rFonts w:ascii="宋体" w:hAnsi="宋体"/>
          <w:color w:val="auto"/>
          <w:highlight w:val="none"/>
        </w:rPr>
      </w:pPr>
      <w:r>
        <w:rPr>
          <w:rFonts w:hint="eastAsia" w:ascii="宋体" w:hAnsi="宋体"/>
          <w:color w:val="auto"/>
          <w:highlight w:val="none"/>
        </w:rPr>
        <w:t>（1）由于负有投保义务的一方当事人未按合同约定办理保险，或未能使保险持续有效的，另一方当事人可代为办理，所需费用由对方当事人承担。</w:t>
      </w:r>
    </w:p>
    <w:p w14:paraId="16758273">
      <w:pPr>
        <w:pStyle w:val="9"/>
        <w:spacing w:line="400" w:lineRule="exact"/>
        <w:ind w:firstLine="420" w:firstLineChars="200"/>
        <w:rPr>
          <w:rFonts w:ascii="宋体" w:hAnsi="宋体"/>
          <w:color w:val="auto"/>
          <w:highlight w:val="none"/>
        </w:rPr>
      </w:pPr>
      <w:r>
        <w:rPr>
          <w:rFonts w:hint="eastAsia" w:ascii="宋体" w:hAnsi="宋体"/>
          <w:color w:val="auto"/>
          <w:highlight w:val="none"/>
        </w:rPr>
        <w:t>（2）由于负有投保义务的一方当事人未按合同约定办理某项保险，导致受益人未能得到保险人的赔偿，原应从该项保险得到的保险金应由负有投保义务的一方当事人支付。</w:t>
      </w:r>
    </w:p>
    <w:p w14:paraId="49342A78">
      <w:pPr>
        <w:pStyle w:val="9"/>
        <w:spacing w:line="400" w:lineRule="exact"/>
        <w:ind w:firstLine="420" w:firstLineChars="200"/>
        <w:rPr>
          <w:rFonts w:ascii="宋体" w:hAnsi="宋体"/>
          <w:color w:val="auto"/>
          <w:highlight w:val="none"/>
        </w:rPr>
      </w:pPr>
      <w:r>
        <w:rPr>
          <w:rFonts w:hint="eastAsia" w:ascii="宋体" w:hAnsi="宋体"/>
          <w:color w:val="auto"/>
          <w:highlight w:val="none"/>
        </w:rPr>
        <w:t>20.6.6 报告义务</w:t>
      </w:r>
    </w:p>
    <w:p w14:paraId="50A9C339">
      <w:pPr>
        <w:pStyle w:val="9"/>
        <w:spacing w:line="400" w:lineRule="exact"/>
        <w:ind w:firstLine="420" w:firstLineChars="200"/>
        <w:rPr>
          <w:rFonts w:ascii="隶书" w:eastAsia="隶书"/>
          <w:color w:val="auto"/>
          <w:highlight w:val="none"/>
        </w:rPr>
      </w:pPr>
      <w:r>
        <w:rPr>
          <w:rFonts w:hint="eastAsia" w:ascii="宋体" w:hAnsi="宋体"/>
          <w:color w:val="auto"/>
          <w:highlight w:val="none"/>
        </w:rPr>
        <w:t>当保险事故发生时，投保人应按照保险单规定的条件和期限及时向保险人报告。</w:t>
      </w:r>
    </w:p>
    <w:p w14:paraId="4D041910">
      <w:pPr>
        <w:pStyle w:val="52"/>
        <w:outlineLvl w:val="2"/>
        <w:rPr>
          <w:color w:val="auto"/>
          <w:highlight w:val="none"/>
        </w:rPr>
      </w:pPr>
      <w:bookmarkStart w:id="532" w:name="_Toc32259"/>
      <w:bookmarkStart w:id="533" w:name="_Toc240967172"/>
      <w:bookmarkStart w:id="534" w:name="_Toc21115"/>
      <w:r>
        <w:rPr>
          <w:rFonts w:hint="eastAsia"/>
          <w:color w:val="auto"/>
          <w:highlight w:val="none"/>
        </w:rPr>
        <w:t>21. 不可抗力</w:t>
      </w:r>
      <w:bookmarkEnd w:id="532"/>
      <w:bookmarkEnd w:id="533"/>
      <w:bookmarkEnd w:id="534"/>
    </w:p>
    <w:p w14:paraId="5B29EA82">
      <w:pPr>
        <w:pStyle w:val="51"/>
        <w:outlineLvl w:val="3"/>
        <w:rPr>
          <w:color w:val="auto"/>
          <w:highlight w:val="none"/>
        </w:rPr>
      </w:pPr>
      <w:bookmarkStart w:id="535" w:name="_Toc5502"/>
      <w:bookmarkStart w:id="536" w:name="_Toc240967173"/>
      <w:bookmarkStart w:id="537" w:name="_Toc18821"/>
      <w:r>
        <w:rPr>
          <w:rFonts w:hint="eastAsia"/>
          <w:color w:val="auto"/>
          <w:highlight w:val="none"/>
        </w:rPr>
        <w:t>21.1 不可抗力的确认</w:t>
      </w:r>
      <w:bookmarkEnd w:id="535"/>
      <w:bookmarkEnd w:id="536"/>
      <w:bookmarkEnd w:id="537"/>
    </w:p>
    <w:p w14:paraId="0AED7D39">
      <w:pPr>
        <w:pStyle w:val="9"/>
        <w:spacing w:line="400" w:lineRule="exact"/>
        <w:ind w:firstLine="420" w:firstLineChars="200"/>
        <w:rPr>
          <w:rFonts w:ascii="宋体" w:hAnsi="宋体"/>
          <w:color w:val="auto"/>
          <w:highlight w:val="none"/>
        </w:rPr>
      </w:pPr>
      <w:r>
        <w:rPr>
          <w:rFonts w:hint="eastAsia" w:ascii="宋体" w:hAnsi="宋体"/>
          <w:color w:val="auto"/>
          <w:highlight w:val="none"/>
        </w:rPr>
        <w:t>21.1.1 不可抗力是指承包人和发包人在订立合同时不可预见，在工程施工过程中不可避免发生并不能克服的自然灾害和社会性突发事件，如地震、海啸、瘟疫、水灾、骚乱、暴动、战争和专用合同条款约定的其他情形。</w:t>
      </w:r>
    </w:p>
    <w:p w14:paraId="5EC1BF7F">
      <w:pPr>
        <w:pStyle w:val="9"/>
        <w:spacing w:line="400" w:lineRule="exact"/>
        <w:ind w:firstLine="420" w:firstLineChars="200"/>
        <w:rPr>
          <w:rFonts w:ascii="宋体" w:hAnsi="宋体"/>
          <w:color w:val="auto"/>
          <w:highlight w:val="none"/>
        </w:rPr>
      </w:pPr>
      <w:r>
        <w:rPr>
          <w:rFonts w:hint="eastAsia" w:ascii="宋体" w:hAnsi="宋体"/>
          <w:color w:val="auto"/>
          <w:highlight w:val="none"/>
        </w:rPr>
        <w:t>21.1.2 不可抗力发生后，发包人和承包人应及时认真统计所造成的损失，收集不可抗力造成损失的证据。合同双方对是否属于不可抗力或其损失的意见不一致的，由监理人按第3.5款商定或确定。发生争议时，按第24条的约定办理。</w:t>
      </w:r>
    </w:p>
    <w:p w14:paraId="5771ED13">
      <w:pPr>
        <w:pStyle w:val="51"/>
        <w:outlineLvl w:val="3"/>
        <w:rPr>
          <w:color w:val="auto"/>
          <w:highlight w:val="none"/>
        </w:rPr>
      </w:pPr>
      <w:bookmarkStart w:id="538" w:name="_Toc19639"/>
      <w:bookmarkStart w:id="539" w:name="_Toc240967174"/>
      <w:bookmarkStart w:id="540" w:name="_Toc11658"/>
      <w:r>
        <w:rPr>
          <w:rFonts w:hint="eastAsia"/>
          <w:color w:val="auto"/>
          <w:highlight w:val="none"/>
        </w:rPr>
        <w:t>21.2 不可抗力的通知</w:t>
      </w:r>
      <w:bookmarkEnd w:id="538"/>
      <w:bookmarkEnd w:id="539"/>
      <w:bookmarkEnd w:id="540"/>
    </w:p>
    <w:p w14:paraId="7E4DFC28">
      <w:pPr>
        <w:pStyle w:val="9"/>
        <w:spacing w:line="400" w:lineRule="exact"/>
        <w:ind w:firstLine="420" w:firstLineChars="200"/>
        <w:rPr>
          <w:rFonts w:ascii="宋体" w:hAnsi="宋体"/>
          <w:color w:val="auto"/>
          <w:highlight w:val="none"/>
        </w:rPr>
      </w:pPr>
      <w:r>
        <w:rPr>
          <w:rFonts w:hint="eastAsia" w:ascii="宋体" w:hAnsi="宋体"/>
          <w:color w:val="auto"/>
          <w:highlight w:val="none"/>
        </w:rPr>
        <w:t>21.2.1 合同一方当事人遇到不可抗力事件，使其履行合同义务受到阻碍时，应立即通知合同另一方当事人和监理人，书面说明不可抗力和受阻碍的详细情况，并提供必要的证明。</w:t>
      </w:r>
    </w:p>
    <w:p w14:paraId="37C802A8">
      <w:pPr>
        <w:pStyle w:val="9"/>
        <w:spacing w:line="400" w:lineRule="exact"/>
        <w:ind w:firstLine="420" w:firstLineChars="200"/>
        <w:rPr>
          <w:rFonts w:ascii="宋体" w:hAnsi="宋体"/>
          <w:color w:val="auto"/>
          <w:highlight w:val="none"/>
        </w:rPr>
      </w:pPr>
      <w:r>
        <w:rPr>
          <w:rFonts w:hint="eastAsia" w:ascii="宋体" w:hAnsi="宋体"/>
          <w:color w:val="auto"/>
          <w:highlight w:val="none"/>
        </w:rPr>
        <w:t>21.2.2 如不可抗力持续发生，合同一方当事人应及时向合同另一方当事人和监理人提交中间报告，说明不可抗力和履行合同受阻的情况，并于不可抗力事件结束后28天内提交最终报告及有关资料。</w:t>
      </w:r>
    </w:p>
    <w:p w14:paraId="5423AB07">
      <w:pPr>
        <w:pStyle w:val="51"/>
        <w:outlineLvl w:val="3"/>
        <w:rPr>
          <w:color w:val="auto"/>
          <w:highlight w:val="none"/>
        </w:rPr>
      </w:pPr>
      <w:bookmarkStart w:id="541" w:name="_Toc16349"/>
      <w:bookmarkStart w:id="542" w:name="_Toc32224"/>
      <w:bookmarkStart w:id="543" w:name="_Toc240967175"/>
      <w:r>
        <w:rPr>
          <w:rFonts w:hint="eastAsia"/>
          <w:color w:val="auto"/>
          <w:highlight w:val="none"/>
        </w:rPr>
        <w:t>21.3 不可抗力后果及其处理</w:t>
      </w:r>
      <w:bookmarkEnd w:id="541"/>
      <w:bookmarkEnd w:id="542"/>
      <w:bookmarkEnd w:id="543"/>
    </w:p>
    <w:p w14:paraId="64A90C25">
      <w:pPr>
        <w:pStyle w:val="9"/>
        <w:spacing w:line="400" w:lineRule="exact"/>
        <w:ind w:firstLine="420" w:firstLineChars="200"/>
        <w:rPr>
          <w:rFonts w:ascii="宋体" w:hAnsi="宋体"/>
          <w:color w:val="auto"/>
          <w:highlight w:val="none"/>
        </w:rPr>
      </w:pPr>
      <w:r>
        <w:rPr>
          <w:rFonts w:hint="eastAsia" w:ascii="宋体" w:hAnsi="宋体"/>
          <w:color w:val="auto"/>
          <w:highlight w:val="none"/>
        </w:rPr>
        <w:t>21.3.1 不可抗力造成损害的责任</w:t>
      </w:r>
    </w:p>
    <w:p w14:paraId="0F5D3EA9">
      <w:pPr>
        <w:pStyle w:val="9"/>
        <w:spacing w:line="400" w:lineRule="exact"/>
        <w:ind w:firstLine="420" w:firstLineChars="200"/>
        <w:rPr>
          <w:rFonts w:ascii="宋体" w:hAnsi="宋体"/>
          <w:color w:val="auto"/>
          <w:highlight w:val="none"/>
        </w:rPr>
      </w:pPr>
      <w:r>
        <w:rPr>
          <w:rFonts w:hint="eastAsia" w:ascii="宋体" w:hAnsi="宋体"/>
          <w:color w:val="auto"/>
          <w:highlight w:val="none"/>
        </w:rPr>
        <w:t>除专用合同条款另有约定外，不可抗力导致的人员伤亡、财产损失、费用增加和（或）工期延误等后果，由合同双方按以下原则承担：</w:t>
      </w:r>
    </w:p>
    <w:p w14:paraId="262DFE6C">
      <w:pPr>
        <w:pStyle w:val="9"/>
        <w:spacing w:line="400" w:lineRule="exact"/>
        <w:ind w:firstLine="420" w:firstLineChars="200"/>
        <w:rPr>
          <w:rFonts w:ascii="宋体" w:hAnsi="宋体"/>
          <w:color w:val="auto"/>
          <w:highlight w:val="none"/>
        </w:rPr>
      </w:pPr>
      <w:r>
        <w:rPr>
          <w:rFonts w:hint="eastAsia" w:ascii="宋体" w:hAnsi="宋体"/>
          <w:color w:val="auto"/>
          <w:highlight w:val="none"/>
        </w:rPr>
        <w:t>（1）永久工程，包括已运至施工场地的材料和工程设备的损害，以及因工程损害造成的第三者人员伤亡和财产损失由发包人承担；</w:t>
      </w:r>
    </w:p>
    <w:p w14:paraId="44037A75">
      <w:pPr>
        <w:pStyle w:val="9"/>
        <w:spacing w:line="400" w:lineRule="exact"/>
        <w:ind w:firstLine="420" w:firstLineChars="200"/>
        <w:rPr>
          <w:rFonts w:ascii="宋体" w:hAnsi="宋体"/>
          <w:color w:val="auto"/>
          <w:highlight w:val="none"/>
        </w:rPr>
      </w:pPr>
      <w:r>
        <w:rPr>
          <w:rFonts w:hint="eastAsia" w:ascii="宋体" w:hAnsi="宋体"/>
          <w:color w:val="auto"/>
          <w:highlight w:val="none"/>
        </w:rPr>
        <w:t>（2）承包人设备的损坏由承包人承担；</w:t>
      </w:r>
    </w:p>
    <w:p w14:paraId="702B2716">
      <w:pPr>
        <w:pStyle w:val="9"/>
        <w:spacing w:line="400" w:lineRule="exact"/>
        <w:ind w:firstLine="420" w:firstLineChars="200"/>
        <w:rPr>
          <w:rFonts w:ascii="宋体" w:hAnsi="宋体"/>
          <w:color w:val="auto"/>
          <w:highlight w:val="none"/>
        </w:rPr>
      </w:pPr>
      <w:r>
        <w:rPr>
          <w:rFonts w:hint="eastAsia" w:ascii="宋体" w:hAnsi="宋体"/>
          <w:color w:val="auto"/>
          <w:highlight w:val="none"/>
        </w:rPr>
        <w:t>（3）发包人和承包人各自承担其人员伤亡和其他财产损失及其相关费用；</w:t>
      </w:r>
    </w:p>
    <w:p w14:paraId="4622A403">
      <w:pPr>
        <w:pStyle w:val="9"/>
        <w:spacing w:line="400" w:lineRule="exact"/>
        <w:ind w:firstLine="420" w:firstLineChars="200"/>
        <w:rPr>
          <w:rFonts w:ascii="宋体" w:hAnsi="宋体"/>
          <w:color w:val="auto"/>
          <w:highlight w:val="none"/>
        </w:rPr>
      </w:pPr>
      <w:r>
        <w:rPr>
          <w:rFonts w:hint="eastAsia" w:ascii="宋体" w:hAnsi="宋体"/>
          <w:color w:val="auto"/>
          <w:highlight w:val="none"/>
        </w:rPr>
        <w:t>（4）承包人的停工损失由承包人承担，但停工期间应监理人要求照管工程和清理、修复工程的金额由发包人承担；</w:t>
      </w:r>
    </w:p>
    <w:p w14:paraId="6219DD80">
      <w:pPr>
        <w:pStyle w:val="9"/>
        <w:spacing w:line="400" w:lineRule="exact"/>
        <w:ind w:firstLine="420" w:firstLineChars="200"/>
        <w:rPr>
          <w:rFonts w:ascii="宋体" w:hAnsi="宋体"/>
          <w:color w:val="auto"/>
          <w:highlight w:val="none"/>
        </w:rPr>
      </w:pPr>
      <w:r>
        <w:rPr>
          <w:rFonts w:hint="eastAsia" w:ascii="宋体" w:hAnsi="宋体"/>
          <w:color w:val="auto"/>
          <w:highlight w:val="none"/>
        </w:rPr>
        <w:t>（5）不能按期竣工的，应合理延长工期，承包人不需支付逾期竣工违约金。发包人要求赶工的，承包人应采取赶工措施，赶工费用由发包人承担。</w:t>
      </w:r>
    </w:p>
    <w:p w14:paraId="0636FEB2">
      <w:pPr>
        <w:pStyle w:val="9"/>
        <w:spacing w:line="400" w:lineRule="exact"/>
        <w:ind w:firstLine="420" w:firstLineChars="200"/>
        <w:rPr>
          <w:rFonts w:ascii="宋体" w:hAnsi="宋体"/>
          <w:color w:val="auto"/>
          <w:highlight w:val="none"/>
        </w:rPr>
      </w:pPr>
      <w:r>
        <w:rPr>
          <w:rFonts w:hint="eastAsia" w:ascii="宋体" w:hAnsi="宋体"/>
          <w:color w:val="auto"/>
          <w:highlight w:val="none"/>
        </w:rPr>
        <w:t>21.3.2 延迟履行期间发生的不可抗力</w:t>
      </w:r>
    </w:p>
    <w:p w14:paraId="2DC399DF">
      <w:pPr>
        <w:pStyle w:val="9"/>
        <w:spacing w:line="400" w:lineRule="exact"/>
        <w:ind w:firstLine="420" w:firstLineChars="200"/>
        <w:rPr>
          <w:rFonts w:ascii="宋体" w:hAnsi="宋体"/>
          <w:color w:val="auto"/>
          <w:highlight w:val="none"/>
        </w:rPr>
      </w:pPr>
      <w:r>
        <w:rPr>
          <w:rFonts w:hint="eastAsia" w:ascii="宋体" w:hAnsi="宋体"/>
          <w:color w:val="auto"/>
          <w:highlight w:val="none"/>
        </w:rPr>
        <w:t>合同一方当事人延迟履行，在延迟履行期间发生不可抗力的，不免除其责任。</w:t>
      </w:r>
    </w:p>
    <w:p w14:paraId="7112676C">
      <w:pPr>
        <w:pStyle w:val="9"/>
        <w:spacing w:line="400" w:lineRule="exact"/>
        <w:ind w:firstLine="420" w:firstLineChars="200"/>
        <w:rPr>
          <w:rFonts w:ascii="宋体" w:hAnsi="宋体"/>
          <w:color w:val="auto"/>
          <w:highlight w:val="none"/>
        </w:rPr>
      </w:pPr>
      <w:r>
        <w:rPr>
          <w:rFonts w:hint="eastAsia" w:ascii="宋体" w:hAnsi="宋体"/>
          <w:color w:val="auto"/>
          <w:highlight w:val="none"/>
        </w:rPr>
        <w:t>21.3.3 避免和减少不可抗力损失</w:t>
      </w:r>
    </w:p>
    <w:p w14:paraId="4E94545A">
      <w:pPr>
        <w:pStyle w:val="9"/>
        <w:spacing w:line="400" w:lineRule="exact"/>
        <w:ind w:firstLine="420" w:firstLineChars="200"/>
        <w:rPr>
          <w:rFonts w:ascii="宋体" w:hAnsi="宋体"/>
          <w:color w:val="auto"/>
          <w:highlight w:val="none"/>
        </w:rPr>
      </w:pPr>
      <w:r>
        <w:rPr>
          <w:rFonts w:hint="eastAsia" w:ascii="宋体" w:hAnsi="宋体"/>
          <w:color w:val="auto"/>
          <w:highlight w:val="none"/>
        </w:rPr>
        <w:t>不可抗力发生后，发包人和承包人均应采取措施尽量避免和减少损失的扩大，任何一方没有采取有效措施导致损失扩大的，应对扩大的损失承担责任。</w:t>
      </w:r>
    </w:p>
    <w:p w14:paraId="51519D43">
      <w:pPr>
        <w:pStyle w:val="9"/>
        <w:spacing w:line="400" w:lineRule="exact"/>
        <w:ind w:firstLine="420" w:firstLineChars="200"/>
        <w:rPr>
          <w:rFonts w:ascii="宋体" w:hAnsi="宋体"/>
          <w:color w:val="auto"/>
          <w:highlight w:val="none"/>
        </w:rPr>
      </w:pPr>
      <w:r>
        <w:rPr>
          <w:rFonts w:hint="eastAsia" w:ascii="宋体" w:hAnsi="宋体"/>
          <w:color w:val="auto"/>
          <w:highlight w:val="none"/>
        </w:rPr>
        <w:t>21.3.4 因不可抗力解除合同</w:t>
      </w:r>
    </w:p>
    <w:p w14:paraId="27083927">
      <w:pPr>
        <w:pStyle w:val="9"/>
        <w:spacing w:line="400" w:lineRule="exact"/>
        <w:ind w:firstLine="420" w:firstLineChars="200"/>
        <w:rPr>
          <w:rFonts w:ascii="隶书" w:eastAsia="隶书"/>
          <w:color w:val="auto"/>
          <w:highlight w:val="none"/>
        </w:rPr>
      </w:pPr>
      <w:r>
        <w:rPr>
          <w:rFonts w:hint="eastAsia" w:ascii="宋体" w:hAnsi="宋体"/>
          <w:color w:val="auto"/>
          <w:highlight w:val="none"/>
        </w:rPr>
        <w:t>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w:t>
      </w:r>
    </w:p>
    <w:p w14:paraId="0BE02C36">
      <w:pPr>
        <w:pStyle w:val="52"/>
        <w:outlineLvl w:val="2"/>
        <w:rPr>
          <w:color w:val="auto"/>
          <w:highlight w:val="none"/>
        </w:rPr>
      </w:pPr>
      <w:bookmarkStart w:id="544" w:name="_Toc240967176"/>
      <w:bookmarkStart w:id="545" w:name="_Toc3882"/>
      <w:bookmarkStart w:id="546" w:name="_Toc26524"/>
      <w:r>
        <w:rPr>
          <w:rFonts w:hint="eastAsia"/>
          <w:color w:val="auto"/>
          <w:highlight w:val="none"/>
        </w:rPr>
        <w:t>22. 违约</w:t>
      </w:r>
      <w:bookmarkEnd w:id="544"/>
      <w:bookmarkEnd w:id="545"/>
      <w:bookmarkEnd w:id="546"/>
    </w:p>
    <w:p w14:paraId="2C97B74A">
      <w:pPr>
        <w:pStyle w:val="51"/>
        <w:outlineLvl w:val="3"/>
        <w:rPr>
          <w:color w:val="auto"/>
          <w:highlight w:val="none"/>
        </w:rPr>
      </w:pPr>
      <w:bookmarkStart w:id="547" w:name="_Toc240967177"/>
      <w:bookmarkStart w:id="548" w:name="_Toc2615"/>
      <w:bookmarkStart w:id="549" w:name="_Toc28062"/>
      <w:r>
        <w:rPr>
          <w:rFonts w:hint="eastAsia"/>
          <w:color w:val="auto"/>
          <w:highlight w:val="none"/>
        </w:rPr>
        <w:t>22.1 承包人违约</w:t>
      </w:r>
      <w:bookmarkEnd w:id="547"/>
      <w:bookmarkEnd w:id="548"/>
      <w:bookmarkEnd w:id="549"/>
    </w:p>
    <w:p w14:paraId="42C9F3B4">
      <w:pPr>
        <w:pStyle w:val="9"/>
        <w:spacing w:line="400" w:lineRule="exact"/>
        <w:ind w:firstLine="420" w:firstLineChars="200"/>
        <w:rPr>
          <w:rFonts w:ascii="宋体" w:hAnsi="宋体"/>
          <w:color w:val="auto"/>
          <w:highlight w:val="none"/>
        </w:rPr>
      </w:pPr>
      <w:r>
        <w:rPr>
          <w:rFonts w:hint="eastAsia" w:ascii="宋体" w:hAnsi="宋体"/>
          <w:color w:val="auto"/>
          <w:highlight w:val="none"/>
        </w:rPr>
        <w:t>22.1.1 承包人违约的情形</w:t>
      </w:r>
    </w:p>
    <w:p w14:paraId="7E7C8D27">
      <w:pPr>
        <w:pStyle w:val="9"/>
        <w:spacing w:line="400" w:lineRule="exact"/>
        <w:ind w:firstLine="420" w:firstLineChars="200"/>
        <w:rPr>
          <w:rFonts w:ascii="宋体" w:hAnsi="宋体"/>
          <w:color w:val="auto"/>
          <w:highlight w:val="none"/>
        </w:rPr>
      </w:pPr>
      <w:r>
        <w:rPr>
          <w:rFonts w:hint="eastAsia" w:ascii="宋体" w:hAnsi="宋体"/>
          <w:color w:val="auto"/>
          <w:highlight w:val="none"/>
        </w:rPr>
        <w:t>在履行合同过程中发生的下列情况属承包人违约：</w:t>
      </w:r>
    </w:p>
    <w:p w14:paraId="395D9DB6">
      <w:pPr>
        <w:pStyle w:val="9"/>
        <w:spacing w:line="400" w:lineRule="exact"/>
        <w:ind w:firstLine="420" w:firstLineChars="200"/>
        <w:rPr>
          <w:rFonts w:ascii="宋体" w:hAnsi="宋体"/>
          <w:color w:val="auto"/>
          <w:highlight w:val="none"/>
        </w:rPr>
      </w:pPr>
      <w:r>
        <w:rPr>
          <w:rFonts w:hint="eastAsia" w:ascii="宋体" w:hAnsi="宋体"/>
          <w:color w:val="auto"/>
          <w:highlight w:val="none"/>
        </w:rPr>
        <w:t>（1）承包人违反第1.8款或第4.3款的约定，私自将合同的全部或部分权利转让给其他人，或私自将合同的全部或部分义务转移给其他人；</w:t>
      </w:r>
    </w:p>
    <w:p w14:paraId="09435E4F">
      <w:pPr>
        <w:pStyle w:val="9"/>
        <w:spacing w:line="400" w:lineRule="exact"/>
        <w:ind w:firstLine="420" w:firstLineChars="200"/>
        <w:rPr>
          <w:rFonts w:ascii="宋体" w:hAnsi="宋体"/>
          <w:color w:val="auto"/>
          <w:highlight w:val="none"/>
        </w:rPr>
      </w:pPr>
      <w:r>
        <w:rPr>
          <w:rFonts w:hint="eastAsia" w:ascii="宋体" w:hAnsi="宋体"/>
          <w:color w:val="auto"/>
          <w:highlight w:val="none"/>
        </w:rPr>
        <w:t>（2）承包人违反第5.3款或第6.4款的约定，未经监理人批准，私自将已按合同约定进入施工场地的施工设备、临时设施或材料撤离施工场地；</w:t>
      </w:r>
    </w:p>
    <w:p w14:paraId="1AE4AC8B">
      <w:pPr>
        <w:pStyle w:val="9"/>
        <w:spacing w:line="400" w:lineRule="exact"/>
        <w:ind w:firstLine="420" w:firstLineChars="200"/>
        <w:rPr>
          <w:rFonts w:ascii="宋体" w:hAnsi="宋体"/>
          <w:color w:val="auto"/>
          <w:highlight w:val="none"/>
        </w:rPr>
      </w:pPr>
      <w:r>
        <w:rPr>
          <w:rFonts w:hint="eastAsia" w:ascii="宋体" w:hAnsi="宋体"/>
          <w:color w:val="auto"/>
          <w:highlight w:val="none"/>
        </w:rPr>
        <w:t>（3）承包人违反第5.4款的约定使用了不合格材料或工程设备，工程质量达不到标准要求，又拒绝清除不合格工程；</w:t>
      </w:r>
    </w:p>
    <w:p w14:paraId="27DF846C">
      <w:pPr>
        <w:pStyle w:val="9"/>
        <w:spacing w:line="400" w:lineRule="exact"/>
        <w:ind w:firstLine="420" w:firstLineChars="200"/>
        <w:rPr>
          <w:rFonts w:ascii="宋体" w:hAnsi="宋体"/>
          <w:color w:val="auto"/>
          <w:highlight w:val="none"/>
        </w:rPr>
      </w:pPr>
      <w:r>
        <w:rPr>
          <w:rFonts w:hint="eastAsia" w:ascii="宋体" w:hAnsi="宋体"/>
          <w:color w:val="auto"/>
          <w:highlight w:val="none"/>
        </w:rPr>
        <w:t>（4）承包人未能按合同进度计划及时完成合同约定的工作，已造成或预期造成工期延误；</w:t>
      </w:r>
    </w:p>
    <w:p w14:paraId="444292C7">
      <w:pPr>
        <w:pStyle w:val="9"/>
        <w:spacing w:line="400" w:lineRule="exact"/>
        <w:ind w:firstLine="420" w:firstLineChars="200"/>
        <w:rPr>
          <w:rFonts w:ascii="宋体" w:hAnsi="宋体"/>
          <w:color w:val="auto"/>
          <w:highlight w:val="none"/>
        </w:rPr>
      </w:pPr>
      <w:r>
        <w:rPr>
          <w:rFonts w:hint="eastAsia" w:ascii="宋体" w:hAnsi="宋体"/>
          <w:color w:val="auto"/>
          <w:highlight w:val="none"/>
        </w:rPr>
        <w:t>（5）承包人在缺陷责任期内，未能对工程接收证书所列的缺陷清单的内容或缺陷责任期内发生的缺陷进行修复，而又拒绝按监理人指示再进行修补；</w:t>
      </w:r>
    </w:p>
    <w:p w14:paraId="68E1EB16">
      <w:pPr>
        <w:pStyle w:val="9"/>
        <w:spacing w:line="400" w:lineRule="exact"/>
        <w:ind w:firstLine="420" w:firstLineChars="200"/>
        <w:rPr>
          <w:rFonts w:ascii="宋体" w:hAnsi="宋体"/>
          <w:color w:val="auto"/>
          <w:highlight w:val="none"/>
        </w:rPr>
      </w:pPr>
      <w:r>
        <w:rPr>
          <w:rFonts w:hint="eastAsia" w:ascii="宋体" w:hAnsi="宋体"/>
          <w:color w:val="auto"/>
          <w:highlight w:val="none"/>
        </w:rPr>
        <w:t>（6）承包人无法继续履行或明确表示不履行或实质上已停止履行合同；</w:t>
      </w:r>
    </w:p>
    <w:p w14:paraId="2EEAE09C">
      <w:pPr>
        <w:pStyle w:val="9"/>
        <w:spacing w:line="400" w:lineRule="exact"/>
        <w:ind w:firstLine="420" w:firstLineChars="200"/>
        <w:rPr>
          <w:rFonts w:ascii="宋体" w:hAnsi="宋体"/>
          <w:color w:val="auto"/>
          <w:highlight w:val="none"/>
        </w:rPr>
      </w:pPr>
      <w:r>
        <w:rPr>
          <w:rFonts w:hint="eastAsia" w:ascii="宋体" w:hAnsi="宋体"/>
          <w:color w:val="auto"/>
          <w:highlight w:val="none"/>
        </w:rPr>
        <w:t>（7）承包人不按合同约定履行义务的其他情况。</w:t>
      </w:r>
    </w:p>
    <w:p w14:paraId="4F4E64B5">
      <w:pPr>
        <w:pStyle w:val="9"/>
        <w:spacing w:line="400" w:lineRule="exact"/>
        <w:ind w:firstLine="420" w:firstLineChars="200"/>
        <w:rPr>
          <w:rFonts w:ascii="宋体" w:hAnsi="宋体"/>
          <w:color w:val="auto"/>
          <w:highlight w:val="none"/>
        </w:rPr>
      </w:pPr>
      <w:r>
        <w:rPr>
          <w:rFonts w:hint="eastAsia" w:ascii="宋体" w:hAnsi="宋体"/>
          <w:color w:val="auto"/>
          <w:highlight w:val="none"/>
        </w:rPr>
        <w:t>22.1.2 对承包人违约的处理</w:t>
      </w:r>
    </w:p>
    <w:p w14:paraId="5349CEED">
      <w:pPr>
        <w:pStyle w:val="9"/>
        <w:spacing w:line="400" w:lineRule="exact"/>
        <w:ind w:firstLine="420" w:firstLineChars="200"/>
        <w:rPr>
          <w:rFonts w:ascii="宋体" w:hAnsi="宋体"/>
          <w:color w:val="auto"/>
          <w:highlight w:val="none"/>
        </w:rPr>
      </w:pPr>
      <w:r>
        <w:rPr>
          <w:rFonts w:hint="eastAsia" w:ascii="宋体" w:hAnsi="宋体"/>
          <w:color w:val="auto"/>
          <w:highlight w:val="none"/>
        </w:rPr>
        <w:t>（1）承包人发生第22.1.1（6）目约定的违约情况时，发包人可通知承包人立即解除合同，并按有关法律处理。</w:t>
      </w:r>
    </w:p>
    <w:p w14:paraId="72D8ABE8">
      <w:pPr>
        <w:pStyle w:val="9"/>
        <w:spacing w:line="400" w:lineRule="exact"/>
        <w:ind w:firstLine="420" w:firstLineChars="200"/>
        <w:rPr>
          <w:rFonts w:ascii="宋体" w:hAnsi="宋体"/>
          <w:color w:val="auto"/>
          <w:highlight w:val="none"/>
        </w:rPr>
      </w:pPr>
      <w:r>
        <w:rPr>
          <w:rFonts w:hint="eastAsia" w:ascii="宋体" w:hAnsi="宋体"/>
          <w:color w:val="auto"/>
          <w:highlight w:val="none"/>
        </w:rPr>
        <w:t>（2）承包人发生除第22.1.1（6）目约定以外的其他违约情况时，监理人可向承包人发出整改通知，要求其在指定的期限内改正。承包人应承担其违约所引起的费用增加和（或）工期延误。</w:t>
      </w:r>
    </w:p>
    <w:p w14:paraId="0822023C">
      <w:pPr>
        <w:pStyle w:val="9"/>
        <w:spacing w:line="400" w:lineRule="exact"/>
        <w:ind w:firstLine="420" w:firstLineChars="200"/>
        <w:rPr>
          <w:rFonts w:ascii="宋体" w:hAnsi="宋体"/>
          <w:color w:val="auto"/>
          <w:highlight w:val="none"/>
        </w:rPr>
      </w:pPr>
      <w:r>
        <w:rPr>
          <w:rFonts w:hint="eastAsia" w:ascii="宋体" w:hAnsi="宋体"/>
          <w:color w:val="auto"/>
          <w:highlight w:val="none"/>
        </w:rPr>
        <w:t>（3）经检查证明承包人已采取了有效措施纠正违约行为，具备复工条件的，可由监理人签发复工通知复工。</w:t>
      </w:r>
    </w:p>
    <w:p w14:paraId="536A7C21">
      <w:pPr>
        <w:pStyle w:val="9"/>
        <w:spacing w:line="400" w:lineRule="exact"/>
        <w:ind w:firstLine="420" w:firstLineChars="200"/>
        <w:rPr>
          <w:rFonts w:ascii="宋体" w:hAnsi="宋体"/>
          <w:color w:val="auto"/>
          <w:highlight w:val="none"/>
        </w:rPr>
      </w:pPr>
      <w:r>
        <w:rPr>
          <w:rFonts w:hint="eastAsia" w:ascii="宋体" w:hAnsi="宋体"/>
          <w:color w:val="auto"/>
          <w:highlight w:val="none"/>
        </w:rPr>
        <w:t>22.1.3 承包人违约解除合同</w:t>
      </w:r>
    </w:p>
    <w:p w14:paraId="3C15CF5F">
      <w:pPr>
        <w:pStyle w:val="9"/>
        <w:spacing w:line="400" w:lineRule="exact"/>
        <w:ind w:firstLine="420" w:firstLineChars="200"/>
        <w:rPr>
          <w:rFonts w:ascii="宋体" w:hAnsi="宋体"/>
          <w:color w:val="auto"/>
          <w:highlight w:val="none"/>
        </w:rPr>
      </w:pPr>
      <w:r>
        <w:rPr>
          <w:rFonts w:hint="eastAsia" w:ascii="宋体" w:hAnsi="宋体"/>
          <w:color w:val="auto"/>
          <w:highlight w:val="none"/>
        </w:rPr>
        <w:t>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p>
    <w:p w14:paraId="54AA30A3">
      <w:pPr>
        <w:pStyle w:val="9"/>
        <w:spacing w:line="400" w:lineRule="exact"/>
        <w:ind w:firstLine="420" w:firstLineChars="200"/>
        <w:rPr>
          <w:rFonts w:ascii="宋体" w:hAnsi="宋体"/>
          <w:color w:val="auto"/>
          <w:highlight w:val="none"/>
        </w:rPr>
      </w:pPr>
      <w:r>
        <w:rPr>
          <w:rFonts w:hint="eastAsia" w:ascii="宋体" w:hAnsi="宋体"/>
          <w:color w:val="auto"/>
          <w:highlight w:val="none"/>
        </w:rPr>
        <w:t>22.1.4 合同解除后的估价、付款和结清</w:t>
      </w:r>
    </w:p>
    <w:p w14:paraId="7A255CDC">
      <w:pPr>
        <w:pStyle w:val="9"/>
        <w:spacing w:line="400" w:lineRule="exact"/>
        <w:ind w:firstLine="420" w:firstLineChars="200"/>
        <w:rPr>
          <w:rFonts w:ascii="宋体" w:hAnsi="宋体"/>
          <w:color w:val="auto"/>
          <w:highlight w:val="none"/>
        </w:rPr>
      </w:pPr>
      <w:r>
        <w:rPr>
          <w:rFonts w:hint="eastAsia" w:ascii="宋体" w:hAnsi="宋体"/>
          <w:color w:val="auto"/>
          <w:highlight w:val="none"/>
        </w:rPr>
        <w:t xml:space="preserve">（1）合同解除后，监理人按第3.5款商定或确定承包人实际完成工作的价值，以及承包人已提供的材料、施工设备、工程设备和临时工程等的价值。 </w:t>
      </w:r>
    </w:p>
    <w:p w14:paraId="055A17F1">
      <w:pPr>
        <w:pStyle w:val="9"/>
        <w:spacing w:line="400" w:lineRule="exact"/>
        <w:ind w:firstLine="420" w:firstLineChars="200"/>
        <w:rPr>
          <w:rFonts w:ascii="宋体" w:hAnsi="宋体"/>
          <w:color w:val="auto"/>
          <w:highlight w:val="none"/>
        </w:rPr>
      </w:pPr>
      <w:r>
        <w:rPr>
          <w:rFonts w:hint="eastAsia" w:ascii="宋体" w:hAnsi="宋体"/>
          <w:color w:val="auto"/>
          <w:highlight w:val="none"/>
        </w:rPr>
        <w:t xml:space="preserve">（2）合同解除后，发包人应暂停对承包人的一切付款，查清各项付款和已扣款金额，包括承包人应支付的违约金。 </w:t>
      </w:r>
    </w:p>
    <w:p w14:paraId="7DD4A178">
      <w:pPr>
        <w:pStyle w:val="9"/>
        <w:spacing w:line="400" w:lineRule="exact"/>
        <w:ind w:firstLine="420" w:firstLineChars="200"/>
        <w:rPr>
          <w:rFonts w:ascii="宋体" w:hAnsi="宋体"/>
          <w:color w:val="auto"/>
          <w:highlight w:val="none"/>
        </w:rPr>
      </w:pPr>
      <w:r>
        <w:rPr>
          <w:rFonts w:hint="eastAsia" w:ascii="宋体" w:hAnsi="宋体"/>
          <w:color w:val="auto"/>
          <w:highlight w:val="none"/>
        </w:rPr>
        <w:t>（3）合同解除后，发包人应按第23.4款的约定向承包人索赔由于解除合同给发包人造成的损失。</w:t>
      </w:r>
    </w:p>
    <w:p w14:paraId="49E3B2D9">
      <w:pPr>
        <w:pStyle w:val="9"/>
        <w:spacing w:line="400" w:lineRule="exact"/>
        <w:ind w:firstLine="420" w:firstLineChars="200"/>
        <w:rPr>
          <w:rFonts w:ascii="宋体" w:hAnsi="宋体"/>
          <w:color w:val="auto"/>
          <w:highlight w:val="none"/>
        </w:rPr>
      </w:pPr>
      <w:r>
        <w:rPr>
          <w:rFonts w:hint="eastAsia" w:ascii="宋体" w:hAnsi="宋体"/>
          <w:color w:val="auto"/>
          <w:highlight w:val="none"/>
        </w:rPr>
        <w:t>（4）合同双方确认上述往来款项后，出具最终结清付款证书，结清全部合同款项。</w:t>
      </w:r>
    </w:p>
    <w:p w14:paraId="296F0424">
      <w:pPr>
        <w:pStyle w:val="9"/>
        <w:spacing w:line="400" w:lineRule="exact"/>
        <w:ind w:firstLine="420" w:firstLineChars="200"/>
        <w:rPr>
          <w:rFonts w:ascii="宋体" w:hAnsi="宋体"/>
          <w:color w:val="auto"/>
          <w:highlight w:val="none"/>
        </w:rPr>
      </w:pPr>
      <w:r>
        <w:rPr>
          <w:rFonts w:hint="eastAsia" w:ascii="宋体" w:hAnsi="宋体"/>
          <w:color w:val="auto"/>
          <w:highlight w:val="none"/>
        </w:rPr>
        <w:t>（5）发包人和承包人未能就解除合同后的结清达成一致而形成争议的，按第24条的约定办理。</w:t>
      </w:r>
    </w:p>
    <w:p w14:paraId="05761871">
      <w:pPr>
        <w:pStyle w:val="9"/>
        <w:spacing w:line="400" w:lineRule="exact"/>
        <w:ind w:firstLine="420" w:firstLineChars="200"/>
        <w:rPr>
          <w:rFonts w:ascii="宋体" w:hAnsi="宋体"/>
          <w:color w:val="auto"/>
          <w:highlight w:val="none"/>
        </w:rPr>
      </w:pPr>
      <w:r>
        <w:rPr>
          <w:rFonts w:hint="eastAsia" w:ascii="宋体" w:hAnsi="宋体"/>
          <w:color w:val="auto"/>
          <w:highlight w:val="none"/>
        </w:rPr>
        <w:t>22.1.5 协议利益的转让</w:t>
      </w:r>
    </w:p>
    <w:p w14:paraId="398BE317">
      <w:pPr>
        <w:pStyle w:val="9"/>
        <w:spacing w:line="400" w:lineRule="exact"/>
        <w:ind w:firstLine="420" w:firstLineChars="200"/>
        <w:rPr>
          <w:rFonts w:ascii="宋体" w:hAnsi="宋体"/>
          <w:color w:val="auto"/>
          <w:highlight w:val="none"/>
        </w:rPr>
      </w:pPr>
      <w:r>
        <w:rPr>
          <w:rFonts w:hint="eastAsia" w:ascii="宋体" w:hAnsi="宋体"/>
          <w:color w:val="auto"/>
          <w:highlight w:val="none"/>
        </w:rPr>
        <w:t xml:space="preserve">因承包人违约解除合同的，发包人有权要求承包人将其为实施合同而签订的材料和设备的订货协议或任何服务协议利益转让给发包人，并在解除合同后的14天内，依法办理转让手续。 </w:t>
      </w:r>
    </w:p>
    <w:p w14:paraId="1D0FE81D">
      <w:pPr>
        <w:pStyle w:val="9"/>
        <w:spacing w:line="400" w:lineRule="exact"/>
        <w:ind w:firstLine="420" w:firstLineChars="200"/>
        <w:rPr>
          <w:rFonts w:ascii="宋体" w:hAnsi="宋体"/>
          <w:color w:val="auto"/>
          <w:highlight w:val="none"/>
        </w:rPr>
      </w:pPr>
      <w:r>
        <w:rPr>
          <w:rFonts w:hint="eastAsia" w:ascii="宋体" w:hAnsi="宋体"/>
          <w:color w:val="auto"/>
          <w:highlight w:val="none"/>
        </w:rPr>
        <w:t>22.1.6 紧急情况下无能力或不愿进行抢救</w:t>
      </w:r>
    </w:p>
    <w:p w14:paraId="00F5AF17">
      <w:pPr>
        <w:pStyle w:val="9"/>
        <w:spacing w:line="400" w:lineRule="exact"/>
        <w:ind w:firstLine="420" w:firstLineChars="200"/>
        <w:rPr>
          <w:rFonts w:ascii="隶书" w:eastAsia="隶书"/>
          <w:color w:val="auto"/>
          <w:highlight w:val="none"/>
        </w:rPr>
      </w:pPr>
      <w:r>
        <w:rPr>
          <w:rFonts w:hint="eastAsia" w:ascii="宋体" w:hAnsi="宋体"/>
          <w:color w:val="auto"/>
          <w:highlight w:val="none"/>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14:paraId="3177A1BB">
      <w:pPr>
        <w:pStyle w:val="51"/>
        <w:outlineLvl w:val="3"/>
        <w:rPr>
          <w:color w:val="auto"/>
          <w:highlight w:val="none"/>
        </w:rPr>
      </w:pPr>
      <w:bookmarkStart w:id="550" w:name="_Toc240967178"/>
      <w:bookmarkStart w:id="551" w:name="_Toc22440"/>
      <w:bookmarkStart w:id="552" w:name="_Toc29863"/>
      <w:r>
        <w:rPr>
          <w:rFonts w:hint="eastAsia"/>
          <w:color w:val="auto"/>
          <w:highlight w:val="none"/>
        </w:rPr>
        <w:t>22.2 发包人违约</w:t>
      </w:r>
      <w:bookmarkEnd w:id="550"/>
      <w:bookmarkEnd w:id="551"/>
      <w:bookmarkEnd w:id="552"/>
    </w:p>
    <w:p w14:paraId="39D8C6B0">
      <w:pPr>
        <w:pStyle w:val="9"/>
        <w:spacing w:line="400" w:lineRule="exact"/>
        <w:ind w:firstLine="420" w:firstLineChars="200"/>
        <w:rPr>
          <w:rFonts w:ascii="宋体" w:hAnsi="宋体"/>
          <w:color w:val="auto"/>
          <w:highlight w:val="none"/>
        </w:rPr>
      </w:pPr>
      <w:r>
        <w:rPr>
          <w:rFonts w:hint="eastAsia" w:ascii="宋体" w:hAnsi="宋体"/>
          <w:color w:val="auto"/>
          <w:highlight w:val="none"/>
        </w:rPr>
        <w:t>22.2.1 发包人违约的情形</w:t>
      </w:r>
    </w:p>
    <w:p w14:paraId="0B868B43">
      <w:pPr>
        <w:pStyle w:val="9"/>
        <w:spacing w:line="400" w:lineRule="exact"/>
        <w:ind w:firstLine="420" w:firstLineChars="200"/>
        <w:rPr>
          <w:rFonts w:ascii="宋体" w:hAnsi="宋体"/>
          <w:color w:val="auto"/>
          <w:highlight w:val="none"/>
        </w:rPr>
      </w:pPr>
      <w:r>
        <w:rPr>
          <w:rFonts w:hint="eastAsia" w:ascii="宋体" w:hAnsi="宋体"/>
          <w:color w:val="auto"/>
          <w:highlight w:val="none"/>
        </w:rPr>
        <w:t>在履行合同过程中发生的下列情形，属发包人违约：</w:t>
      </w:r>
    </w:p>
    <w:p w14:paraId="43C30813">
      <w:pPr>
        <w:pStyle w:val="9"/>
        <w:spacing w:line="400" w:lineRule="exact"/>
        <w:ind w:firstLine="420" w:firstLineChars="200"/>
        <w:rPr>
          <w:rFonts w:ascii="宋体" w:hAnsi="宋体"/>
          <w:color w:val="auto"/>
          <w:highlight w:val="none"/>
        </w:rPr>
      </w:pPr>
      <w:r>
        <w:rPr>
          <w:rFonts w:hint="eastAsia" w:ascii="宋体" w:hAnsi="宋体"/>
          <w:color w:val="auto"/>
          <w:highlight w:val="none"/>
        </w:rPr>
        <w:t>（1）发包人未能按合同约定支付预付款或合同价款，或拖延、拒绝批准付款申请和支付凭证，导致付款延误的；</w:t>
      </w:r>
    </w:p>
    <w:p w14:paraId="5AE14C22">
      <w:pPr>
        <w:pStyle w:val="9"/>
        <w:spacing w:line="400" w:lineRule="exact"/>
        <w:ind w:firstLine="420" w:firstLineChars="200"/>
        <w:rPr>
          <w:rFonts w:ascii="宋体" w:hAnsi="宋体"/>
          <w:color w:val="auto"/>
          <w:highlight w:val="none"/>
        </w:rPr>
      </w:pPr>
      <w:r>
        <w:rPr>
          <w:rFonts w:hint="eastAsia" w:ascii="宋体" w:hAnsi="宋体"/>
          <w:color w:val="auto"/>
          <w:highlight w:val="none"/>
        </w:rPr>
        <w:t>（2）发包人原因造成停工的；</w:t>
      </w:r>
    </w:p>
    <w:p w14:paraId="779AC419">
      <w:pPr>
        <w:pStyle w:val="9"/>
        <w:spacing w:line="400" w:lineRule="exact"/>
        <w:ind w:firstLine="420" w:firstLineChars="200"/>
        <w:rPr>
          <w:rFonts w:ascii="宋体" w:hAnsi="宋体"/>
          <w:color w:val="auto"/>
          <w:highlight w:val="none"/>
        </w:rPr>
      </w:pPr>
      <w:r>
        <w:rPr>
          <w:rFonts w:hint="eastAsia" w:ascii="宋体" w:hAnsi="宋体"/>
          <w:color w:val="auto"/>
          <w:highlight w:val="none"/>
        </w:rPr>
        <w:t>（3）监理人无正当理由没有在约定期限内发出复工指示，导致承包人无法复工的；</w:t>
      </w:r>
    </w:p>
    <w:p w14:paraId="3EEEC55D">
      <w:pPr>
        <w:pStyle w:val="9"/>
        <w:spacing w:line="400" w:lineRule="exact"/>
        <w:ind w:firstLine="420" w:firstLineChars="200"/>
        <w:rPr>
          <w:rFonts w:ascii="宋体" w:hAnsi="宋体"/>
          <w:color w:val="auto"/>
          <w:highlight w:val="none"/>
        </w:rPr>
      </w:pPr>
      <w:r>
        <w:rPr>
          <w:rFonts w:hint="eastAsia" w:ascii="宋体" w:hAnsi="宋体"/>
          <w:color w:val="auto"/>
          <w:highlight w:val="none"/>
        </w:rPr>
        <w:t>（4）发包人无法继续履行或明确表示不履行或实质上已停止履行合同的；</w:t>
      </w:r>
    </w:p>
    <w:p w14:paraId="22A50575">
      <w:pPr>
        <w:pStyle w:val="9"/>
        <w:spacing w:line="400" w:lineRule="exact"/>
        <w:ind w:firstLine="420" w:firstLineChars="200"/>
        <w:rPr>
          <w:rFonts w:ascii="宋体" w:hAnsi="宋体"/>
          <w:color w:val="auto"/>
          <w:highlight w:val="none"/>
        </w:rPr>
      </w:pPr>
      <w:r>
        <w:rPr>
          <w:rFonts w:hint="eastAsia" w:ascii="宋体" w:hAnsi="宋体"/>
          <w:color w:val="auto"/>
          <w:highlight w:val="none"/>
        </w:rPr>
        <w:t>（5）发包人不履行合同约定其他义务的。</w:t>
      </w:r>
    </w:p>
    <w:p w14:paraId="38EF540F">
      <w:pPr>
        <w:pStyle w:val="9"/>
        <w:spacing w:line="400" w:lineRule="exact"/>
        <w:ind w:firstLine="420" w:firstLineChars="200"/>
        <w:rPr>
          <w:rFonts w:ascii="宋体" w:hAnsi="宋体"/>
          <w:color w:val="auto"/>
          <w:highlight w:val="none"/>
        </w:rPr>
      </w:pPr>
      <w:r>
        <w:rPr>
          <w:rFonts w:hint="eastAsia" w:ascii="宋体" w:hAnsi="宋体"/>
          <w:color w:val="auto"/>
          <w:highlight w:val="none"/>
        </w:rPr>
        <w:t>22.2.2 承包人有权暂停施工</w:t>
      </w:r>
    </w:p>
    <w:p w14:paraId="1DD87339">
      <w:pPr>
        <w:pStyle w:val="9"/>
        <w:spacing w:line="400" w:lineRule="exact"/>
        <w:ind w:firstLine="420" w:firstLineChars="200"/>
        <w:rPr>
          <w:rFonts w:ascii="宋体" w:hAnsi="宋体"/>
          <w:color w:val="auto"/>
          <w:highlight w:val="none"/>
        </w:rPr>
      </w:pPr>
      <w:r>
        <w:rPr>
          <w:rFonts w:hint="eastAsia" w:ascii="宋体" w:hAnsi="宋体"/>
          <w:color w:val="auto"/>
          <w:highlight w:val="none"/>
        </w:rPr>
        <w:t>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p>
    <w:p w14:paraId="3FDD850E">
      <w:pPr>
        <w:pStyle w:val="9"/>
        <w:spacing w:line="400" w:lineRule="exact"/>
        <w:ind w:firstLine="420" w:firstLineChars="200"/>
        <w:rPr>
          <w:rFonts w:ascii="宋体" w:hAnsi="宋体"/>
          <w:color w:val="auto"/>
          <w:highlight w:val="none"/>
        </w:rPr>
      </w:pPr>
      <w:r>
        <w:rPr>
          <w:rFonts w:hint="eastAsia" w:ascii="宋体" w:hAnsi="宋体"/>
          <w:color w:val="auto"/>
          <w:highlight w:val="none"/>
        </w:rPr>
        <w:t xml:space="preserve">22.2.3 发包人违约解除合同 </w:t>
      </w:r>
    </w:p>
    <w:p w14:paraId="3388269B">
      <w:pPr>
        <w:pStyle w:val="9"/>
        <w:spacing w:line="400" w:lineRule="exact"/>
        <w:ind w:firstLine="420" w:firstLineChars="200"/>
        <w:rPr>
          <w:rFonts w:ascii="宋体" w:hAnsi="宋体"/>
          <w:color w:val="auto"/>
          <w:highlight w:val="none"/>
        </w:rPr>
      </w:pPr>
      <w:r>
        <w:rPr>
          <w:rFonts w:hint="eastAsia" w:ascii="宋体" w:hAnsi="宋体"/>
          <w:color w:val="auto"/>
          <w:highlight w:val="none"/>
        </w:rPr>
        <w:t xml:space="preserve">（1）发生第22.2.1（4）目的违约情况时，承包人可书面通知发包人解除合同。   </w:t>
      </w:r>
    </w:p>
    <w:p w14:paraId="20622630">
      <w:pPr>
        <w:pStyle w:val="9"/>
        <w:spacing w:line="400" w:lineRule="exact"/>
        <w:ind w:firstLine="420" w:firstLineChars="200"/>
        <w:rPr>
          <w:rFonts w:ascii="宋体" w:hAnsi="宋体"/>
          <w:color w:val="auto"/>
          <w:highlight w:val="none"/>
        </w:rPr>
      </w:pPr>
      <w:r>
        <w:rPr>
          <w:rFonts w:hint="eastAsia" w:ascii="宋体" w:hAnsi="宋体"/>
          <w:color w:val="auto"/>
          <w:highlight w:val="none"/>
        </w:rPr>
        <w:t>（2）承包人按22.2.2项暂停施工28天后，发包人仍不纠正违约行为的，承包人可向发包人发出解除合同通知。但承包人的这一行动不免除发包人承担的违约责任，也不影响承包人根据合同约定享有的索赔权利。</w:t>
      </w:r>
    </w:p>
    <w:p w14:paraId="60E16C9B">
      <w:pPr>
        <w:pStyle w:val="9"/>
        <w:spacing w:line="400" w:lineRule="exact"/>
        <w:ind w:firstLine="420" w:firstLineChars="200"/>
        <w:rPr>
          <w:rFonts w:ascii="宋体" w:hAnsi="宋体"/>
          <w:color w:val="auto"/>
          <w:highlight w:val="none"/>
        </w:rPr>
      </w:pPr>
      <w:r>
        <w:rPr>
          <w:rFonts w:hint="eastAsia" w:ascii="宋体" w:hAnsi="宋体"/>
          <w:color w:val="auto"/>
          <w:highlight w:val="none"/>
        </w:rPr>
        <w:t>22.2.4 解除合同后的付款</w:t>
      </w:r>
    </w:p>
    <w:p w14:paraId="19021E95">
      <w:pPr>
        <w:pStyle w:val="9"/>
        <w:spacing w:line="400" w:lineRule="exact"/>
        <w:ind w:firstLine="420" w:firstLineChars="200"/>
        <w:rPr>
          <w:rFonts w:ascii="宋体" w:hAnsi="宋体"/>
          <w:color w:val="auto"/>
          <w:highlight w:val="none"/>
        </w:rPr>
      </w:pPr>
      <w:r>
        <w:rPr>
          <w:rFonts w:hint="eastAsia" w:ascii="宋体" w:hAnsi="宋体"/>
          <w:color w:val="auto"/>
          <w:highlight w:val="none"/>
        </w:rPr>
        <w:t>因发包人违约解除合同的，发包人应在解除合同后28天内向承包人支付下列金额，承包人应在此期限内及时向发包人提交要求支付下列金额的有关资料和凭证：</w:t>
      </w:r>
    </w:p>
    <w:p w14:paraId="64A24771">
      <w:pPr>
        <w:pStyle w:val="9"/>
        <w:spacing w:line="400" w:lineRule="exact"/>
        <w:ind w:firstLine="420" w:firstLineChars="200"/>
        <w:rPr>
          <w:rFonts w:ascii="宋体" w:hAnsi="宋体"/>
          <w:color w:val="auto"/>
          <w:highlight w:val="none"/>
        </w:rPr>
      </w:pPr>
      <w:r>
        <w:rPr>
          <w:rFonts w:hint="eastAsia" w:ascii="宋体" w:hAnsi="宋体"/>
          <w:color w:val="auto"/>
          <w:highlight w:val="none"/>
        </w:rPr>
        <w:t>（1）合同解除日以前所完成工作的价款；</w:t>
      </w:r>
    </w:p>
    <w:p w14:paraId="10684B07">
      <w:pPr>
        <w:pStyle w:val="9"/>
        <w:spacing w:line="400" w:lineRule="exact"/>
        <w:ind w:firstLine="420" w:firstLineChars="200"/>
        <w:rPr>
          <w:rFonts w:ascii="宋体" w:hAnsi="宋体"/>
          <w:color w:val="auto"/>
          <w:highlight w:val="none"/>
        </w:rPr>
      </w:pPr>
      <w:r>
        <w:rPr>
          <w:rFonts w:hint="eastAsia" w:ascii="宋体" w:hAnsi="宋体"/>
          <w:color w:val="auto"/>
          <w:highlight w:val="none"/>
        </w:rPr>
        <w:t>（2）承包人为该工程施工订购并已付款的材料、工程设备和其他物品的金额。发包人付还后，该材料、工程设备和其他物品归发包人所有；</w:t>
      </w:r>
    </w:p>
    <w:p w14:paraId="7302AC58">
      <w:pPr>
        <w:pStyle w:val="9"/>
        <w:spacing w:line="400" w:lineRule="exact"/>
        <w:ind w:firstLine="420" w:firstLineChars="200"/>
        <w:rPr>
          <w:rFonts w:ascii="宋体" w:hAnsi="宋体"/>
          <w:color w:val="auto"/>
          <w:highlight w:val="none"/>
        </w:rPr>
      </w:pPr>
      <w:r>
        <w:rPr>
          <w:rFonts w:hint="eastAsia" w:ascii="宋体" w:hAnsi="宋体"/>
          <w:color w:val="auto"/>
          <w:highlight w:val="none"/>
        </w:rPr>
        <w:t>（3）承包人为完成工程所发生的，而发包人未支付的金额；</w:t>
      </w:r>
    </w:p>
    <w:p w14:paraId="136100CD">
      <w:pPr>
        <w:pStyle w:val="9"/>
        <w:spacing w:line="400" w:lineRule="exact"/>
        <w:ind w:firstLine="420" w:firstLineChars="200"/>
        <w:rPr>
          <w:rFonts w:ascii="宋体" w:hAnsi="宋体"/>
          <w:color w:val="auto"/>
          <w:highlight w:val="none"/>
        </w:rPr>
      </w:pPr>
      <w:r>
        <w:rPr>
          <w:rFonts w:hint="eastAsia" w:ascii="宋体" w:hAnsi="宋体"/>
          <w:color w:val="auto"/>
          <w:highlight w:val="none"/>
        </w:rPr>
        <w:t>（4）承包人撤离施工场地以及遣散承包人人员的金额；</w:t>
      </w:r>
    </w:p>
    <w:p w14:paraId="641DF517">
      <w:pPr>
        <w:pStyle w:val="9"/>
        <w:spacing w:line="400" w:lineRule="exact"/>
        <w:ind w:firstLine="420" w:firstLineChars="200"/>
        <w:rPr>
          <w:rFonts w:ascii="宋体" w:hAnsi="宋体"/>
          <w:color w:val="auto"/>
          <w:highlight w:val="none"/>
        </w:rPr>
      </w:pPr>
      <w:r>
        <w:rPr>
          <w:rFonts w:hint="eastAsia" w:ascii="宋体" w:hAnsi="宋体"/>
          <w:color w:val="auto"/>
          <w:highlight w:val="none"/>
        </w:rPr>
        <w:t>（5）由于解除合同应赔偿的承包人损失；</w:t>
      </w:r>
    </w:p>
    <w:p w14:paraId="15D1F513">
      <w:pPr>
        <w:pStyle w:val="9"/>
        <w:spacing w:line="400" w:lineRule="exact"/>
        <w:ind w:firstLine="420" w:firstLineChars="200"/>
        <w:rPr>
          <w:rFonts w:ascii="宋体" w:hAnsi="宋体"/>
          <w:color w:val="auto"/>
          <w:highlight w:val="none"/>
        </w:rPr>
      </w:pPr>
      <w:r>
        <w:rPr>
          <w:rFonts w:hint="eastAsia" w:ascii="宋体" w:hAnsi="宋体"/>
          <w:color w:val="auto"/>
          <w:highlight w:val="none"/>
        </w:rPr>
        <w:t>（6）按合同约定在合同解除日前应支付给承包人的其他金额。</w:t>
      </w:r>
    </w:p>
    <w:p w14:paraId="06039E23">
      <w:pPr>
        <w:pStyle w:val="9"/>
        <w:spacing w:line="400" w:lineRule="exact"/>
        <w:ind w:firstLine="420" w:firstLineChars="200"/>
        <w:rPr>
          <w:rFonts w:ascii="宋体" w:hAnsi="宋体"/>
          <w:color w:val="auto"/>
          <w:highlight w:val="none"/>
        </w:rPr>
      </w:pPr>
      <w:r>
        <w:rPr>
          <w:rFonts w:hint="eastAsia" w:ascii="宋体" w:hAnsi="宋体"/>
          <w:color w:val="auto"/>
          <w:highlight w:val="none"/>
        </w:rPr>
        <w:t>发包人应按本项约定支付上述金额并退还质量保证金和履约担保，但有权要求承包人支付应偿还给发包人的各项金额。</w:t>
      </w:r>
    </w:p>
    <w:p w14:paraId="72DA920C">
      <w:pPr>
        <w:pStyle w:val="9"/>
        <w:spacing w:line="400" w:lineRule="exact"/>
        <w:ind w:firstLine="420" w:firstLineChars="200"/>
        <w:rPr>
          <w:rFonts w:ascii="宋体" w:hAnsi="宋体"/>
          <w:color w:val="auto"/>
          <w:highlight w:val="none"/>
        </w:rPr>
      </w:pPr>
      <w:r>
        <w:rPr>
          <w:rFonts w:hint="eastAsia" w:ascii="宋体" w:hAnsi="宋体"/>
          <w:color w:val="auto"/>
          <w:highlight w:val="none"/>
        </w:rPr>
        <w:t>22.2.5 解除合同后的承包人撤离</w:t>
      </w:r>
    </w:p>
    <w:p w14:paraId="7119FED8">
      <w:pPr>
        <w:pStyle w:val="9"/>
        <w:spacing w:line="400" w:lineRule="exact"/>
        <w:ind w:firstLine="420" w:firstLineChars="200"/>
        <w:rPr>
          <w:rFonts w:ascii="隶书" w:eastAsia="隶书"/>
          <w:color w:val="auto"/>
          <w:highlight w:val="none"/>
        </w:rPr>
      </w:pPr>
      <w:r>
        <w:rPr>
          <w:rFonts w:hint="eastAsia" w:ascii="宋体" w:hAnsi="宋体"/>
          <w:color w:val="auto"/>
          <w:highlight w:val="none"/>
        </w:rPr>
        <w:t>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p>
    <w:p w14:paraId="1DD70FC9">
      <w:pPr>
        <w:pStyle w:val="51"/>
        <w:outlineLvl w:val="3"/>
        <w:rPr>
          <w:color w:val="auto"/>
          <w:highlight w:val="none"/>
        </w:rPr>
      </w:pPr>
      <w:bookmarkStart w:id="553" w:name="_Toc5195"/>
      <w:bookmarkStart w:id="554" w:name="_Toc240967179"/>
      <w:bookmarkStart w:id="555" w:name="_Toc8002"/>
      <w:r>
        <w:rPr>
          <w:rFonts w:hint="eastAsia"/>
          <w:color w:val="auto"/>
          <w:highlight w:val="none"/>
        </w:rPr>
        <w:t>22.3 第三人造成的违约</w:t>
      </w:r>
      <w:bookmarkEnd w:id="553"/>
      <w:bookmarkEnd w:id="554"/>
      <w:bookmarkEnd w:id="555"/>
    </w:p>
    <w:p w14:paraId="3D6FDA30">
      <w:pPr>
        <w:pStyle w:val="9"/>
        <w:spacing w:line="400" w:lineRule="exact"/>
        <w:ind w:firstLine="420" w:firstLineChars="200"/>
        <w:rPr>
          <w:rFonts w:ascii="宋体" w:hAnsi="宋体"/>
          <w:color w:val="auto"/>
          <w:highlight w:val="none"/>
        </w:rPr>
      </w:pPr>
      <w:r>
        <w:rPr>
          <w:rFonts w:hint="eastAsia" w:ascii="宋体" w:hAnsi="宋体"/>
          <w:color w:val="auto"/>
          <w:highlight w:val="none"/>
        </w:rPr>
        <w:t>在履行合同过程中，一方当事人因第三人的原因造成违约的，应当向对方当事人承担违约责任。一方当事人和第三人之间的纠纷，依照法律规定或者按照约定解决。</w:t>
      </w:r>
    </w:p>
    <w:p w14:paraId="3078AD14">
      <w:pPr>
        <w:pStyle w:val="52"/>
        <w:outlineLvl w:val="2"/>
        <w:rPr>
          <w:color w:val="auto"/>
          <w:highlight w:val="none"/>
        </w:rPr>
      </w:pPr>
      <w:bookmarkStart w:id="556" w:name="_Toc11171"/>
      <w:bookmarkStart w:id="557" w:name="_Toc240967180"/>
      <w:bookmarkStart w:id="558" w:name="_Toc24906"/>
      <w:r>
        <w:rPr>
          <w:rFonts w:hint="eastAsia"/>
          <w:color w:val="auto"/>
          <w:highlight w:val="none"/>
        </w:rPr>
        <w:t>23. 索赔</w:t>
      </w:r>
      <w:bookmarkEnd w:id="556"/>
      <w:bookmarkEnd w:id="557"/>
      <w:bookmarkEnd w:id="558"/>
    </w:p>
    <w:p w14:paraId="44B98A44">
      <w:pPr>
        <w:pStyle w:val="51"/>
        <w:outlineLvl w:val="3"/>
        <w:rPr>
          <w:color w:val="auto"/>
          <w:highlight w:val="none"/>
        </w:rPr>
      </w:pPr>
      <w:bookmarkStart w:id="559" w:name="_Toc22535"/>
      <w:bookmarkStart w:id="560" w:name="_Toc17429"/>
      <w:bookmarkStart w:id="561" w:name="_Toc240967181"/>
      <w:r>
        <w:rPr>
          <w:rFonts w:hint="eastAsia"/>
          <w:color w:val="auto"/>
          <w:highlight w:val="none"/>
        </w:rPr>
        <w:t>23.1 承包人索赔的提出</w:t>
      </w:r>
      <w:bookmarkEnd w:id="559"/>
      <w:bookmarkEnd w:id="560"/>
      <w:bookmarkEnd w:id="561"/>
    </w:p>
    <w:p w14:paraId="2814DA21">
      <w:pPr>
        <w:pStyle w:val="9"/>
        <w:spacing w:line="400" w:lineRule="exact"/>
        <w:ind w:firstLine="420" w:firstLineChars="200"/>
        <w:rPr>
          <w:rFonts w:ascii="宋体" w:hAnsi="宋体"/>
          <w:color w:val="auto"/>
          <w:highlight w:val="none"/>
        </w:rPr>
      </w:pPr>
      <w:r>
        <w:rPr>
          <w:rFonts w:hint="eastAsia" w:ascii="宋体" w:hAnsi="宋体"/>
          <w:color w:val="auto"/>
          <w:highlight w:val="none"/>
        </w:rPr>
        <w:t>根据合同约定，承包人认为有权得到追加付款和（或）延长工期的，应按以下程序向发包人提出索赔：</w:t>
      </w:r>
    </w:p>
    <w:p w14:paraId="2CE315AD">
      <w:pPr>
        <w:pStyle w:val="9"/>
        <w:spacing w:line="400" w:lineRule="exact"/>
        <w:ind w:firstLine="420" w:firstLineChars="200"/>
        <w:rPr>
          <w:rFonts w:ascii="宋体" w:hAnsi="宋体"/>
          <w:color w:val="auto"/>
          <w:highlight w:val="none"/>
        </w:rPr>
      </w:pPr>
      <w:r>
        <w:rPr>
          <w:rFonts w:hint="eastAsia" w:ascii="宋体" w:hAnsi="宋体"/>
          <w:color w:val="auto"/>
          <w:highlight w:val="none"/>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419A6045">
      <w:pPr>
        <w:pStyle w:val="9"/>
        <w:spacing w:line="400" w:lineRule="exact"/>
        <w:ind w:firstLine="420" w:firstLineChars="200"/>
        <w:rPr>
          <w:rFonts w:ascii="宋体" w:hAnsi="宋体"/>
          <w:color w:val="auto"/>
          <w:highlight w:val="none"/>
        </w:rPr>
      </w:pPr>
      <w:r>
        <w:rPr>
          <w:rFonts w:hint="eastAsia" w:ascii="宋体" w:hAnsi="宋体"/>
          <w:color w:val="auto"/>
          <w:highlight w:val="none"/>
        </w:rPr>
        <w:t>（2）承包人应在发出索赔意向通知书后28天内，向监理人正式递交索赔通知书。索赔通知书应详细说明索赔理由以及要求追加的付款金额和（或）延长的工期，并附必要的记录和证明材料；</w:t>
      </w:r>
    </w:p>
    <w:p w14:paraId="7932D3CF">
      <w:pPr>
        <w:pStyle w:val="9"/>
        <w:spacing w:line="400" w:lineRule="exact"/>
        <w:ind w:firstLine="420" w:firstLineChars="200"/>
        <w:rPr>
          <w:rFonts w:ascii="宋体" w:hAnsi="宋体"/>
          <w:color w:val="auto"/>
          <w:highlight w:val="none"/>
        </w:rPr>
      </w:pPr>
      <w:r>
        <w:rPr>
          <w:rFonts w:hint="eastAsia" w:ascii="宋体" w:hAnsi="宋体"/>
          <w:color w:val="auto"/>
          <w:highlight w:val="none"/>
        </w:rPr>
        <w:t>（3）索赔事件具有连续影响的，承包人应按合理时间间隔继续递交延续索赔通知，说明连续影响的实际情况和记录，列出累计的追加付款金额和（或）工期延长天数；</w:t>
      </w:r>
    </w:p>
    <w:p w14:paraId="4CB963EB">
      <w:pPr>
        <w:pStyle w:val="9"/>
        <w:spacing w:line="400" w:lineRule="exact"/>
        <w:ind w:firstLine="420" w:firstLineChars="200"/>
        <w:rPr>
          <w:rFonts w:ascii="隶书" w:eastAsia="隶书"/>
          <w:color w:val="auto"/>
          <w:highlight w:val="none"/>
        </w:rPr>
      </w:pPr>
      <w:r>
        <w:rPr>
          <w:rFonts w:hint="eastAsia" w:ascii="宋体" w:hAnsi="宋体"/>
          <w:color w:val="auto"/>
          <w:highlight w:val="none"/>
        </w:rPr>
        <w:t>（4）在索赔事件影响结束后的28天内，承包人应向监理人递交最终索赔通知书，说明最终要求索赔的追加付款金额和延长的工期，并附必要的记录和证明材料。</w:t>
      </w:r>
    </w:p>
    <w:p w14:paraId="29FBF7C2">
      <w:pPr>
        <w:pStyle w:val="51"/>
        <w:outlineLvl w:val="3"/>
        <w:rPr>
          <w:color w:val="auto"/>
          <w:highlight w:val="none"/>
        </w:rPr>
      </w:pPr>
      <w:bookmarkStart w:id="562" w:name="_Toc23401"/>
      <w:bookmarkStart w:id="563" w:name="_Toc26446"/>
      <w:bookmarkStart w:id="564" w:name="_Toc240967182"/>
      <w:r>
        <w:rPr>
          <w:rFonts w:hint="eastAsia"/>
          <w:color w:val="auto"/>
          <w:highlight w:val="none"/>
        </w:rPr>
        <w:t>23.2 承包人索赔处理程序</w:t>
      </w:r>
      <w:bookmarkEnd w:id="562"/>
      <w:bookmarkEnd w:id="563"/>
      <w:bookmarkEnd w:id="564"/>
    </w:p>
    <w:p w14:paraId="1D65BC28">
      <w:pPr>
        <w:pStyle w:val="9"/>
        <w:spacing w:line="400" w:lineRule="exact"/>
        <w:ind w:firstLine="420" w:firstLineChars="200"/>
        <w:rPr>
          <w:rFonts w:ascii="宋体" w:hAnsi="宋体"/>
          <w:color w:val="auto"/>
          <w:highlight w:val="none"/>
        </w:rPr>
      </w:pPr>
      <w:r>
        <w:rPr>
          <w:rFonts w:hint="eastAsia" w:ascii="宋体" w:hAnsi="宋体"/>
          <w:color w:val="auto"/>
          <w:highlight w:val="none"/>
        </w:rPr>
        <w:t>（1）监理人收到承包人提交的索赔通知书后，应及时审查索赔通知书的内容、查验承包人的记录和证明材料，必要时监理人可要求承包人提交全部原始记录副本。</w:t>
      </w:r>
    </w:p>
    <w:p w14:paraId="484B3DC5">
      <w:pPr>
        <w:pStyle w:val="9"/>
        <w:spacing w:line="400" w:lineRule="exact"/>
        <w:ind w:firstLine="420" w:firstLineChars="200"/>
        <w:rPr>
          <w:rFonts w:ascii="宋体" w:hAnsi="宋体"/>
          <w:color w:val="auto"/>
          <w:highlight w:val="none"/>
        </w:rPr>
      </w:pPr>
      <w:r>
        <w:rPr>
          <w:rFonts w:hint="eastAsia" w:ascii="宋体" w:hAnsi="宋体"/>
          <w:color w:val="auto"/>
          <w:highlight w:val="none"/>
        </w:rPr>
        <w:t>（2）监理人应按第3.5款商定或确定追加的付款和（或）延长的工期，并在收到上述索赔通知书或有关索赔的进一步证明材料后的42天内，将索赔处理结果答复承包人。</w:t>
      </w:r>
    </w:p>
    <w:p w14:paraId="481C5E02">
      <w:pPr>
        <w:pStyle w:val="9"/>
        <w:spacing w:line="400" w:lineRule="exact"/>
        <w:ind w:firstLine="420" w:firstLineChars="200"/>
        <w:rPr>
          <w:rFonts w:ascii="宋体" w:hAnsi="宋体"/>
          <w:color w:val="auto"/>
          <w:highlight w:val="none"/>
        </w:rPr>
      </w:pPr>
      <w:r>
        <w:rPr>
          <w:rFonts w:hint="eastAsia" w:ascii="宋体" w:hAnsi="宋体"/>
          <w:color w:val="auto"/>
          <w:highlight w:val="none"/>
        </w:rPr>
        <w:t>（3）承包人接受索赔处理结果的，发包人应在作出索赔处理结果答复后28天内完成赔付。承包人不接受索赔处理结果的，按第24条的约定办理。</w:t>
      </w:r>
    </w:p>
    <w:p w14:paraId="5E2907B6">
      <w:pPr>
        <w:pStyle w:val="51"/>
        <w:outlineLvl w:val="3"/>
        <w:rPr>
          <w:color w:val="auto"/>
          <w:highlight w:val="none"/>
        </w:rPr>
      </w:pPr>
      <w:bookmarkStart w:id="565" w:name="_Toc30960"/>
      <w:bookmarkStart w:id="566" w:name="_Toc26403"/>
      <w:bookmarkStart w:id="567" w:name="_Toc240967183"/>
      <w:r>
        <w:rPr>
          <w:rFonts w:hint="eastAsia"/>
          <w:color w:val="auto"/>
          <w:highlight w:val="none"/>
        </w:rPr>
        <w:t>23.3 承包人提出索赔的期限</w:t>
      </w:r>
      <w:bookmarkEnd w:id="565"/>
      <w:bookmarkEnd w:id="566"/>
      <w:bookmarkEnd w:id="567"/>
    </w:p>
    <w:p w14:paraId="1AE366D2">
      <w:pPr>
        <w:pStyle w:val="9"/>
        <w:spacing w:line="400" w:lineRule="exact"/>
        <w:ind w:firstLine="420" w:firstLineChars="200"/>
        <w:rPr>
          <w:rFonts w:ascii="宋体" w:hAnsi="宋体"/>
          <w:color w:val="auto"/>
          <w:highlight w:val="none"/>
        </w:rPr>
      </w:pPr>
      <w:r>
        <w:rPr>
          <w:rFonts w:hint="eastAsia" w:ascii="宋体" w:hAnsi="宋体"/>
          <w:color w:val="auto"/>
          <w:highlight w:val="none"/>
        </w:rPr>
        <w:t>23.3.1 承包人按第17.5款的约定接受了竣工付款证书后，应被认为已无权再提出在合同工程接收证书颁发前所发生的任何索赔。</w:t>
      </w:r>
    </w:p>
    <w:p w14:paraId="15900FA1">
      <w:pPr>
        <w:pStyle w:val="9"/>
        <w:spacing w:line="400" w:lineRule="exact"/>
        <w:ind w:firstLine="420" w:firstLineChars="200"/>
        <w:rPr>
          <w:rFonts w:ascii="宋体" w:hAnsi="宋体"/>
          <w:color w:val="auto"/>
          <w:highlight w:val="none"/>
        </w:rPr>
      </w:pPr>
      <w:r>
        <w:rPr>
          <w:rFonts w:hint="eastAsia" w:ascii="宋体" w:hAnsi="宋体"/>
          <w:color w:val="auto"/>
          <w:highlight w:val="none"/>
        </w:rPr>
        <w:t xml:space="preserve">23.3.2 承包人按第17.6款的约定提交的最终结清申请单中，只限于提出工程接收证书颁发后发生的索赔。提出索赔的期限自接受最终结清证书时终止。 </w:t>
      </w:r>
    </w:p>
    <w:p w14:paraId="7EE266CF">
      <w:pPr>
        <w:pStyle w:val="51"/>
        <w:outlineLvl w:val="3"/>
        <w:rPr>
          <w:color w:val="auto"/>
          <w:highlight w:val="none"/>
        </w:rPr>
      </w:pPr>
      <w:bookmarkStart w:id="568" w:name="_Toc13256"/>
      <w:bookmarkStart w:id="569" w:name="_Toc240967184"/>
      <w:bookmarkStart w:id="570" w:name="_Toc30678"/>
      <w:r>
        <w:rPr>
          <w:rFonts w:hint="eastAsia"/>
          <w:color w:val="auto"/>
          <w:highlight w:val="none"/>
        </w:rPr>
        <w:t>23.4 发包人的索赔</w:t>
      </w:r>
      <w:bookmarkEnd w:id="568"/>
      <w:bookmarkEnd w:id="569"/>
      <w:bookmarkEnd w:id="570"/>
    </w:p>
    <w:p w14:paraId="7A0C2A21">
      <w:pPr>
        <w:pStyle w:val="9"/>
        <w:spacing w:line="400" w:lineRule="exact"/>
        <w:ind w:firstLine="420" w:firstLineChars="200"/>
        <w:rPr>
          <w:rFonts w:ascii="宋体" w:hAnsi="宋体"/>
          <w:color w:val="auto"/>
          <w:highlight w:val="none"/>
        </w:rPr>
      </w:pPr>
      <w:r>
        <w:rPr>
          <w:rFonts w:hint="eastAsia" w:ascii="宋体" w:hAnsi="宋体"/>
          <w:color w:val="auto"/>
          <w:highlight w:val="none"/>
        </w:rPr>
        <w:t>23.4.1 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p>
    <w:p w14:paraId="2F17206E">
      <w:pPr>
        <w:pStyle w:val="9"/>
        <w:spacing w:line="400" w:lineRule="exact"/>
        <w:ind w:firstLine="420" w:firstLineChars="200"/>
        <w:rPr>
          <w:rFonts w:ascii="宋体" w:hAnsi="宋体"/>
          <w:color w:val="auto"/>
          <w:highlight w:val="none"/>
        </w:rPr>
      </w:pPr>
      <w:r>
        <w:rPr>
          <w:rFonts w:hint="eastAsia" w:ascii="宋体" w:hAnsi="宋体"/>
          <w:color w:val="auto"/>
          <w:highlight w:val="none"/>
        </w:rPr>
        <w:t>23.4.2 监理人按第3.5款商定或确定发包人从承包人处得到赔付的金额和（或）缺陷责任期的延长期。承包人应付给发包人的金额可从拟支付给承包人的合同价款中扣除，或由承包人以其他方式支付给发包人。</w:t>
      </w:r>
    </w:p>
    <w:p w14:paraId="55B6C1C7">
      <w:pPr>
        <w:pStyle w:val="52"/>
        <w:outlineLvl w:val="2"/>
        <w:rPr>
          <w:color w:val="auto"/>
          <w:highlight w:val="none"/>
        </w:rPr>
      </w:pPr>
      <w:bookmarkStart w:id="571" w:name="_Toc240967185"/>
      <w:bookmarkStart w:id="572" w:name="_Toc18738"/>
      <w:bookmarkStart w:id="573" w:name="_Toc3985"/>
      <w:r>
        <w:rPr>
          <w:rFonts w:hint="eastAsia"/>
          <w:color w:val="auto"/>
          <w:highlight w:val="none"/>
        </w:rPr>
        <w:t>24. 争议的解决</w:t>
      </w:r>
      <w:bookmarkEnd w:id="571"/>
      <w:bookmarkEnd w:id="572"/>
      <w:bookmarkEnd w:id="573"/>
    </w:p>
    <w:p w14:paraId="57C7CBC2">
      <w:pPr>
        <w:pStyle w:val="51"/>
        <w:outlineLvl w:val="3"/>
        <w:rPr>
          <w:color w:val="auto"/>
          <w:highlight w:val="none"/>
        </w:rPr>
      </w:pPr>
      <w:bookmarkStart w:id="574" w:name="_Toc240967186"/>
      <w:bookmarkStart w:id="575" w:name="_Toc17276"/>
      <w:bookmarkStart w:id="576" w:name="_Toc28328"/>
      <w:r>
        <w:rPr>
          <w:rFonts w:hint="eastAsia"/>
          <w:color w:val="auto"/>
          <w:highlight w:val="none"/>
        </w:rPr>
        <w:t>24.1 争议的解决方式</w:t>
      </w:r>
      <w:bookmarkEnd w:id="574"/>
      <w:bookmarkEnd w:id="575"/>
      <w:bookmarkEnd w:id="576"/>
    </w:p>
    <w:p w14:paraId="183EE86F">
      <w:pPr>
        <w:pStyle w:val="9"/>
        <w:spacing w:line="400" w:lineRule="exact"/>
        <w:ind w:firstLine="420" w:firstLineChars="200"/>
        <w:rPr>
          <w:rFonts w:ascii="宋体" w:hAnsi="宋体"/>
          <w:color w:val="auto"/>
          <w:highlight w:val="none"/>
        </w:rPr>
      </w:pPr>
      <w:r>
        <w:rPr>
          <w:rFonts w:hint="eastAsia" w:ascii="宋体" w:hAnsi="宋体"/>
          <w:color w:val="auto"/>
          <w:highlight w:val="none"/>
        </w:rPr>
        <w:t>发包人和承包人在履行合同中发生争议的，可以友好协商解决或者提请争议评审组评审。合同当事人友好协商解决不成、不愿提请争议评审或者不接受争议评审组意见的，可在专用合同条款中约定下列一种方式解决。</w:t>
      </w:r>
    </w:p>
    <w:p w14:paraId="51BA9974">
      <w:pPr>
        <w:pStyle w:val="9"/>
        <w:spacing w:line="400" w:lineRule="exact"/>
        <w:ind w:firstLine="420" w:firstLineChars="200"/>
        <w:rPr>
          <w:rFonts w:ascii="宋体" w:hAnsi="宋体"/>
          <w:color w:val="auto"/>
          <w:highlight w:val="none"/>
        </w:rPr>
      </w:pPr>
      <w:r>
        <w:rPr>
          <w:rFonts w:hint="eastAsia" w:ascii="宋体" w:hAnsi="宋体"/>
          <w:color w:val="auto"/>
          <w:highlight w:val="none"/>
        </w:rPr>
        <w:t>（1）向约定的仲裁委员会申请仲裁；</w:t>
      </w:r>
    </w:p>
    <w:p w14:paraId="2EC7603E">
      <w:pPr>
        <w:pStyle w:val="9"/>
        <w:spacing w:line="400" w:lineRule="exact"/>
        <w:ind w:firstLine="420" w:firstLineChars="200"/>
        <w:rPr>
          <w:rFonts w:ascii="宋体" w:hAnsi="宋体"/>
          <w:color w:val="auto"/>
          <w:highlight w:val="none"/>
        </w:rPr>
      </w:pPr>
      <w:r>
        <w:rPr>
          <w:rFonts w:hint="eastAsia" w:ascii="宋体" w:hAnsi="宋体"/>
          <w:color w:val="auto"/>
          <w:highlight w:val="none"/>
        </w:rPr>
        <w:t>（2）向有管辖权的人民法院提起诉讼。</w:t>
      </w:r>
    </w:p>
    <w:p w14:paraId="3DAB4C86">
      <w:pPr>
        <w:pStyle w:val="51"/>
        <w:outlineLvl w:val="3"/>
        <w:rPr>
          <w:color w:val="auto"/>
          <w:highlight w:val="none"/>
        </w:rPr>
      </w:pPr>
      <w:bookmarkStart w:id="577" w:name="_Toc240967187"/>
      <w:bookmarkStart w:id="578" w:name="_Toc27799"/>
      <w:bookmarkStart w:id="579" w:name="_Toc26268"/>
      <w:r>
        <w:rPr>
          <w:rFonts w:hint="eastAsia"/>
          <w:color w:val="auto"/>
          <w:highlight w:val="none"/>
        </w:rPr>
        <w:t>24.2 友好解决</w:t>
      </w:r>
      <w:bookmarkEnd w:id="577"/>
      <w:bookmarkEnd w:id="578"/>
      <w:bookmarkEnd w:id="579"/>
    </w:p>
    <w:p w14:paraId="6BEF4E18">
      <w:pPr>
        <w:pStyle w:val="9"/>
        <w:spacing w:line="400" w:lineRule="exact"/>
        <w:ind w:firstLine="420" w:firstLineChars="200"/>
        <w:rPr>
          <w:rFonts w:ascii="宋体" w:hAnsi="宋体"/>
          <w:color w:val="auto"/>
          <w:highlight w:val="none"/>
        </w:rPr>
      </w:pPr>
      <w:r>
        <w:rPr>
          <w:rFonts w:hint="eastAsia" w:ascii="宋体" w:hAnsi="宋体"/>
          <w:color w:val="auto"/>
          <w:highlight w:val="none"/>
        </w:rPr>
        <w:t>在提请争议评审、仲裁或者诉讼前，以及在争议评审、仲裁或诉讼过程中，发包人和承包人均可共同努力友好协商解决争议。</w:t>
      </w:r>
    </w:p>
    <w:p w14:paraId="1D2B38A9">
      <w:pPr>
        <w:pStyle w:val="51"/>
        <w:outlineLvl w:val="3"/>
        <w:rPr>
          <w:color w:val="auto"/>
          <w:highlight w:val="none"/>
        </w:rPr>
      </w:pPr>
      <w:bookmarkStart w:id="580" w:name="_Toc4771"/>
      <w:bookmarkStart w:id="581" w:name="_Toc26348"/>
      <w:bookmarkStart w:id="582" w:name="_Toc240967188"/>
      <w:r>
        <w:rPr>
          <w:rFonts w:hint="eastAsia"/>
          <w:color w:val="auto"/>
          <w:highlight w:val="none"/>
        </w:rPr>
        <w:t>24.3 争议评审</w:t>
      </w:r>
      <w:bookmarkEnd w:id="580"/>
      <w:bookmarkEnd w:id="581"/>
      <w:bookmarkEnd w:id="582"/>
    </w:p>
    <w:p w14:paraId="626C6D67">
      <w:pPr>
        <w:pStyle w:val="9"/>
        <w:spacing w:line="400" w:lineRule="exact"/>
        <w:ind w:firstLine="420" w:firstLineChars="200"/>
        <w:rPr>
          <w:rFonts w:ascii="宋体" w:hAnsi="宋体"/>
          <w:color w:val="auto"/>
          <w:highlight w:val="none"/>
        </w:rPr>
      </w:pPr>
      <w:r>
        <w:rPr>
          <w:rFonts w:hint="eastAsia" w:ascii="宋体" w:hAnsi="宋体"/>
          <w:color w:val="auto"/>
          <w:highlight w:val="none"/>
        </w:rPr>
        <w:t>24.3.1 采用争议评审的，发包人和承包人应在开工日后的28天内或在争议发生后，协商成立争议评审组。争议评审组由有合同管理和工程实践经验的专家组成。</w:t>
      </w:r>
    </w:p>
    <w:p w14:paraId="23D3C50C">
      <w:pPr>
        <w:pStyle w:val="9"/>
        <w:spacing w:line="400" w:lineRule="exact"/>
        <w:ind w:firstLine="420" w:firstLineChars="200"/>
        <w:rPr>
          <w:rFonts w:ascii="宋体" w:hAnsi="宋体"/>
          <w:color w:val="auto"/>
          <w:highlight w:val="none"/>
        </w:rPr>
      </w:pPr>
      <w:r>
        <w:rPr>
          <w:rFonts w:hint="eastAsia" w:ascii="宋体" w:hAnsi="宋体"/>
          <w:color w:val="auto"/>
          <w:highlight w:val="none"/>
        </w:rPr>
        <w:t>24.3.2 合同双方的争议，应首先由申请人向争议评审组提交一份详细的评审申请报告，并附必要的文件、图纸和证明材料，申请人还应将上述报告的副本同时提交给被申请人和监理人。</w:t>
      </w:r>
    </w:p>
    <w:p w14:paraId="1931AA1B">
      <w:pPr>
        <w:pStyle w:val="9"/>
        <w:spacing w:line="400" w:lineRule="exact"/>
        <w:ind w:firstLine="420" w:firstLineChars="200"/>
        <w:rPr>
          <w:rFonts w:ascii="宋体" w:hAnsi="宋体"/>
          <w:color w:val="auto"/>
          <w:highlight w:val="none"/>
        </w:rPr>
      </w:pPr>
      <w:r>
        <w:rPr>
          <w:rFonts w:hint="eastAsia" w:ascii="宋体" w:hAnsi="宋体"/>
          <w:color w:val="auto"/>
          <w:highlight w:val="none"/>
        </w:rPr>
        <w:t>24.3.3 被申请人在收到申请人评审申请报告副本后的28天内，向争议评审组提交一份答辩报告，并附证明材料。被申请人应将答辩报告的副本同时提交给申请人和监理人。</w:t>
      </w:r>
    </w:p>
    <w:p w14:paraId="421EB2A5">
      <w:pPr>
        <w:pStyle w:val="9"/>
        <w:spacing w:line="400" w:lineRule="exact"/>
        <w:ind w:firstLine="420" w:firstLineChars="200"/>
        <w:rPr>
          <w:rFonts w:ascii="宋体" w:hAnsi="宋体"/>
          <w:color w:val="auto"/>
          <w:highlight w:val="none"/>
        </w:rPr>
      </w:pPr>
      <w:r>
        <w:rPr>
          <w:rFonts w:hint="eastAsia" w:ascii="宋体" w:hAnsi="宋体"/>
          <w:color w:val="auto"/>
          <w:highlight w:val="none"/>
        </w:rPr>
        <w:t>24.3.4 除专用合同条款另有约定外，争议评审组在收到合同双方报告后的14天内，邀请双方代表和有关人员举行调查会，向双方调查争议细节；必要时争议评审组可要求双方进一步提供补充材料。</w:t>
      </w:r>
    </w:p>
    <w:p w14:paraId="6A6BE221">
      <w:pPr>
        <w:pStyle w:val="9"/>
        <w:spacing w:line="400" w:lineRule="exact"/>
        <w:ind w:firstLine="420" w:firstLineChars="200"/>
        <w:rPr>
          <w:rFonts w:ascii="宋体" w:hAnsi="宋体"/>
          <w:color w:val="auto"/>
          <w:highlight w:val="none"/>
        </w:rPr>
      </w:pPr>
      <w:r>
        <w:rPr>
          <w:rFonts w:hint="eastAsia" w:ascii="宋体" w:hAnsi="宋体"/>
          <w:color w:val="auto"/>
          <w:highlight w:val="none"/>
        </w:rPr>
        <w:t>24.3.5 除专用合同条款另有约定外，在调查会结束后的14天内，争议评审组应在不受任何干扰的情况下进行独立、公正的评审，作出书面评审意见，并说明理由。在争议评审期间，争议双方暂按总监理工程师的确定执行。</w:t>
      </w:r>
    </w:p>
    <w:p w14:paraId="42A8487E">
      <w:pPr>
        <w:pStyle w:val="9"/>
        <w:spacing w:line="400" w:lineRule="exact"/>
        <w:ind w:firstLine="420" w:firstLineChars="200"/>
        <w:rPr>
          <w:rFonts w:ascii="宋体" w:hAnsi="宋体"/>
          <w:color w:val="auto"/>
          <w:highlight w:val="none"/>
        </w:rPr>
      </w:pPr>
      <w:r>
        <w:rPr>
          <w:rFonts w:hint="eastAsia" w:ascii="宋体" w:hAnsi="宋体"/>
          <w:color w:val="auto"/>
          <w:highlight w:val="none"/>
        </w:rPr>
        <w:t>24.3.6 发包人和承包人接受评审意见的，由监理人根据评审意见拟定执行协议，经争议双方签字后作为合同的补充文件，并遵照执行。</w:t>
      </w:r>
    </w:p>
    <w:p w14:paraId="1C8A15DF">
      <w:pPr>
        <w:pStyle w:val="9"/>
        <w:spacing w:line="400" w:lineRule="exact"/>
        <w:ind w:firstLine="420" w:firstLineChars="200"/>
        <w:rPr>
          <w:rFonts w:ascii="宋体" w:hAnsi="宋体"/>
          <w:color w:val="auto"/>
          <w:highlight w:val="none"/>
        </w:rPr>
      </w:pPr>
      <w:r>
        <w:rPr>
          <w:rFonts w:hint="eastAsia" w:ascii="宋体" w:hAnsi="宋体"/>
          <w:color w:val="auto"/>
          <w:highlight w:val="none"/>
        </w:rPr>
        <w:t>24.3.7 发包人或承包人不接受评审意见，并要求提交仲裁或提起诉讼的，应在收到评审意见后的14天内将仲裁或起诉意向书面通知另一方，并抄送监理人，但在仲裁或诉讼结束前应暂按总监理工程师的确定执行。</w:t>
      </w:r>
    </w:p>
    <w:p w14:paraId="10CD8CA6">
      <w:pPr>
        <w:pStyle w:val="44"/>
        <w:spacing w:line="560" w:lineRule="exact"/>
        <w:jc w:val="center"/>
        <w:rPr>
          <w:color w:val="auto"/>
          <w:sz w:val="28"/>
          <w:szCs w:val="28"/>
          <w:highlight w:val="none"/>
        </w:rPr>
      </w:pPr>
      <w:r>
        <w:rPr>
          <w:rFonts w:hint="eastAsia" w:ascii="宋体" w:hAnsi="宋体"/>
          <w:color w:val="auto"/>
          <w:sz w:val="28"/>
          <w:szCs w:val="28"/>
          <w:highlight w:val="none"/>
        </w:rPr>
        <w:t>第二节  专用合同条款</w:t>
      </w:r>
    </w:p>
    <w:p w14:paraId="3895C3C5">
      <w:pPr>
        <w:pStyle w:val="50"/>
        <w:jc w:val="center"/>
        <w:rPr>
          <w:rFonts w:hint="eastAsia" w:ascii="宋体" w:hAnsi="宋体" w:eastAsia="Times New Roman" w:cs="Times New Roman"/>
          <w:b/>
          <w:bCs/>
          <w:color w:val="auto"/>
          <w:sz w:val="28"/>
          <w:szCs w:val="28"/>
          <w:highlight w:val="none"/>
          <w:lang w:val="en-US" w:eastAsia="zh-CN" w:bidi="ar-SA"/>
        </w:rPr>
      </w:pPr>
      <w:bookmarkStart w:id="583" w:name="_Toc11411"/>
      <w:r>
        <w:rPr>
          <w:rFonts w:hint="eastAsia" w:ascii="宋体" w:hAnsi="宋体" w:eastAsia="Times New Roman" w:cs="Times New Roman"/>
          <w:b/>
          <w:bCs/>
          <w:color w:val="auto"/>
          <w:sz w:val="28"/>
          <w:szCs w:val="28"/>
          <w:highlight w:val="none"/>
          <w:lang w:val="en-US" w:eastAsia="zh-CN" w:bidi="ar-SA"/>
        </w:rPr>
        <w:t>第二节 专用合同条款</w:t>
      </w:r>
      <w:bookmarkEnd w:id="583"/>
    </w:p>
    <w:p w14:paraId="3C85096C">
      <w:pPr>
        <w:pStyle w:val="53"/>
        <w:spacing w:line="560" w:lineRule="exact"/>
        <w:jc w:val="center"/>
        <w:rPr>
          <w:rFonts w:hint="eastAsia" w:ascii="宋体" w:hAnsi="宋体"/>
          <w:color w:val="auto"/>
          <w:sz w:val="28"/>
          <w:highlight w:val="none"/>
        </w:rPr>
      </w:pPr>
      <w:r>
        <w:rPr>
          <w:rFonts w:hint="eastAsia"/>
          <w:color w:val="auto"/>
          <w:sz w:val="28"/>
          <w:highlight w:val="none"/>
        </w:rPr>
        <w:t>A</w:t>
      </w:r>
      <w:r>
        <w:rPr>
          <w:rFonts w:hint="eastAsia" w:ascii="宋体" w:hAnsi="宋体"/>
          <w:color w:val="auto"/>
          <w:sz w:val="28"/>
          <w:highlight w:val="none"/>
        </w:rPr>
        <w:t>．</w:t>
      </w:r>
      <w:r>
        <w:rPr>
          <w:rFonts w:hint="eastAsia" w:ascii="宋体" w:hAnsi="宋体" w:eastAsia="宋体"/>
          <w:color w:val="auto"/>
          <w:sz w:val="28"/>
          <w:highlight w:val="none"/>
          <w:lang w:val="en-US" w:eastAsia="zh-CN"/>
        </w:rPr>
        <w:t>养护</w:t>
      </w:r>
      <w:r>
        <w:rPr>
          <w:rFonts w:hint="eastAsia" w:ascii="宋体" w:hAnsi="宋体"/>
          <w:color w:val="auto"/>
          <w:sz w:val="28"/>
          <w:highlight w:val="none"/>
        </w:rPr>
        <w:t>工程专用合同条款</w:t>
      </w:r>
    </w:p>
    <w:p w14:paraId="2E46386D">
      <w:pPr>
        <w:pStyle w:val="9"/>
        <w:keepNext w:val="0"/>
        <w:keepLines w:val="0"/>
        <w:pageBreakBefore w:val="0"/>
        <w:widowControl w:val="0"/>
        <w:tabs>
          <w:tab w:val="left" w:pos="2790"/>
        </w:tabs>
        <w:kinsoku/>
        <w:wordWrap/>
        <w:overflowPunct/>
        <w:topLinePunct w:val="0"/>
        <w:autoSpaceDE/>
        <w:autoSpaceDN/>
        <w:bidi w:val="0"/>
        <w:adjustRightInd/>
        <w:snapToGrid w:val="0"/>
        <w:spacing w:before="312" w:beforeLines="100" w:line="400" w:lineRule="exact"/>
        <w:textAlignment w:val="auto"/>
        <w:outlineLvl w:val="2"/>
        <w:rPr>
          <w:rFonts w:ascii="黑体" w:eastAsia="黑体"/>
          <w:color w:val="auto"/>
          <w:sz w:val="28"/>
          <w:szCs w:val="28"/>
          <w:highlight w:val="none"/>
        </w:rPr>
      </w:pPr>
      <w:bookmarkStart w:id="584" w:name="_Toc24839"/>
      <w:bookmarkStart w:id="585" w:name="_Toc10740"/>
      <w:r>
        <w:rPr>
          <w:rFonts w:hint="eastAsia" w:ascii="黑体" w:eastAsia="黑体"/>
          <w:color w:val="auto"/>
          <w:sz w:val="28"/>
          <w:szCs w:val="28"/>
          <w:highlight w:val="none"/>
        </w:rPr>
        <w:t>1.一般约定</w:t>
      </w:r>
      <w:bookmarkEnd w:id="584"/>
      <w:bookmarkEnd w:id="585"/>
    </w:p>
    <w:p w14:paraId="52DE3E1F">
      <w:pPr>
        <w:pStyle w:val="9"/>
        <w:keepNext w:val="0"/>
        <w:keepLines w:val="0"/>
        <w:pageBreakBefore w:val="0"/>
        <w:widowControl w:val="0"/>
        <w:tabs>
          <w:tab w:val="left" w:pos="2790"/>
        </w:tabs>
        <w:kinsoku/>
        <w:wordWrap/>
        <w:overflowPunct/>
        <w:topLinePunct w:val="0"/>
        <w:autoSpaceDE/>
        <w:autoSpaceDN/>
        <w:bidi w:val="0"/>
        <w:adjustRightInd/>
        <w:snapToGrid w:val="0"/>
        <w:spacing w:before="157" w:beforeLines="50" w:line="400" w:lineRule="exact"/>
        <w:textAlignment w:val="auto"/>
        <w:outlineLvl w:val="3"/>
        <w:rPr>
          <w:rFonts w:ascii="黑体" w:eastAsia="黑体"/>
          <w:color w:val="auto"/>
          <w:szCs w:val="21"/>
          <w:highlight w:val="none"/>
        </w:rPr>
      </w:pPr>
      <w:bookmarkStart w:id="586" w:name="_Toc21830"/>
      <w:r>
        <w:rPr>
          <w:rFonts w:hint="eastAsia" w:ascii="黑体" w:eastAsia="黑体"/>
          <w:color w:val="auto"/>
          <w:szCs w:val="21"/>
          <w:highlight w:val="none"/>
        </w:rPr>
        <w:t>1.1  词语定义</w:t>
      </w:r>
      <w:bookmarkEnd w:id="586"/>
    </w:p>
    <w:p w14:paraId="1C7F003D">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rPr>
      </w:pPr>
      <w:r>
        <w:rPr>
          <w:rFonts w:hint="eastAsia" w:ascii="宋体" w:hAnsi="Times New Roman" w:eastAsia="Times New Roman" w:cs="Times New Roman"/>
          <w:color w:val="auto"/>
          <w:szCs w:val="21"/>
          <w:highlight w:val="none"/>
          <w:lang w:val="en-US" w:eastAsia="zh-CN"/>
        </w:rPr>
        <w:t xml:space="preserve">通用合同条款、专用合同条款中的下列词语应具有本款所赋予的含义。 </w:t>
      </w:r>
    </w:p>
    <w:p w14:paraId="1C5DE250">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rPr>
      </w:pPr>
      <w:r>
        <w:rPr>
          <w:rFonts w:hint="eastAsia" w:ascii="宋体" w:hAnsi="Times New Roman" w:eastAsia="Times New Roman" w:cs="Times New Roman"/>
          <w:color w:val="auto"/>
          <w:szCs w:val="21"/>
          <w:highlight w:val="none"/>
        </w:rPr>
        <w:t>1.1.1合同</w:t>
      </w:r>
    </w:p>
    <w:p w14:paraId="1968F840">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rPr>
      </w:pPr>
      <w:r>
        <w:rPr>
          <w:rFonts w:hint="eastAsia" w:ascii="宋体" w:hAnsi="Times New Roman" w:eastAsia="Times New Roman" w:cs="Times New Roman"/>
          <w:color w:val="auto"/>
          <w:szCs w:val="21"/>
          <w:highlight w:val="none"/>
          <w:lang w:val="en-US" w:eastAsia="zh-CN"/>
        </w:rPr>
        <w:t xml:space="preserve">1.1.1.1 合同文件（或称合同）：指合同协议书、中标通知书、投标函及投标函附录、专用合同条款、通用合同条款、技术标准和要求、图纸、已标价工程量清单，以及其它合同文件。 </w:t>
      </w:r>
    </w:p>
    <w:p w14:paraId="7856C3E8">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rPr>
      </w:pPr>
      <w:r>
        <w:rPr>
          <w:rFonts w:hint="eastAsia" w:ascii="宋体" w:hAnsi="Times New Roman" w:eastAsia="Times New Roman" w:cs="Times New Roman"/>
          <w:color w:val="auto"/>
          <w:szCs w:val="21"/>
          <w:highlight w:val="none"/>
          <w:lang w:val="en-US" w:eastAsia="zh-CN"/>
        </w:rPr>
        <w:t xml:space="preserve">1.1.1.2 合同协议书：指第 1.5 款所指的合同协议书。 </w:t>
      </w:r>
    </w:p>
    <w:p w14:paraId="43753ED5">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rPr>
      </w:pPr>
      <w:r>
        <w:rPr>
          <w:rFonts w:hint="eastAsia" w:ascii="宋体" w:hAnsi="Times New Roman" w:eastAsia="Times New Roman" w:cs="Times New Roman"/>
          <w:color w:val="auto"/>
          <w:szCs w:val="21"/>
          <w:highlight w:val="none"/>
          <w:lang w:val="en-US" w:eastAsia="zh-CN"/>
        </w:rPr>
        <w:t xml:space="preserve">1.1.1.3 中标通知书：指发包人通知承包人中标的函件。 </w:t>
      </w:r>
    </w:p>
    <w:p w14:paraId="4EB60CFC">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rPr>
      </w:pPr>
      <w:r>
        <w:rPr>
          <w:rFonts w:hint="eastAsia" w:ascii="宋体" w:hAnsi="Times New Roman" w:eastAsia="Times New Roman" w:cs="Times New Roman"/>
          <w:color w:val="auto"/>
          <w:szCs w:val="21"/>
          <w:highlight w:val="none"/>
          <w:lang w:val="en-US" w:eastAsia="zh-CN"/>
        </w:rPr>
        <w:t xml:space="preserve">1.1.1.4 投标函：指构成合同文件组成部分的由承包人填写并签署的投标函。 </w:t>
      </w:r>
    </w:p>
    <w:p w14:paraId="1BB66226">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rPr>
      </w:pPr>
      <w:r>
        <w:rPr>
          <w:rFonts w:hint="eastAsia" w:ascii="宋体" w:hAnsi="Times New Roman" w:eastAsia="Times New Roman" w:cs="Times New Roman"/>
          <w:color w:val="auto"/>
          <w:szCs w:val="21"/>
          <w:highlight w:val="none"/>
          <w:lang w:val="en-US" w:eastAsia="zh-CN"/>
        </w:rPr>
        <w:t xml:space="preserve">1.1.1.5 投标函附录：指附在投标函后构成合同文件的投标函附录。 </w:t>
      </w:r>
    </w:p>
    <w:p w14:paraId="730619A0">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rPr>
      </w:pPr>
      <w:r>
        <w:rPr>
          <w:rFonts w:hint="eastAsia" w:ascii="宋体" w:hAnsi="Times New Roman" w:eastAsia="Times New Roman" w:cs="Times New Roman"/>
          <w:color w:val="auto"/>
          <w:szCs w:val="21"/>
          <w:highlight w:val="none"/>
          <w:lang w:val="en-US" w:eastAsia="zh-CN"/>
        </w:rPr>
        <w:t xml:space="preserve">1.1.1.6 技术规范：指本合同所约定的技术标准和要求，是合同文件的组成部分。通用合同条款中“技术标准和要求”一词具有相同含义。 </w:t>
      </w:r>
    </w:p>
    <w:p w14:paraId="4E61B76B">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rPr>
      </w:pPr>
      <w:r>
        <w:rPr>
          <w:rFonts w:hint="eastAsia" w:ascii="宋体" w:hAnsi="Times New Roman" w:eastAsia="Times New Roman" w:cs="Times New Roman"/>
          <w:color w:val="auto"/>
          <w:szCs w:val="21"/>
          <w:highlight w:val="none"/>
          <w:lang w:val="en-US" w:eastAsia="zh-CN"/>
        </w:rPr>
        <w:t xml:space="preserve">1.1.1.7 图纸：指包含在合同中的工程图纸，以及由发包人按合同约定提供的任何补充和修改的图纸，包括配套的说明。 </w:t>
      </w:r>
    </w:p>
    <w:p w14:paraId="406F7E7D">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rPr>
      </w:pPr>
      <w:r>
        <w:rPr>
          <w:rFonts w:hint="eastAsia" w:ascii="宋体" w:hAnsi="Times New Roman" w:eastAsia="Times New Roman" w:cs="Times New Roman"/>
          <w:color w:val="auto"/>
          <w:szCs w:val="21"/>
          <w:highlight w:val="none"/>
          <w:lang w:val="en-US" w:eastAsia="zh-CN"/>
        </w:rPr>
        <w:t>1.1.1.8 已标价工程量清单：指构成合同文件组成部分的已标明价格、经算术性错误修正及其他错误修正(如有)且承包人已确认的最终的工程量清单，包括工程量清单说明、投标报价说明、其他说明及工程量清单各项表格</w:t>
      </w:r>
      <w:r>
        <w:rPr>
          <w:rFonts w:hint="eastAsia" w:ascii="宋体"/>
          <w:color w:val="auto"/>
          <w:szCs w:val="21"/>
          <w:highlight w:val="none"/>
        </w:rPr>
        <w:t>（工程量清单表5.1～表5.5）</w:t>
      </w:r>
      <w:r>
        <w:rPr>
          <w:rFonts w:hint="eastAsia" w:ascii="宋体" w:hAnsi="Times New Roman" w:eastAsia="Times New Roman" w:cs="Times New Roman"/>
          <w:color w:val="auto"/>
          <w:szCs w:val="21"/>
          <w:highlight w:val="none"/>
          <w:lang w:val="en-US" w:eastAsia="zh-CN"/>
        </w:rPr>
        <w:t xml:space="preserve">。 </w:t>
      </w:r>
    </w:p>
    <w:p w14:paraId="7EBE87ED">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rPr>
      </w:pPr>
      <w:r>
        <w:rPr>
          <w:rFonts w:hint="eastAsia" w:ascii="宋体" w:hAnsi="Times New Roman" w:eastAsia="Times New Roman" w:cs="Times New Roman"/>
          <w:color w:val="auto"/>
          <w:szCs w:val="21"/>
          <w:highlight w:val="none"/>
          <w:lang w:val="en-US" w:eastAsia="zh-CN"/>
        </w:rPr>
        <w:t xml:space="preserve">1.1.1.9 其它合同文件：指经合同双方当事人确认构成合同文件的其它文件。 </w:t>
      </w:r>
    </w:p>
    <w:p w14:paraId="53124A58">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rPr>
      </w:pPr>
      <w:r>
        <w:rPr>
          <w:rFonts w:hint="eastAsia" w:ascii="宋体" w:hAnsi="Times New Roman" w:eastAsia="Times New Roman" w:cs="Times New Roman"/>
          <w:color w:val="auto"/>
          <w:szCs w:val="21"/>
          <w:highlight w:val="none"/>
          <w:lang w:val="en-US" w:eastAsia="zh-CN"/>
        </w:rPr>
        <w:t xml:space="preserve">1.1.1.10 补遗书：指发出招标文件之后由招标人向取得招标文件的投标人发出的、编号的，对招标文件所作的澄清、修改书。 </w:t>
      </w:r>
    </w:p>
    <w:p w14:paraId="3354EE68">
      <w:pPr>
        <w:pStyle w:val="9"/>
        <w:tabs>
          <w:tab w:val="left" w:pos="2790"/>
        </w:tabs>
        <w:snapToGrid w:val="0"/>
        <w:spacing w:line="400" w:lineRule="exact"/>
        <w:ind w:firstLine="420" w:firstLineChars="200"/>
        <w:rPr>
          <w:rFonts w:hint="eastAsia" w:ascii="宋体"/>
          <w:color w:val="auto"/>
          <w:szCs w:val="21"/>
          <w:highlight w:val="none"/>
        </w:rPr>
      </w:pPr>
      <w:r>
        <w:rPr>
          <w:rFonts w:hint="eastAsia" w:ascii="宋体"/>
          <w:color w:val="auto"/>
          <w:szCs w:val="21"/>
          <w:highlight w:val="none"/>
        </w:rPr>
        <w:t>1.1.2合同当事人和人员</w:t>
      </w:r>
    </w:p>
    <w:p w14:paraId="5EAB87A3">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1.1.2.1 合同当事人：指发包人和（或）承包人。 </w:t>
      </w:r>
    </w:p>
    <w:p w14:paraId="19707DAD">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1.1.2.2 发包人：指专用合同条款中指明并与承包人在合同协议书中签字的当事人。 </w:t>
      </w:r>
    </w:p>
    <w:p w14:paraId="75A5AE8F">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1.1.2.3 承包人：指其投标已为发包人所接受，并与发包人签订了实施本合同公路养护工程合同协议书的当事人（承包人），以及取得该当事人（承包人）资格的合法继承人（承包人）。 </w:t>
      </w:r>
    </w:p>
    <w:p w14:paraId="51ABEA8C">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1.1.2.4 承包人项目经理：指由承包人书面委派常驻现场负责执行本合同和管理本合同公路养护工程的代表。 </w:t>
      </w:r>
    </w:p>
    <w:p w14:paraId="3682C125">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1.1.2.5 分包人：指从承包人处分包合同中某一部分工程，并与其签订分包合同的分包人。 </w:t>
      </w:r>
    </w:p>
    <w:p w14:paraId="42A34D96">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1.1.2.6 监理人：指发包人为实施本合同委托的承担本合同工程监理工作的独立法人。必须是经工商注册并持有交通主管部门核发的资质证书或资信登记的专职监理企业，依照核定的监理业务范围，承担相应公路工程的监理业务；或由市公路管理部门或发包人组织的内部专业监理，并须将设置的项目监理组织机构、到岗人员及项目监理工作计划报市交通工程质监站，审批后方可开展工作。 </w:t>
      </w:r>
    </w:p>
    <w:p w14:paraId="2EBB0B1D">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监理组织必须接受市交通工程质监站对其监理资格，监理质量控制体系及监理工作质量的监督检查。 </w:t>
      </w:r>
    </w:p>
    <w:p w14:paraId="6493E52D">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1.1.2.7 总监理工程师（总监）：指由监理人委派常驻施工场地对合同履行实施管理的全权负责人。 </w:t>
      </w:r>
    </w:p>
    <w:p w14:paraId="7622BD36">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1.1.2.8 承包人项目技术负责人：指由承包人书面委派常驻现场负责执行、管理本合同公路养护工程的总工程师或技术总负责人。</w:t>
      </w:r>
    </w:p>
    <w:p w14:paraId="63B4047B">
      <w:pPr>
        <w:pStyle w:val="9"/>
        <w:tabs>
          <w:tab w:val="left" w:pos="2790"/>
        </w:tabs>
        <w:snapToGrid w:val="0"/>
        <w:spacing w:line="400" w:lineRule="exact"/>
        <w:ind w:firstLine="420" w:firstLineChars="200"/>
        <w:rPr>
          <w:rFonts w:hint="eastAsia" w:ascii="宋体"/>
          <w:color w:val="auto"/>
          <w:szCs w:val="21"/>
          <w:highlight w:val="none"/>
        </w:rPr>
      </w:pPr>
      <w:r>
        <w:rPr>
          <w:rFonts w:hint="eastAsia" w:ascii="宋体"/>
          <w:color w:val="auto"/>
          <w:szCs w:val="21"/>
          <w:highlight w:val="none"/>
        </w:rPr>
        <w:t>1.1.3 工程和设备</w:t>
      </w:r>
    </w:p>
    <w:p w14:paraId="40ACF079">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1.1.3.1 养护工程：指预防养护、修复养护、专项养护、应急养护和（或）临时工程。 </w:t>
      </w:r>
    </w:p>
    <w:p w14:paraId="6ECCEE89">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1.1.3.2 永久工程：指按合同约定建造并移交给发包人的工程，包括工程设备。 </w:t>
      </w:r>
    </w:p>
    <w:p w14:paraId="5586F030">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1.1.3.3 临时工程：指为完成合同约定的永久工程所修建的各类临时性工程，不包括施工设备。 </w:t>
      </w:r>
    </w:p>
    <w:p w14:paraId="0096FC54">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1.1.3.4 单位工程：指在养护工程项目中，根据签订的合同，具有独立施工条件实行单价承包作业的工程。 </w:t>
      </w:r>
    </w:p>
    <w:p w14:paraId="3A4E05EC">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1.1.3.5 工程设备：指构成或计划构成永久工程一部分的机电设备、金属结构设备、仪器装置及其它类似的设备和装置，包括其配件及备品、备件、易损易耗件等。 </w:t>
      </w:r>
    </w:p>
    <w:p w14:paraId="59FAECB2">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1.1.3.6 施工设备：指为完成合同约定的各项工作所需的设备、器具和其它物品，不包括工程设备、临时工程和材料。</w:t>
      </w:r>
    </w:p>
    <w:p w14:paraId="540C2B1A">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1.1.3.7 临时设施：指为完成合同约定的各项工作所服务的临时性生产和生活设施。 </w:t>
      </w:r>
    </w:p>
    <w:p w14:paraId="3941788B">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1.1.3.8 承包人设备：指承包人自带的施工设备。 </w:t>
      </w:r>
    </w:p>
    <w:p w14:paraId="18F5E42E">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1.1.3.9 施工场地（或称工地、现场）：指用于合同工程施工的场所，以及在专用合同条款中指定作为施工场地组成部分的其它场所，包括永久占地和临时占地。 </w:t>
      </w:r>
    </w:p>
    <w:p w14:paraId="589287F6">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1.1.3.10 永久占地：指专用合同条款中指明为实施合同工程需永久占用的土地。 </w:t>
      </w:r>
    </w:p>
    <w:p w14:paraId="4F94659E">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1.1.3.11 临时占地：指专用合同条款中指明为实施合同工程需临时占用的土地。 </w:t>
      </w:r>
    </w:p>
    <w:p w14:paraId="6D40B5AB">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1.1.3.12 分部工程：指在单位工程中，按结构部位、路段长度及施工特点或施工任务划分的若干个工程。 </w:t>
      </w:r>
    </w:p>
    <w:p w14:paraId="00B50A4D">
      <w:pPr>
        <w:pStyle w:val="9"/>
        <w:tabs>
          <w:tab w:val="left" w:pos="2790"/>
        </w:tabs>
        <w:snapToGrid w:val="0"/>
        <w:spacing w:line="400" w:lineRule="exact"/>
        <w:ind w:firstLine="420" w:firstLineChars="200"/>
        <w:rPr>
          <w:rFonts w:hint="eastAsia" w:ascii="宋体"/>
          <w:color w:val="auto"/>
          <w:szCs w:val="21"/>
          <w:highlight w:val="none"/>
        </w:rPr>
      </w:pPr>
      <w:r>
        <w:rPr>
          <w:rFonts w:hint="eastAsia" w:ascii="宋体" w:hAnsi="Times New Roman" w:eastAsia="Times New Roman" w:cs="Times New Roman"/>
          <w:color w:val="auto"/>
          <w:szCs w:val="21"/>
          <w:highlight w:val="none"/>
          <w:lang w:val="en-US" w:eastAsia="zh-CN"/>
        </w:rPr>
        <w:t xml:space="preserve">1.1.3.13 分项工程：指在分部工程中，按不同的施工方法、材料、工序及路段长度等划分的若干个工程。 </w:t>
      </w:r>
    </w:p>
    <w:p w14:paraId="755DD2FC">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rPr>
      </w:pPr>
      <w:r>
        <w:rPr>
          <w:rFonts w:hint="eastAsia" w:ascii="宋体" w:hAnsi="Times New Roman" w:eastAsia="Times New Roman" w:cs="Times New Roman"/>
          <w:color w:val="auto"/>
          <w:szCs w:val="21"/>
          <w:highlight w:val="none"/>
          <w:lang w:val="en-US" w:eastAsia="zh-CN"/>
        </w:rPr>
        <w:t xml:space="preserve">1.1.4 日期 </w:t>
      </w:r>
    </w:p>
    <w:p w14:paraId="45A6CA64">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1.1.4.1 开工通知：指监理人按第 11.1 款通知承包人开工的函件。 </w:t>
      </w:r>
    </w:p>
    <w:p w14:paraId="5D39073D">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1.1.4.2 开工日期：指监理人按第 11.1 款发出的开工通知中写明的开工日期。 </w:t>
      </w:r>
    </w:p>
    <w:p w14:paraId="7CB70D6C">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1.1.4.3 工期：指承包人在投标函中承诺的完成合同工程所需的期限，包括按第 11.3 款、第 11.4 款和第 11.6 款约定所作的变更及按合同约定承包人有权取得的工期延长。 </w:t>
      </w:r>
    </w:p>
    <w:p w14:paraId="329D9D6E">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1.1.4.4 竣工日期：指第 1.1.4.3 目约定工期届满时的日期。实际竣工日期以工程接收证书中写明的日期为准。 </w:t>
      </w:r>
    </w:p>
    <w:p w14:paraId="6116188A">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1.1.4.5 缺陷责任期：指履行第 19.2 款约定的缺陷责任的期限，具体期限由专用合同条款约定，包括根据第 19.3 款约定所作的延长。 </w:t>
      </w:r>
    </w:p>
    <w:p w14:paraId="7DB5C6F0">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1.1.4.6 基准日期：指投标截止时间前 28 天的日期。 </w:t>
      </w:r>
    </w:p>
    <w:p w14:paraId="4035CB19">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1.1.4.7 天：除特别指明外，指日历天。合同中按天计算时间的，开始当天不计入，从次日开始计算。期限最后一天的截止时间为当天 24:00。 </w:t>
      </w:r>
    </w:p>
    <w:p w14:paraId="24D70AAD">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1.1.5 合同价格和费用 </w:t>
      </w:r>
    </w:p>
    <w:p w14:paraId="52B07BA4">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1.1.5.1 签约合同价：指签定合同时合同协议书中写明的，包括了暂列金额、暂估价的合同总金额。 </w:t>
      </w:r>
    </w:p>
    <w:p w14:paraId="07B6704B">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1.1.5.2 合同价格：指承包人按合同约定完成了包括缺陷责任期内的全部承包工作后，发包人应付给承包人的金额，包括在履行合同过程中按合同约定进行的变更和调整。 </w:t>
      </w:r>
    </w:p>
    <w:p w14:paraId="11BDAFF1">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1.1.5.3 费用：指为履行合同所发生的或将要发生的所有合理开支，包括管理费和应分摊的其它费用，但不包括利润。 </w:t>
      </w:r>
    </w:p>
    <w:p w14:paraId="34C540D1">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1.1.5.4 暂列金额：指已标价工程量清单中所列的暂列金额，用于在签订协议书时尚未确定或不可预见变更的施工及其所需材料、工程设备、服务等的金额，包括以计日工方式支付的金额。 </w:t>
      </w:r>
    </w:p>
    <w:p w14:paraId="54DD9377">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1.1.5.5 暂估价：指发包人在工程量清单中给定的用于支付必然发生但暂时不能确定价格的材料、设备以及专业工程的金额。 </w:t>
      </w:r>
    </w:p>
    <w:p w14:paraId="37508AC8">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1.1.5.6 计日工：指对零星工作采取的一种计价方式，按合同中的计日工子目及其单价计价付款。 </w:t>
      </w:r>
    </w:p>
    <w:p w14:paraId="666E6D1E">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1.1.5.7 质量保证金（或称保留金）：指按第 17.4.1 项约定用于保证在缺陷责任期内履行缺陷修复义务的金额。 </w:t>
      </w:r>
    </w:p>
    <w:p w14:paraId="0739D621">
      <w:pPr>
        <w:pStyle w:val="9"/>
        <w:tabs>
          <w:tab w:val="left" w:pos="2790"/>
        </w:tabs>
        <w:snapToGrid w:val="0"/>
        <w:spacing w:line="400" w:lineRule="exact"/>
        <w:ind w:firstLine="420" w:firstLineChars="200"/>
        <w:rPr>
          <w:rFonts w:hint="eastAsia" w:ascii="宋体"/>
          <w:color w:val="auto"/>
          <w:szCs w:val="21"/>
          <w:highlight w:val="none"/>
        </w:rPr>
      </w:pPr>
      <w:r>
        <w:rPr>
          <w:rFonts w:hint="eastAsia" w:ascii="宋体"/>
          <w:color w:val="auto"/>
          <w:szCs w:val="21"/>
          <w:highlight w:val="none"/>
        </w:rPr>
        <w:t>1.1.6 其他</w:t>
      </w:r>
    </w:p>
    <w:p w14:paraId="0768587D">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bookmarkStart w:id="587" w:name="_Toc17209"/>
      <w:r>
        <w:rPr>
          <w:rFonts w:hint="eastAsia" w:ascii="宋体" w:hAnsi="Times New Roman" w:eastAsia="Times New Roman" w:cs="Times New Roman"/>
          <w:color w:val="auto"/>
          <w:szCs w:val="21"/>
          <w:highlight w:val="none"/>
          <w:lang w:val="en-US" w:eastAsia="zh-CN"/>
        </w:rPr>
        <w:t xml:space="preserve">1.1.6.1 书面形式：指合同文件、信函、电报、传真、数据电文、电子邮件、会议纪要等可以有形地表现所载内容的形式。 </w:t>
      </w:r>
    </w:p>
    <w:p w14:paraId="66E89CE7">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1.1.6.2 交工验收：指本工程已按合同规定实质上完工，并按合同规定完成了检测和检验，且按现行交（竣）工验收办法，编制好竣工图表和施工资料后，承包人可向监理人提出交（竣）工验收和发给交工证书的申请，同时抄送发包人。如经交（竣）工验收认为质量合格，发包人应在验收工作完毕后 14 天内向承包人签发交工证书。通用合同条款中“竣工验收”一词具有相同含义。 </w:t>
      </w:r>
    </w:p>
    <w:p w14:paraId="006590D5">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1.1.6.3 转包：指承包人违反法律和不履行合同规定的责任和义务，将中标工程全部委托或以专业分包的名义将中标工程肢解后全部委托给其它养护企业施工的行为。 </w:t>
      </w:r>
    </w:p>
    <w:p w14:paraId="77D70E07">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1.1.6.4 专业分包：指承包人与具有相应资质的施工企业签订专业分包合同，由分包人承担承包人委托的分部工程、分项工程或适合专业化队伍施工的其它工程，整体结算，并能独立控制工程质量、施工进度、材料采购、生产安全的施工行为。 </w:t>
      </w:r>
    </w:p>
    <w:p w14:paraId="0F62CFEE">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1.1.6.5 劳务分包：指承包人与具有劳务分包资质的劳务企业签订劳务分包合同，由劳务企业提供劳务人员及机具，由承包人统一组织施工，统一控制工程质量、施工进度、材料采购、生产安全的施工行为。 </w:t>
      </w:r>
    </w:p>
    <w:p w14:paraId="5E3EE792">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1.1.6.6 雇用民工：指承包人与具有相应劳动能力的自然人签订劳动合同，由承包人统一组织管理，从事分项工程施工或配套工程施工的行为。 </w:t>
      </w:r>
    </w:p>
    <w:p w14:paraId="48CBA1F1">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1.1.6.7 进度付款证书：指在最后支付证书之外的、由监理人（或发包人）签发的任何支付证书。</w:t>
      </w:r>
    </w:p>
    <w:p w14:paraId="08DC2D4E">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1.2 语言文字 </w:t>
      </w:r>
    </w:p>
    <w:p w14:paraId="16923FA9">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合同文件以中国的汉语简体语言文字编写、解释和说明。专用术语使用外文的，应附有中文注释。合同当事人在专用合同条件约定使用两种及以上语言时，汉语为优先解释和说明合同的语言。 </w:t>
      </w:r>
    </w:p>
    <w:p w14:paraId="6C79C3E0">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与合同有关的联络应使用专用合同条件约定的语言。如没有约定，则应使用中国的汉语简体语言文字。 </w:t>
      </w:r>
    </w:p>
    <w:p w14:paraId="2298C9D0">
      <w:pPr>
        <w:pStyle w:val="9"/>
        <w:tabs>
          <w:tab w:val="left" w:pos="2790"/>
        </w:tabs>
        <w:snapToGrid w:val="0"/>
        <w:spacing w:line="400" w:lineRule="exact"/>
        <w:outlineLvl w:val="3"/>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1.3 法律 </w:t>
      </w:r>
    </w:p>
    <w:p w14:paraId="6DE47760">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适用于合同的法律包括中华人民共和国法律、行政法规、部门规章，以及工程所在地的地方法规、自治条例、单行条例和地方政府规章。 </w:t>
      </w:r>
    </w:p>
    <w:p w14:paraId="1967B277">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1.4 合同文件的优先顺序 </w:t>
      </w:r>
    </w:p>
    <w:p w14:paraId="446A7283">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组成合同的各项文件应互相解释，互为说明。除专用合同条款另有约定外，解释合同文件的优先顺序如下： </w:t>
      </w:r>
    </w:p>
    <w:p w14:paraId="6DE590A1">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（1）合同协议书及各种合同附件(含廉政合同、安全生产合同、工程质量责任合同、工程资金监管协议及评标期间和合同谈判过程中的澄清文件和补充资料)； </w:t>
      </w:r>
    </w:p>
    <w:p w14:paraId="04C53593">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（2）中标通知书； </w:t>
      </w:r>
    </w:p>
    <w:p w14:paraId="37160368">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（3）投标函及投标函附录； </w:t>
      </w:r>
    </w:p>
    <w:p w14:paraId="54C659D2">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（4）项目专用合同条款（含招标文件补遗书中与此有关的部分）； </w:t>
      </w:r>
    </w:p>
    <w:p w14:paraId="552EE937">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（5）养护工程专用合同条款； </w:t>
      </w:r>
    </w:p>
    <w:p w14:paraId="758DB11C">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（6）通用合同条款； </w:t>
      </w:r>
    </w:p>
    <w:p w14:paraId="5404BC5F">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（7）项目专用技术规范； </w:t>
      </w:r>
    </w:p>
    <w:p w14:paraId="2C66E8E9">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（8）通用技术规范 </w:t>
      </w:r>
    </w:p>
    <w:p w14:paraId="0E3498C5">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（9）图纸（含招标文件补遗书中与此有关部分）（如有）； </w:t>
      </w:r>
    </w:p>
    <w:p w14:paraId="6200369A">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（10）已标价工程量清单； </w:t>
      </w:r>
    </w:p>
    <w:p w14:paraId="6DC3E1F4">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（11）承包人有关人员、设备投入、财务能力的承诺及投标文件中的养护工程作业方案； </w:t>
      </w:r>
    </w:p>
    <w:p w14:paraId="1BCF424C">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（12）其它合同文件。 </w:t>
      </w:r>
    </w:p>
    <w:p w14:paraId="12E0E26B">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上述各项合同文件包括合同当事人就该项合同文件所作出的补充和修改，属于同一类内容的文件，应以最新签署的为准。</w:t>
      </w:r>
    </w:p>
    <w:p w14:paraId="4830336E">
      <w:pPr>
        <w:pStyle w:val="9"/>
        <w:tabs>
          <w:tab w:val="left" w:pos="2790"/>
        </w:tabs>
        <w:snapToGrid w:val="0"/>
        <w:spacing w:line="400" w:lineRule="exact"/>
        <w:ind w:firstLine="420" w:firstLineChars="200"/>
        <w:rPr>
          <w:rFonts w:ascii="宋体"/>
          <w:color w:val="auto"/>
          <w:szCs w:val="21"/>
          <w:highlight w:val="none"/>
        </w:rPr>
      </w:pPr>
      <w:r>
        <w:rPr>
          <w:rFonts w:hint="eastAsia" w:ascii="宋体" w:hAnsi="Times New Roman" w:eastAsia="Times New Roman" w:cs="Times New Roman"/>
          <w:color w:val="auto"/>
          <w:szCs w:val="21"/>
          <w:highlight w:val="none"/>
          <w:lang w:val="en-US" w:eastAsia="zh-CN"/>
        </w:rPr>
        <w:t>在合同订立及履行过程中形成的与合同有关的文件均构成合同文件组成部分，并根据其性质确定优先解释顺序。</w:t>
      </w:r>
      <w:bookmarkEnd w:id="587"/>
    </w:p>
    <w:p w14:paraId="00C59CBF">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bookmarkStart w:id="588" w:name="_Toc25339"/>
      <w:r>
        <w:rPr>
          <w:rFonts w:hint="eastAsia" w:ascii="宋体" w:hAnsi="宋体" w:eastAsia="宋体" w:cs="宋体"/>
          <w:b/>
          <w:bCs/>
          <w:color w:val="auto"/>
          <w:szCs w:val="21"/>
          <w:highlight w:val="none"/>
          <w:lang w:val="en-US" w:eastAsia="zh-CN"/>
        </w:rPr>
        <w:t>1.5  合同协议书</w:t>
      </w:r>
      <w:bookmarkEnd w:id="588"/>
    </w:p>
    <w:p w14:paraId="667BDF79">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bookmarkStart w:id="589" w:name="_Toc22038"/>
      <w:r>
        <w:rPr>
          <w:rFonts w:hint="eastAsia" w:ascii="宋体" w:hAnsi="Times New Roman" w:eastAsia="Times New Roman" w:cs="Times New Roman"/>
          <w:color w:val="auto"/>
          <w:szCs w:val="21"/>
          <w:highlight w:val="none"/>
          <w:lang w:val="en-US" w:eastAsia="zh-CN"/>
        </w:rPr>
        <w:t>承包人按中标通知书规定的时间与发包人签订合同协议书。除法律另有规定或合同另有约定外，发包人和承包人的法定代表人或其委托代理人在合同协议书上签字并盖单位章后，合同生效。</w:t>
      </w:r>
    </w:p>
    <w:p w14:paraId="14CC41DA">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1.6  图纸和承包人文件</w:t>
      </w:r>
      <w:bookmarkEnd w:id="589"/>
    </w:p>
    <w:p w14:paraId="6E38D362">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bookmarkStart w:id="590" w:name="_Toc6158"/>
      <w:r>
        <w:rPr>
          <w:rFonts w:hint="eastAsia" w:ascii="宋体" w:hAnsi="Times New Roman" w:eastAsia="Times New Roman" w:cs="Times New Roman"/>
          <w:color w:val="auto"/>
          <w:szCs w:val="21"/>
          <w:highlight w:val="none"/>
          <w:lang w:val="en-US" w:eastAsia="zh-CN"/>
        </w:rPr>
        <w:t xml:space="preserve">1.6.1 图纸的提供 </w:t>
      </w:r>
    </w:p>
    <w:p w14:paraId="5AF1B485">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监理人应在发出中标通知书之后 14 天内，向承包人免费提供有关技术资料（养护技术规范、道路及构筑物现况、公路养护质量检查记录及次、差路率情况等），同时提供由发包人委托的设计单位设计的正确实施和完成及其缺陷修复所需的补充图纸 2 份，并向承包人作技术交底。承包人需要更多份数时，应自费复制。 </w:t>
      </w:r>
    </w:p>
    <w:p w14:paraId="362A2C86">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上述与本合同相关技术资料，未经发包人同意承包人不得提供给与本工程施工无关的第三方。养护承包期结束，在发给缺陷责任证书时，承包人应将发包人提供的养护技术规范、养护技术资料和所有图纸以及承包人在养护承包期内积累的所有养护记录和资料（包括台帐）全部交还给发包人。 </w:t>
      </w:r>
    </w:p>
    <w:p w14:paraId="0BF3F1FB">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由于发包人未按时提供图纸和有关技术资料而造成工期延误的，按第 11.3 款的约定办理。 </w:t>
      </w:r>
    </w:p>
    <w:p w14:paraId="74AB0057">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1.6.2 承包人提供的文件 </w:t>
      </w:r>
    </w:p>
    <w:p w14:paraId="4C4C964E">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按专用合同条款约定由承包人提供的文件，包括部分工程的大样图、加工图等，承包人应按约定的数量和期限报送监理人。监理人对承包人文件有异议的，承包人应予以修改，并重新报送监理人。合同约定承包人文件应经审查的，监理人应在合同约定的期限内审查完毕，但监理人的审查并不减轻或免除承包人根据合同约定应当承担的责任。 </w:t>
      </w:r>
    </w:p>
    <w:p w14:paraId="7F62C0CE">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1.6.3 图纸的修改 </w:t>
      </w:r>
    </w:p>
    <w:p w14:paraId="0A3846FF">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图纸需要修改和补充的，应由监理人取得发包人同意后，在该工程或工程相应部位施工前的合理期限内签发图纸修改图给承包人，具体签发期限在专用合同条款中约定。承包人应按修改后的图纸施工。 </w:t>
      </w:r>
    </w:p>
    <w:p w14:paraId="4280B002">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1.6.4 图纸的错误 </w:t>
      </w:r>
    </w:p>
    <w:p w14:paraId="6689B510">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当承包人在查阅合同或在本合同工程实施过程中，发现有关的工程设计、技术规范、图纸或其他资料中的任何差错、遗漏或缺陷后，应及时通知监理人。监理人接到该通知后，应立即就此做出决定，并通知承包人发发包人。 </w:t>
      </w:r>
    </w:p>
    <w:p w14:paraId="47D643C7">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1.6.5 图纸和承包人文件的保管 </w:t>
      </w:r>
    </w:p>
    <w:p w14:paraId="6014856B">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监理人和承包人均应在施工场地各保存一套完整的包含第 1.6.1 项、第 1.6.2项、第 1.6.3 项约定内容的图纸和承包人文件。</w:t>
      </w:r>
    </w:p>
    <w:p w14:paraId="6A20D659">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1.7 联络 </w:t>
      </w:r>
    </w:p>
    <w:p w14:paraId="566A62E7">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1.7.1 与合同有关的通知、批准、证明、证书、指示、指令、要求、请求、同意、意见、确定和决定等，均应采用书面形式。 </w:t>
      </w:r>
    </w:p>
    <w:p w14:paraId="39666B7D">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1.7.2 第 1.7.1 项中的通知、批准、证明、证书、指示、指令、要求、请求、同意、意见、确定和决定等来往函件，均应在合同约定的期限内（如无约定，应在合理期限内）通过特快专递或专人、挂号信、传真或双方商定的电子传输方式送达指定地点和接收人，并办理签收手续。 </w:t>
      </w:r>
    </w:p>
    <w:p w14:paraId="4A508F88">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1.7.3 发包人和承包人应在专用合同条件中约定各自的送达方式和收件地址。任何一方合同当事人指定的送达方式或收件地址发生变动的，应提前 3 天以书面形式通知对方。 </w:t>
      </w:r>
    </w:p>
    <w:p w14:paraId="5CC26D0C">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1.7.4 发包人和承包人应当及时签收另一方通过约定的送达方式送达至收件地址的来往文件。拒不签收的，由此增加的费用和（或）延误的工期由拒绝接收一方承担。 </w:t>
      </w:r>
    </w:p>
    <w:p w14:paraId="2486B178">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1.7.5 对于监理人向承包人发出的任何通知，均应以书面形式由监理人或其代表签认后送交承包人实施，并抄送发包人；对于合同一方向另一方发出的任何通知，均应抄送监理人。对于由监理人审查后报发包人批准的事项，应由监理人向承包人出具经发包人签认的批准文件。 </w:t>
      </w:r>
    </w:p>
    <w:p w14:paraId="6E0EB87E">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1.8 转让 </w:t>
      </w:r>
    </w:p>
    <w:p w14:paraId="67912F52">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除合同另有约定外，未经对方当事人同意，一方当事人不得将合同权利全部或部分转让给第三人，也不得全部或部分转移合同义务。 </w:t>
      </w:r>
    </w:p>
    <w:p w14:paraId="1C7DF02F">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1.9 严禁贿赂 </w:t>
      </w:r>
    </w:p>
    <w:p w14:paraId="479C99B3">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合同双方当事人不得以贿赂或变相贿赂的方式，谋取不当利益或损害对方权益。因贿赂造成对方损失的，行为人应赔偿损失，并承担相应的法律责任。 </w:t>
      </w:r>
    </w:p>
    <w:p w14:paraId="06E73225">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在合同执行过程中，发包人和承包人应严格履行《廉政合同》约定的双方在廉政建设方面的权利和义务以及应承担的违约责任。承包人如果用行贿、送礼或其它不正当手段企图影响或已经影响了发包人或监理人的行为和（或）欲获得或已获得超出合同规定以外的额外费用，则发包人应按有关法纪严肃处理当事人，且承包人应对其上述行为造成的工程损害、发包人的经济损失等承担一切责任，并予赔偿。情节严重者，发包人有权终止承包人在本合同项下的承包。 </w:t>
      </w:r>
    </w:p>
    <w:p w14:paraId="260B158F">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1.10 化石、文物 </w:t>
      </w:r>
    </w:p>
    <w:p w14:paraId="15DBC56A">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1.10.1 在施工场地发掘的所有文物、古迹以及具有地质研究或考古价值的其它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 </w:t>
      </w:r>
    </w:p>
    <w:p w14:paraId="7E33700E">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1.10.2 承包人发现文物后不及时报告或隐瞒不报，致使文物丢失或损坏的，应赔偿损失，并承担相应的法律责任。 </w:t>
      </w:r>
    </w:p>
    <w:p w14:paraId="55B53BDC">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1.11 专利技术 </w:t>
      </w:r>
    </w:p>
    <w:p w14:paraId="46296960">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1.11.1 承包人在使用任何材料、承包人设备、工程设备或采用施工工艺时，因侵犯专利权或其它知识产权所引起的责任，由承包人承担，但由于遵照发包人提供的设计或技术标准和要求引起的除外。 </w:t>
      </w:r>
    </w:p>
    <w:p w14:paraId="3A1184BB">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1.11.2 承包人在投标文件中采用专利技术的，专利技术的使用费包含在投标报价内。 </w:t>
      </w:r>
    </w:p>
    <w:p w14:paraId="4C108EFB">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1.11.3 承包人的技术秘密和声明需要保密的资料和信息，发包人和监理人不得为合同以外的目的泄露给他人。 </w:t>
      </w:r>
    </w:p>
    <w:p w14:paraId="194B4BC0">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1.12 图纸和文件的保密 </w:t>
      </w:r>
    </w:p>
    <w:p w14:paraId="29F3B7C3">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1.12.1 发包人提供的图纸和文件，未经发包人同意，承包人不得为合同以外的目的泄露给他人或公开发表与引用。 </w:t>
      </w:r>
    </w:p>
    <w:p w14:paraId="288ECA50">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1.12.2 承包人提供的文件，未经承包人同意，发包人和监理人不得为合同以外的目的泄露给他人或公开发表与引用。 </w:t>
      </w:r>
    </w:p>
    <w:p w14:paraId="17C53147">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1.12.3 一方泄露或者在本合同以外使用该商业秘密、技术秘密等保密信息给另一方造成损失的，应承担损害赔偿责任。当事人为履行合同所需要的信息，另一方应予以提供。当事人认为必要时，可订立保密协议，作为合同附件。</w:t>
      </w:r>
    </w:p>
    <w:bookmarkEnd w:id="590"/>
    <w:p w14:paraId="74FF6544">
      <w:pPr>
        <w:pStyle w:val="9"/>
        <w:keepNext w:val="0"/>
        <w:keepLines w:val="0"/>
        <w:pageBreakBefore w:val="0"/>
        <w:widowControl w:val="0"/>
        <w:tabs>
          <w:tab w:val="left" w:pos="2790"/>
        </w:tabs>
        <w:kinsoku/>
        <w:wordWrap/>
        <w:overflowPunct/>
        <w:topLinePunct w:val="0"/>
        <w:autoSpaceDE/>
        <w:autoSpaceDN/>
        <w:bidi w:val="0"/>
        <w:adjustRightInd/>
        <w:snapToGrid w:val="0"/>
        <w:spacing w:before="157" w:beforeLines="50" w:after="157" w:afterLines="50" w:line="400" w:lineRule="exact"/>
        <w:textAlignment w:val="auto"/>
        <w:outlineLvl w:val="2"/>
        <w:rPr>
          <w:rFonts w:ascii="黑体" w:eastAsia="黑体"/>
          <w:color w:val="auto"/>
          <w:sz w:val="28"/>
          <w:szCs w:val="28"/>
          <w:highlight w:val="none"/>
        </w:rPr>
      </w:pPr>
      <w:bookmarkStart w:id="591" w:name="_Toc16879"/>
      <w:bookmarkStart w:id="592" w:name="_Toc2296"/>
      <w:r>
        <w:rPr>
          <w:rFonts w:hint="eastAsia" w:ascii="黑体" w:eastAsia="黑体"/>
          <w:color w:val="auto"/>
          <w:sz w:val="28"/>
          <w:szCs w:val="28"/>
          <w:highlight w:val="none"/>
        </w:rPr>
        <w:t>2.发包人义务</w:t>
      </w:r>
      <w:bookmarkEnd w:id="591"/>
      <w:bookmarkEnd w:id="592"/>
    </w:p>
    <w:p w14:paraId="4DD5E493">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bookmarkStart w:id="593" w:name="_Toc14264"/>
      <w:r>
        <w:rPr>
          <w:rFonts w:hint="eastAsia" w:ascii="宋体" w:hAnsi="宋体" w:eastAsia="宋体" w:cs="宋体"/>
          <w:b/>
          <w:bCs/>
          <w:color w:val="auto"/>
          <w:szCs w:val="21"/>
          <w:highlight w:val="none"/>
          <w:lang w:val="en-US" w:eastAsia="zh-CN"/>
        </w:rPr>
        <w:t xml:space="preserve">2.1 遵守法律 </w:t>
      </w:r>
    </w:p>
    <w:p w14:paraId="3F8AFB18">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发包人在履行合同过程中应遵守法律，并保证承包人免于承担因发包人违反法律 </w:t>
      </w:r>
    </w:p>
    <w:p w14:paraId="3CD0EB24">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而引起的任何责任。发包人不得以任何理由，要求承包人在工程实施过程中违反法 </w:t>
      </w:r>
    </w:p>
    <w:p w14:paraId="33E9FDD1">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律、行政法规以及建设工程质量、安全、环保标准，任意压缩合理工期或者降低工程 </w:t>
      </w:r>
    </w:p>
    <w:p w14:paraId="4BC6DABD">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质量。 </w:t>
      </w:r>
    </w:p>
    <w:p w14:paraId="2875720C">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2.2 发出开工通知 </w:t>
      </w:r>
    </w:p>
    <w:p w14:paraId="6EC4E47C">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发包人应委托监理人按第 11.1 款的约定向承包人发出开工通知。 </w:t>
      </w:r>
    </w:p>
    <w:p w14:paraId="7FBE29C1">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2.3 提供施工场地 </w:t>
      </w:r>
    </w:p>
    <w:p w14:paraId="74D0D8BD">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发包人应按专用合同条款约定向承包人提供施工场地，以及施工场地内地下管线和地下设施等有关资料，并保证资料的真实、准确、完整。 </w:t>
      </w:r>
    </w:p>
    <w:p w14:paraId="14973DD4">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发包人应协调承包人办理临时用地的租用。 </w:t>
      </w:r>
    </w:p>
    <w:p w14:paraId="473E6D9F">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2.4 协助承包人办理证件和批件 </w:t>
      </w:r>
    </w:p>
    <w:p w14:paraId="4C4039C0">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发包人应协助承包人办理法律规定的有关施工证件和批件。 </w:t>
      </w:r>
    </w:p>
    <w:p w14:paraId="5E6DEC8C">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2.5 组织设计交底 </w:t>
      </w:r>
    </w:p>
    <w:p w14:paraId="1D539CF3">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发包人应根据合同进度计划，组织设计单位向承包人进行设计交底。 </w:t>
      </w:r>
    </w:p>
    <w:p w14:paraId="5111FD66">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2.6 支付合同价款 </w:t>
      </w:r>
    </w:p>
    <w:p w14:paraId="59B01305">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发包人应按合同约定向承包人及时支付合同价款。 </w:t>
      </w:r>
    </w:p>
    <w:p w14:paraId="2359E8C5">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2.7 组织竣工验收 </w:t>
      </w:r>
    </w:p>
    <w:p w14:paraId="7E018D13">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发包人应按合同约定及时组织竣工验收。 </w:t>
      </w:r>
    </w:p>
    <w:p w14:paraId="1999A978">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2.8 其它义务 </w:t>
      </w:r>
    </w:p>
    <w:p w14:paraId="5DE8CD0C">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发包人应履行合同约定的其它义务。</w:t>
      </w:r>
    </w:p>
    <w:bookmarkEnd w:id="593"/>
    <w:p w14:paraId="6A252C8B">
      <w:pPr>
        <w:pStyle w:val="9"/>
        <w:keepNext w:val="0"/>
        <w:keepLines w:val="0"/>
        <w:pageBreakBefore w:val="0"/>
        <w:widowControl w:val="0"/>
        <w:tabs>
          <w:tab w:val="left" w:pos="2790"/>
        </w:tabs>
        <w:kinsoku/>
        <w:wordWrap/>
        <w:overflowPunct/>
        <w:topLinePunct w:val="0"/>
        <w:autoSpaceDE/>
        <w:autoSpaceDN/>
        <w:bidi w:val="0"/>
        <w:adjustRightInd/>
        <w:snapToGrid w:val="0"/>
        <w:spacing w:before="157" w:beforeLines="50" w:after="157" w:afterLines="50" w:line="400" w:lineRule="exact"/>
        <w:textAlignment w:val="auto"/>
        <w:outlineLvl w:val="2"/>
        <w:rPr>
          <w:rFonts w:hint="eastAsia" w:ascii="黑体" w:hAnsi="Times New Roman" w:eastAsia="黑体" w:cs="Times New Roman"/>
          <w:color w:val="auto"/>
          <w:sz w:val="28"/>
          <w:szCs w:val="28"/>
          <w:highlight w:val="none"/>
        </w:rPr>
      </w:pPr>
      <w:bookmarkStart w:id="594" w:name="_Toc13461"/>
      <w:bookmarkStart w:id="595" w:name="_Toc29998"/>
      <w:r>
        <w:rPr>
          <w:rFonts w:hint="eastAsia" w:ascii="黑体" w:hAnsi="Times New Roman" w:eastAsia="黑体" w:cs="Times New Roman"/>
          <w:color w:val="auto"/>
          <w:sz w:val="28"/>
          <w:szCs w:val="28"/>
          <w:highlight w:val="none"/>
        </w:rPr>
        <w:t>3.监理人</w:t>
      </w:r>
      <w:bookmarkEnd w:id="594"/>
      <w:bookmarkEnd w:id="595"/>
    </w:p>
    <w:p w14:paraId="264FFADA">
      <w:pPr>
        <w:pStyle w:val="9"/>
        <w:tabs>
          <w:tab w:val="left" w:pos="2790"/>
        </w:tabs>
        <w:snapToGrid w:val="0"/>
        <w:spacing w:line="400" w:lineRule="exact"/>
        <w:outlineLvl w:val="3"/>
        <w:rPr>
          <w:rFonts w:hint="eastAsia" w:ascii="宋体" w:hAnsi="宋体" w:eastAsia="宋体" w:cs="宋体"/>
          <w:b/>
          <w:bCs/>
          <w:color w:val="auto"/>
          <w:szCs w:val="21"/>
          <w:highlight w:val="none"/>
        </w:rPr>
      </w:pPr>
      <w:bookmarkStart w:id="596" w:name="_Toc13594"/>
      <w:r>
        <w:rPr>
          <w:rFonts w:hint="eastAsia" w:ascii="宋体" w:hAnsi="宋体" w:eastAsia="宋体" w:cs="宋体"/>
          <w:b/>
          <w:bCs/>
          <w:color w:val="auto"/>
          <w:szCs w:val="21"/>
          <w:highlight w:val="none"/>
        </w:rPr>
        <w:t>3.1  监理人的职责和权力</w:t>
      </w:r>
      <w:bookmarkEnd w:id="596"/>
    </w:p>
    <w:p w14:paraId="17743E4F">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bookmarkStart w:id="597" w:name="_Toc920"/>
      <w:r>
        <w:rPr>
          <w:rFonts w:hint="eastAsia" w:ascii="宋体" w:hAnsi="Times New Roman" w:eastAsia="Times New Roman" w:cs="Times New Roman"/>
          <w:color w:val="auto"/>
          <w:szCs w:val="21"/>
          <w:highlight w:val="none"/>
          <w:lang w:val="en-US" w:eastAsia="zh-CN"/>
        </w:rPr>
        <w:t xml:space="preserve">3.1.1 监理人受发包人委托，享有合同约定的权力。监理人在行使某项权力前需要经发包人事先批准而通用合同条款没有指明的，应在专用合同条款中指明。 </w:t>
      </w:r>
    </w:p>
    <w:p w14:paraId="3F016F80">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监理人在行使下列权力前需要经发包人事先批准：</w:t>
      </w:r>
    </w:p>
    <w:p w14:paraId="6EDA8BC1">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（1）根据第 4.3 款，同意分包本工程的某非主体部和非关键性工作； </w:t>
      </w:r>
    </w:p>
    <w:p w14:paraId="72509E72">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（2）确定第 4.11 款下产生的费用增加额； </w:t>
      </w:r>
    </w:p>
    <w:p w14:paraId="53EA8DCB">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（3）根据第 11.1 款、第 12.3 款、第 12.4 款发布开工通知、暂停施工指示或复工通知； </w:t>
      </w:r>
    </w:p>
    <w:p w14:paraId="27A751A7">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（4）决定第 11.3 款、第 11.4 款下的工期延期； </w:t>
      </w:r>
    </w:p>
    <w:p w14:paraId="47801EDC">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（5）根据第 15.3 款发出的变更指示，其单项工程变更或累计变更涉及的金额超过了项目专用合同条款数据表中规定的金额； </w:t>
      </w:r>
    </w:p>
    <w:p w14:paraId="35F08D1D">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（6）根据第 15.4 款下变更工作的单价； </w:t>
      </w:r>
    </w:p>
    <w:p w14:paraId="326A083A">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（7）按照第 15.6 款决定有关暂列金额的使用； </w:t>
      </w:r>
    </w:p>
    <w:p w14:paraId="1C926D4F">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（8）确定第 23.1 款项下的索赔额； </w:t>
      </w:r>
    </w:p>
    <w:p w14:paraId="4AC1F9A1">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如果发生紧急情况，监理人认为将造成人员伤亡，或危及本工程或邻近的财产需立即采取行动，监理人有权在未征得发包人的批准情况下发布处理紧急情况所必需的指令，承包人应予执行，由此造成的费用增加由监理人按第 3.5 款商定或确定。 </w:t>
      </w:r>
    </w:p>
    <w:p w14:paraId="7CDEB267">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3.1.2 监理人发出的任何指示应视为已得到发包人的批准，但监理人无权免除或变更合同约定的发包人和承包人的权利、义务和责任。 </w:t>
      </w:r>
    </w:p>
    <w:p w14:paraId="66A94496">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3.1.3 合同约定应由承包人承担的义务和责任，不因监理人对承包人提交文件的审查或批准，对工程、材料和设备的检查和检验，以及为实施监理作出的指示等职务行为而减轻或解除。 </w:t>
      </w:r>
    </w:p>
    <w:p w14:paraId="4DBEAA3C">
      <w:pPr>
        <w:pStyle w:val="9"/>
        <w:tabs>
          <w:tab w:val="left" w:pos="2790"/>
        </w:tabs>
        <w:snapToGrid w:val="0"/>
        <w:spacing w:line="400" w:lineRule="exact"/>
        <w:outlineLvl w:val="3"/>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3.2 总监理工程师 </w:t>
      </w:r>
    </w:p>
    <w:p w14:paraId="7EEF7C00">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发包人应在发出开工通知前将总监理工程师的任命通知承包人。总监理工程师更换时，应在调离 14 天前通知承包人。总监理工程师短期离开施工场地的，应委派代表代行其职责，并通知承包人。 </w:t>
      </w:r>
    </w:p>
    <w:p w14:paraId="079CAD2B">
      <w:pPr>
        <w:pStyle w:val="9"/>
        <w:tabs>
          <w:tab w:val="left" w:pos="2790"/>
        </w:tabs>
        <w:snapToGrid w:val="0"/>
        <w:spacing w:line="400" w:lineRule="exact"/>
        <w:outlineLvl w:val="3"/>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3.3 监理人员 </w:t>
      </w:r>
    </w:p>
    <w:p w14:paraId="7957BCBD">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3.3.1 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 </w:t>
      </w:r>
    </w:p>
    <w:p w14:paraId="032DBF83">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3.3.2 监理人员对承包人的任何工作、工程或其采用的材料和工程设备未在约定的或合理的期限内提出否定意见的，视为已获批准，但不影响监理人在以后拒绝该项工作、工程、材料或工程设备的权利。</w:t>
      </w:r>
    </w:p>
    <w:p w14:paraId="0E102753">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3.3.3 承包人对总监理工程师授权的监理人员发出的指示有疑问的，可向总监理工程师提出书面异议，总监理工程师应在 48 小时内对该指示予以确认、更改或撤销。 </w:t>
      </w:r>
    </w:p>
    <w:p w14:paraId="16456FB1">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3.3.4 除专用合同条款另有约定外，总监理工程师不应将第 3.5 款约定应由总监理工程师作出确定的权力授权或委托给其他监理人员。 </w:t>
      </w:r>
    </w:p>
    <w:p w14:paraId="7B860E2C">
      <w:pPr>
        <w:pStyle w:val="9"/>
        <w:tabs>
          <w:tab w:val="left" w:pos="2790"/>
        </w:tabs>
        <w:snapToGrid w:val="0"/>
        <w:spacing w:line="400" w:lineRule="exact"/>
        <w:outlineLvl w:val="3"/>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3.4 监理人的指示 </w:t>
      </w:r>
    </w:p>
    <w:p w14:paraId="7539DBB5">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3.4.1 监理人应按第 3.1 款的约定向承包人发出指示，监理人的指示应采用书面形式，盖有监理人授权的施工场地机构章，并由总监理工程师或总监理工程师按第 3.3.1 项约定授权的监理人员签字。 </w:t>
      </w:r>
    </w:p>
    <w:p w14:paraId="4BD98469">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3.4.2 承包人收到监理人按第 3.4.1 项作出的指示后应遵照执行。指示构成变更的，应按第 15 条处理。 </w:t>
      </w:r>
    </w:p>
    <w:p w14:paraId="455FE5AC">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3.4.3 在紧急情况下，总监理工程师或被授权的监理人员可以当场签发临时书面指示，承包人应遵照执行。承包人应在收到上述临时书面指示后 24 小时内，向监理人发出书面确认函。监理人在收到书面确认函后 24 小时内未予答复的，该书面确认函应被视为监理人的正式指示。 </w:t>
      </w:r>
    </w:p>
    <w:p w14:paraId="1B218D5E">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3.4.4 除合同另有约定外，承包人只从总监理工程师或按第 3.3.1 项被授权的监理人员处取得指示。 </w:t>
      </w:r>
    </w:p>
    <w:p w14:paraId="42DD8F48">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3.4.5 由于监理人未能按合同约定发出指示、指示延误或指示错误而导致承包人费用增加和（或）工期延误的，由发包人承担由此增加的费用和（或）工期延误，并向承包人支付合理利润。 </w:t>
      </w:r>
    </w:p>
    <w:p w14:paraId="6946468A">
      <w:pPr>
        <w:pStyle w:val="9"/>
        <w:tabs>
          <w:tab w:val="left" w:pos="2790"/>
        </w:tabs>
        <w:snapToGrid w:val="0"/>
        <w:spacing w:line="400" w:lineRule="exact"/>
        <w:outlineLvl w:val="3"/>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3.5 商定或确定 </w:t>
      </w:r>
    </w:p>
    <w:p w14:paraId="0F9C3E37">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3.5.1 合同约定监理人应按照本款对任何事项进行商定或确定时，监理人应与合同当事人协商，尽量达成一致。监理人应将商定的结果以书面形式通知发包人和承包人，并由双方签署确认。 </w:t>
      </w:r>
    </w:p>
    <w:p w14:paraId="2CD2E74F">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3.5.2 除专用合同条件另有约定外，商定的期限应为监理人收到任何一方就商定事由发出的通知后 42 天内或监理人提出并经双方同意的其他期限。未能在该期限内达成一致的，监理人应按合同约定审慎做出公正的确定。确定的期限应为商定的期限届满后 42 天内或监理人提出并经双方同意的其他期限。监理人应将确定的结果以书面形式通知发包人和承包人，并附详细依据。 </w:t>
      </w:r>
    </w:p>
    <w:p w14:paraId="4F629614">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3.5.3 任何一方对监理人的确定有异议的，应在收到确定的结果后 28 天内向另一方发出书面异议通知并抄送监理人。除第 23.2 款[承包人索赔处理程序]另有约定外，监理人未能在确定的期限内发出确定的结果通知的，或者任何一方发出对确定的结果有异议的通知的，则构成争议并应按照第 24 条[争议解决]的约定处理。如未在 28 天内发出上述通知的，监理人的确定应被视为已被双方接受并对双方具有约束力，但专用合同条件另有约定的除外。 </w:t>
      </w:r>
    </w:p>
    <w:p w14:paraId="156F4453">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3.5.4 在该争议解决前，双方应暂按监理人的确定执行。按照第 24 条[争议解决]的约定对监理人的确定作出修改的，按修改后的结果执行，由此导致承包人增加的费用和延误的工期由责任方承担。 </w:t>
      </w:r>
    </w:p>
    <w:p w14:paraId="0FCECB39">
      <w:pPr>
        <w:pStyle w:val="9"/>
        <w:keepNext w:val="0"/>
        <w:keepLines w:val="0"/>
        <w:pageBreakBefore w:val="0"/>
        <w:widowControl w:val="0"/>
        <w:tabs>
          <w:tab w:val="left" w:pos="2790"/>
        </w:tabs>
        <w:kinsoku/>
        <w:wordWrap/>
        <w:overflowPunct/>
        <w:topLinePunct w:val="0"/>
        <w:autoSpaceDE/>
        <w:autoSpaceDN/>
        <w:bidi w:val="0"/>
        <w:adjustRightInd/>
        <w:snapToGrid w:val="0"/>
        <w:spacing w:before="157" w:beforeLines="50" w:after="157" w:afterLines="50" w:line="400" w:lineRule="exact"/>
        <w:textAlignment w:val="auto"/>
        <w:outlineLvl w:val="2"/>
        <w:rPr>
          <w:rFonts w:hint="eastAsia" w:ascii="黑体" w:hAnsi="Times New Roman" w:eastAsia="黑体" w:cs="Times New Roman"/>
          <w:color w:val="auto"/>
          <w:sz w:val="28"/>
          <w:szCs w:val="28"/>
          <w:highlight w:val="none"/>
        </w:rPr>
      </w:pPr>
      <w:bookmarkStart w:id="598" w:name="_Toc11281"/>
      <w:r>
        <w:rPr>
          <w:rFonts w:hint="eastAsia" w:ascii="黑体" w:hAnsi="Times New Roman" w:eastAsia="黑体" w:cs="Times New Roman"/>
          <w:color w:val="auto"/>
          <w:sz w:val="28"/>
          <w:szCs w:val="28"/>
          <w:highlight w:val="none"/>
        </w:rPr>
        <w:t>4.承包人</w:t>
      </w:r>
      <w:bookmarkEnd w:id="597"/>
      <w:bookmarkEnd w:id="598"/>
    </w:p>
    <w:p w14:paraId="3002A351">
      <w:pPr>
        <w:pStyle w:val="9"/>
        <w:tabs>
          <w:tab w:val="left" w:pos="2790"/>
        </w:tabs>
        <w:snapToGrid w:val="0"/>
        <w:spacing w:line="400" w:lineRule="exact"/>
        <w:outlineLvl w:val="3"/>
        <w:rPr>
          <w:rFonts w:hint="eastAsia" w:ascii="宋体" w:hAnsi="宋体" w:eastAsia="宋体" w:cs="宋体"/>
          <w:b/>
          <w:bCs/>
          <w:color w:val="auto"/>
          <w:szCs w:val="21"/>
          <w:highlight w:val="none"/>
        </w:rPr>
      </w:pPr>
      <w:bookmarkStart w:id="599" w:name="_Toc9405"/>
      <w:r>
        <w:rPr>
          <w:rFonts w:hint="eastAsia" w:ascii="宋体" w:hAnsi="宋体" w:eastAsia="宋体" w:cs="宋体"/>
          <w:b/>
          <w:bCs/>
          <w:color w:val="auto"/>
          <w:szCs w:val="21"/>
          <w:highlight w:val="none"/>
        </w:rPr>
        <w:t>4.1  承包人的一般义务</w:t>
      </w:r>
      <w:bookmarkEnd w:id="599"/>
    </w:p>
    <w:p w14:paraId="621E4A79">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bookmarkStart w:id="600" w:name="_Toc29480"/>
      <w:r>
        <w:rPr>
          <w:rFonts w:hint="eastAsia" w:ascii="宋体" w:hAnsi="Times New Roman" w:eastAsia="Times New Roman" w:cs="Times New Roman"/>
          <w:color w:val="auto"/>
          <w:szCs w:val="21"/>
          <w:highlight w:val="none"/>
          <w:lang w:val="en-US" w:eastAsia="zh-CN"/>
        </w:rPr>
        <w:t xml:space="preserve">4.1.1 遵守法律 </w:t>
      </w:r>
    </w:p>
    <w:p w14:paraId="4DD6A642">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承包人在履行合同过程中应遵守法律，并保证发包人免于承担因承包人违反法律而引起的任何责任。 </w:t>
      </w:r>
    </w:p>
    <w:p w14:paraId="5F188B69">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4.1.2 依法纳税 </w:t>
      </w:r>
    </w:p>
    <w:p w14:paraId="307CFC2D">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承包人应按有关法律规定纳税，应缴纳的税金包括在合同价格内。 </w:t>
      </w:r>
    </w:p>
    <w:p w14:paraId="0CE204ED">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4.1.3 完成各项承包工作 </w:t>
      </w:r>
    </w:p>
    <w:p w14:paraId="33C749F3">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承包人应按合同约定以及监理人根据第 3.4 款作出的指示，实施、完成全部工程，并修补工程中的任何缺陷。除专用合同条款另有约定外，承包人应提供为完成合同工作所需的劳务、材料、施工设备、工程设备和其它物品，并按合同约定负责临时设施的设计、施工、运行、维护、管理和拆除。 </w:t>
      </w:r>
    </w:p>
    <w:p w14:paraId="51222E80">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承包人应负责做好合同规定的养护工程作业方案，精心组织养护，加强养护质量控制，完成本合同公路养护工程。为此，承包人应提供所需的全部监督管理、劳务、材料、设备、养护装备和其它物品。承包人应加强养护工程的质量控制，合同期内的公路养护质量指数 MQI 及其分项指标 PQI、SCI、BCI、TCI 等及次差路率指标 RoP 应符合技术规范第 106 节的规定要求，达到该要求是工程款支付的前提条件。 </w:t>
      </w:r>
    </w:p>
    <w:p w14:paraId="457ADF08">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4.1.4 对施工作业和施工方法的完备性负责 </w:t>
      </w:r>
    </w:p>
    <w:p w14:paraId="21856489">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承包人应按合同约定的工作内容和施工进度要求，编制养护工程作业方案和施工措施计划，并对所有施工作业和施工方法的完备性和安全可靠性负责。 </w:t>
      </w:r>
    </w:p>
    <w:p w14:paraId="69F0DB00">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承包人应对全部现场作业和施工方法的适用性、可靠性和安全性承担全部责任。承包人应根据发包人提供的原有公路技术状况，进行认真的核查，协助和配合发包人进行各项检查，发现病害及时查明原因，为消除病害，提交经补充修改后的养护工程作业方案。 </w:t>
      </w:r>
    </w:p>
    <w:p w14:paraId="181819FF">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4.1.5 保证养护工程施工和人员的安全</w:t>
      </w:r>
    </w:p>
    <w:p w14:paraId="7101EC04">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承包人应按第 9.2 款约定采取施工安全措施，确保工程及其人员、材料、设备和设施的安全，防止因工程施工造成的人身伤害和财产损失。 </w:t>
      </w:r>
    </w:p>
    <w:p w14:paraId="2DD4CD82">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在实施和完成养护工程的整个过程中，承包人应该充分关注和保障所有在现场工作的人员安全，采取有效措施，使养护作业现场和本合同养护工程的实施保持有条不紊，以免人员的安全受到威胁： </w:t>
      </w:r>
    </w:p>
    <w:p w14:paraId="32081190">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（1）按施工人员的 2～4％配备专职安全员并有一名安全负责人，且不少于 1 人，同时每个施工作业点必须有安全员； </w:t>
      </w:r>
    </w:p>
    <w:p w14:paraId="71BED30F">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承包人的垂直运输机械作业人员、施工船舶作业人员、爆破作业人员、安装拆卸工、起重信号工、电工、焊工等国家规定的特种作业人员，必须按照国家规定经过专门的安全作业培训，并取得特种作业操作资格证书后，方可上岗作业。 </w:t>
      </w:r>
    </w:p>
    <w:p w14:paraId="770DCE30">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3）承包人应当在施工现场建立消防安全责任制度，对于易燃易爆的材料除应专门妥善保管之外，还应确定消防安全责任人，制定用火、用电、使用易燃易爆材料等各项消防管理制度和操作规程，设置消防通道，配备相应的消防设施和灭火器材，所有施工人员都应熟悉消防设备的性能和使用方法。 </w:t>
      </w:r>
    </w:p>
    <w:p w14:paraId="645EA231">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（4）所有施工机具设备和高空作业的设备均应定期检查，并有安全负责人的签字记录； </w:t>
      </w:r>
    </w:p>
    <w:p w14:paraId="0A67DE0B">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（5）根据养护工程的性质和施工特点，严格执行《公路工程施工安全技术规范》（JTG F90-2015）和《公路养护安全作业规程》（JTG H30-2015）的具体规定； </w:t>
      </w:r>
    </w:p>
    <w:p w14:paraId="489B1345">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4.1.6 负责施工场地及其周边环境与生态的保护工作 </w:t>
      </w:r>
    </w:p>
    <w:p w14:paraId="0BD2908E">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承包人应按照第 9.4 款约定负责施工场地及其周边环境与生态的保护工作。 </w:t>
      </w:r>
    </w:p>
    <w:p w14:paraId="3DD8083F">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4.1.7 避免施工对公众与他人的利益造成损害 </w:t>
      </w:r>
    </w:p>
    <w:p w14:paraId="31C23600">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承包人在进行合同约定的各项工作时，不得侵害发包人与他人使用公用道路、水源、市政管网等公共设施的权利，避免对邻近的公共设施产生干扰。承包人占用或使用他人的施工场地，影响他人作业或生活的，应承担相应责任。 </w:t>
      </w:r>
    </w:p>
    <w:p w14:paraId="0D643A94">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承包人在养护过程中必须采取一切措施，确保车辆正常运行，做到养护作业、车辆通行两不误。 </w:t>
      </w:r>
    </w:p>
    <w:p w14:paraId="7DFAA471">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实施养护作业路段应配备交通标志等设施，指定专人维持车辆通行秩序。如因承包人措施不力，导致阻车或事故频发而造成较大影响，引起索赔、赔偿或养护费用增加时，应由承包人承担一切责任和费用。 </w:t>
      </w:r>
    </w:p>
    <w:p w14:paraId="6E5669D5">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4.1.8 为他人提供方便 </w:t>
      </w:r>
    </w:p>
    <w:p w14:paraId="19E05F3E">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承包人应按监理人的指示为他人在施工场地或附近实施与工程有关的其它各项工作提供可能的条件。除合同另有约定外，提供有关条件的内容和可能发生的费用，由监理人按第 3.5 款商定或确定。 </w:t>
      </w:r>
    </w:p>
    <w:p w14:paraId="4F3092D4">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为保护实施的养护工程免遭损坏，或为了现场附近和过往群众的方便与安全，在确有必要的时候和地方，或当监理人或有关主管部门要求时，应自费提供照明、警卫、护栏、警告标志等安全防护设施。 </w:t>
      </w:r>
    </w:p>
    <w:p w14:paraId="2AA7028C">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4.1.9 工程的维护和照管 </w:t>
      </w:r>
    </w:p>
    <w:p w14:paraId="1AAC1E9D">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工程接收证书颁发前，承包人应负责照管和维护工程。工程接收证书颁发时尚有部分未竣工工程的，承包人还应负责该未竣工工程的照管和维护工作，直至竣工后移交给发包人为止。 </w:t>
      </w:r>
    </w:p>
    <w:p w14:paraId="68F47AB2">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4.1.10 其它义务 </w:t>
      </w:r>
    </w:p>
    <w:p w14:paraId="6BF44BFE">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承包人应履行合同约定的其它义务。 </w:t>
      </w:r>
    </w:p>
    <w:p w14:paraId="433192AB">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（1）除专用合同条款另有约定外，承包人应承担并支付为完成本合同工程所需的石料、砂、砾石、黏土或其它当地材料等所发生的料场使用费及其它开支或补偿费。 </w:t>
      </w:r>
    </w:p>
    <w:p w14:paraId="4432ADDC">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（2）承包人应严格遵守国家有关解决拖欠工程款和民工工资的法律、法规，及时支付工程中的材料、设备货款及民工工资等费用。 </w:t>
      </w:r>
    </w:p>
    <w:p w14:paraId="20D07C20">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承包人应在本养护工程中严格执行交通运输部《关于公路水运工程建设领域保障农民工工资支付的意见》(交公路规〔2020〕5 号文)及浙江省劳动和社会保障厅、浙江省及项目所在地政府有关拖欠工程款和农民工工资相关法律法规及规定，及时支付工程中的材料、设备货款及民工工资等费用。承包人不得以任何借口拖欠材料、设备货款及民工工资等费用，如果出现此种现象，发包人有权代为支付其拖欠的材料、设备货款及民工工资，并从应付给承包人的工程款中扣除相应款项。对恶意拖欠和拒不按计划支付的，作为不良记录纳入浙江省交通运输信用系统。 </w:t>
      </w:r>
    </w:p>
    <w:p w14:paraId="0D6D46D8">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承包人的项目经理部是民工工资支付行为的主体，承包人的项目经理是民工工资支付的责任人。项目经理部要建立全体民工花名册和工资支付表（包含分包单位），确保将工资直接发放给民工本人，或委托银行发放民工工资，严禁发放给“包工头”或其他不具备用工主体资格的组织和个人。工资支付表应如实记录支付单位、支付时间、支付对象、支付数额、支付对象的身份证号和签字等信息。民工花名册和工资支付表应报监理人备查。 </w:t>
      </w:r>
    </w:p>
    <w:p w14:paraId="037BBD51">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承包人应按规定缴纳农民工工资保证金。 </w:t>
      </w:r>
    </w:p>
    <w:p w14:paraId="76BD2799">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承包人应在用工后 15 天内与农民工签订劳动合同，根据劳动合同签订情况，统计农民工人数，按照实际人数办理记工考勤卡。项目完工后或农民工提前离开工地，承包人应在合同约定期限之内对农民工工资进行结算，并一次性付清所有应发放的工资。同时承包人应在项目经理部和新闻媒介上分阶段公示民工工资支付情况，并公开 2个监督电话（电话为当地交通主管部门和劳动保障部门等第三方单位可打通的号码），公示期符合相关规定。承包人应加强劳动合同管理，规范公路建设用工行为。不拖欠农民工工资，及时、足额发放农民工工资。 </w:t>
      </w:r>
    </w:p>
    <w:p w14:paraId="317688E1">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3）承包人在递交投标文件的同时，应按招标文件第八章投标文件格式附表四的格式填写一份《临时占地计划表》（临时用地范围包括承包人驻地的办公和生活用地、仓库与料场用地、预制场用地、借土场地及临时堆土场地、工地试验室用地、临时道路用地等）。中标后应在此表范围内按实际需要与先后次序，提出具体计划报监理人同意，并报发包人。租地费用列入工程量清单 100 章中由承包人报价。临时用地退还前，承包人应自费恢复到临时用地使用前的状况。如因承包人撤离后未按要求对临时用地进行恢复或虽进行了恢复但未达到使用标准的，将由发包人委托第三方进行恢复，所发生的费用将从应付给承包人的任何款项内扣除。超出《临时占地计划表》的临时用地由承包人自行办理并自付费用。 </w:t>
      </w:r>
    </w:p>
    <w:p w14:paraId="2156999D">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（4）承包人应履行专用合同条款约定的其它义务。 </w:t>
      </w:r>
    </w:p>
    <w:p w14:paraId="31844A9C">
      <w:pPr>
        <w:pStyle w:val="9"/>
        <w:tabs>
          <w:tab w:val="left" w:pos="2790"/>
        </w:tabs>
        <w:snapToGrid w:val="0"/>
        <w:spacing w:line="400" w:lineRule="exact"/>
        <w:outlineLvl w:val="3"/>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4.2 履约担保 </w:t>
      </w:r>
    </w:p>
    <w:p w14:paraId="03E7F8EA">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发包人需要承包人提供履约担保的，由合同当事人在专用合同条件中约定履约担保的方式、金额及提交的时间等。履约担保可以采用银行转账、银行保函、保险机构保证保险保单或融资性担保公司保函等形式，承包人为联合体的，其履约担保由联合体各方或者联合体中牵头人的名义代表联合体提交，具体由合同当事人在专用合同条件中约定。 </w:t>
      </w:r>
    </w:p>
    <w:p w14:paraId="05B7F926">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承包人应保证其履约担保在工程竣工验收通过前一直有效。发包人应在工程竣工验收通过后 7 天内将履约担保款项退还给承包人或者解除履约担保。 </w:t>
      </w:r>
    </w:p>
    <w:p w14:paraId="1DFE9FE1">
      <w:pPr>
        <w:pStyle w:val="9"/>
        <w:tabs>
          <w:tab w:val="left" w:pos="2790"/>
        </w:tabs>
        <w:snapToGrid w:val="0"/>
        <w:spacing w:line="400" w:lineRule="exact"/>
        <w:ind w:firstLine="420" w:firstLineChars="200"/>
        <w:rPr>
          <w:rFonts w:hint="eastAsia" w:ascii="黑体" w:eastAsia="黑体"/>
          <w:color w:val="auto"/>
          <w:szCs w:val="21"/>
          <w:highlight w:val="none"/>
        </w:rPr>
      </w:pPr>
      <w:r>
        <w:rPr>
          <w:rFonts w:hint="eastAsia" w:ascii="宋体" w:hAnsi="Times New Roman" w:eastAsia="Times New Roman" w:cs="Times New Roman"/>
          <w:color w:val="auto"/>
          <w:szCs w:val="21"/>
          <w:highlight w:val="none"/>
          <w:lang w:val="en-US" w:eastAsia="zh-CN"/>
        </w:rPr>
        <w:t xml:space="preserve">因承包人原因导致工期延长的，继续提供履约担保所增加的费用由承包人承担；非因承包人原因导致工期延长的，继续提供履约担保所增加的费用由发包人承担。 </w:t>
      </w:r>
    </w:p>
    <w:p w14:paraId="67FE1362">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4.3  分包</w:t>
      </w:r>
      <w:bookmarkEnd w:id="600"/>
    </w:p>
    <w:p w14:paraId="6DBAF83B">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bookmarkStart w:id="601" w:name="_Toc6409"/>
      <w:r>
        <w:rPr>
          <w:rFonts w:hint="eastAsia" w:ascii="宋体" w:hAnsi="Times New Roman" w:eastAsia="Times New Roman" w:cs="Times New Roman"/>
          <w:color w:val="auto"/>
          <w:szCs w:val="21"/>
          <w:highlight w:val="none"/>
          <w:lang w:val="en-US" w:eastAsia="zh-CN"/>
        </w:rPr>
        <w:t xml:space="preserve">4.3.1 承包人不得将其承包的全部工程转包给第三人，或将其承包的全部工程肢解后以分包的名义转包给第三人。 </w:t>
      </w:r>
    </w:p>
    <w:p w14:paraId="7C7335EF">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4.3.2 承包人不得将工程主体、关键性工作分包给第三人。除专用合同条款另有约定外，未经发包人同意，承包人不得将工程的其它部分或工作分包给第三人，不得以劳务分包的名义转包或违法分包工程。经发包人同意，承包人可将工程的其它部分或工作分包给第三人。分包包括专业分包和劳务分包。 </w:t>
      </w:r>
    </w:p>
    <w:p w14:paraId="5E93BA98">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4.3.3 在养护工程施工过程在中，承包人进行专业分包必须遵守以下规定：</w:t>
      </w:r>
    </w:p>
    <w:p w14:paraId="458DDF4C">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（1）允许专业分包的工程范围仅限于分部工程或分项工程、适合专业化队伍施工的工程，专业分包的工程量累计不得超过总工程量的 30％。 </w:t>
      </w:r>
    </w:p>
    <w:p w14:paraId="54A06994">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（2）专业分包人的资格能力（含安全生产能力）应与其分包工程的标准和规模相适应，具备相应的专业承包资质。 </w:t>
      </w:r>
    </w:p>
    <w:p w14:paraId="735E38B9">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（3）专业分包工程不得再次分包。 </w:t>
      </w:r>
    </w:p>
    <w:p w14:paraId="5A981DFC">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（4）承包人和专业分包人应当依法签订专业分包合同，并按照合同履行约定的义务。专业分包合同必须明确约定工程款支付条款、结算方式以及保证按期支付的相应措施，确保工程款的支付。 </w:t>
      </w:r>
    </w:p>
    <w:p w14:paraId="2009DE71">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5）承包人对施工现场安全负总责，并对专业分包人的安全生产进行培训和管理。专业分包人应将其专业分包工程的养护工程作业方案和施工安全方案报承包人备案。专业分包人对分包施工现场安全负责，发现事故隐患，应及时处理。 </w:t>
      </w:r>
    </w:p>
    <w:p w14:paraId="217769F9">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（6）所有专业分包计划和专业分包合同须报监理人审批，并报发包人核备。监理人审批专业分包并不解除合同规定的承包人的任何责任或义务。 </w:t>
      </w:r>
    </w:p>
    <w:p w14:paraId="48982EA3">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违反上述规定之一者属违规分包。 </w:t>
      </w:r>
    </w:p>
    <w:p w14:paraId="60CD9D69">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4.3.4 在养护工程施工过程中，承包人进行劳务分包必须遵守以下规定： </w:t>
      </w:r>
    </w:p>
    <w:p w14:paraId="2E7C03DD">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（1）劳务分包人应具有劳务分包资质。 </w:t>
      </w:r>
    </w:p>
    <w:p w14:paraId="3B477218">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劳务分包应当依法签订劳务分包合同，劳务分包合同必须由承包人的法定代表人或其委托代理人与劳务分包人直接签订，不得由他人代签。承包人的项目经理部、项目经理、施工班组等不具备用工主体资格，不能与劳务分包人签订劳务分包合同。承包人应向发包人和监理人提交劳务分包合同副本并报项目所在地劳动保障部门备案。 </w:t>
      </w:r>
    </w:p>
    <w:p w14:paraId="2AF7866F">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3）承包人雇用的劳务作业人员应加入到承包人的施工班组统一管理。有关施工质量、施工安全、施工进度、环境保护、技术方案、试验检测、材料保管与供应、机械设备等都必须由承包人管理与调配，不得以包代管。 </w:t>
      </w:r>
    </w:p>
    <w:p w14:paraId="413D2B24">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（4）承包人应当对劳务分包人员进行安全培训和管理，劳务分包人不得将其分包的劳务作业再次分包。 </w:t>
      </w:r>
    </w:p>
    <w:p w14:paraId="6753699C">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违反上述规定之一者属违规分包。 </w:t>
      </w:r>
    </w:p>
    <w:p w14:paraId="030D8167">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4.3.5 承包人应与分包人就分包工程向发包人承担连带责任。 </w:t>
      </w:r>
    </w:p>
    <w:p w14:paraId="258C9671">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4.3.6 发包人对承包人与分包人之间的法律与经济纠纷不承担任何责任和义务。 </w:t>
      </w:r>
    </w:p>
    <w:p w14:paraId="0D84A77F">
      <w:pPr>
        <w:pStyle w:val="9"/>
        <w:tabs>
          <w:tab w:val="left" w:pos="2790"/>
        </w:tabs>
        <w:snapToGrid w:val="0"/>
        <w:spacing w:line="400" w:lineRule="exact"/>
        <w:outlineLvl w:val="3"/>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4.4  联合体</w:t>
      </w:r>
      <w:bookmarkEnd w:id="601"/>
    </w:p>
    <w:p w14:paraId="21EB579D">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bookmarkStart w:id="602" w:name="_Toc16367"/>
      <w:r>
        <w:rPr>
          <w:rFonts w:hint="eastAsia" w:ascii="宋体" w:hAnsi="Times New Roman" w:eastAsia="Times New Roman" w:cs="Times New Roman"/>
          <w:color w:val="auto"/>
          <w:szCs w:val="21"/>
          <w:highlight w:val="none"/>
          <w:lang w:val="en-US" w:eastAsia="zh-CN"/>
        </w:rPr>
        <w:t xml:space="preserve">4.4.1 经发包人同意，以联合体方式承包工程的，联合体各方应共同与发包人签订合同协议书。联合体各方应为履行合同向发包人承担连带责任。 </w:t>
      </w:r>
    </w:p>
    <w:p w14:paraId="45787941">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4.4.2 联合体协议经发包人确认后作为合同附件。在履行合同过程中，未经发包人同意，不得变更联合体成员和其负责的工作范围，或者修改联合体协议中与本合同履行相关的内容。 </w:t>
      </w:r>
    </w:p>
    <w:p w14:paraId="72ED7E11">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4.4.3 联合体牵头人负责与发包人和监理人联系，并接受指示，负责组织联合体各成员全面履行合同。 </w:t>
      </w:r>
    </w:p>
    <w:p w14:paraId="694EE423">
      <w:pPr>
        <w:pStyle w:val="9"/>
        <w:tabs>
          <w:tab w:val="left" w:pos="2790"/>
        </w:tabs>
        <w:snapToGrid w:val="0"/>
        <w:spacing w:line="400" w:lineRule="exact"/>
        <w:ind w:firstLine="420" w:firstLineChars="200"/>
        <w:rPr>
          <w:rFonts w:hint="eastAsia" w:ascii="黑体" w:eastAsia="黑体"/>
          <w:color w:val="auto"/>
          <w:szCs w:val="21"/>
          <w:highlight w:val="none"/>
        </w:rPr>
      </w:pPr>
      <w:r>
        <w:rPr>
          <w:rFonts w:hint="eastAsia" w:ascii="宋体" w:hAnsi="Times New Roman" w:eastAsia="Times New Roman" w:cs="Times New Roman"/>
          <w:color w:val="auto"/>
          <w:szCs w:val="21"/>
          <w:highlight w:val="none"/>
          <w:lang w:val="en-US" w:eastAsia="zh-CN"/>
        </w:rPr>
        <w:t xml:space="preserve">4.4.4 承包人应在专用合同条件中明确联合体各成员的分工、费用收取、发票开具等事项。联合体各成员分工承担的工作内容必须与适用法律规定的该成员的资质资格相适应，并应具有相应的项目管理体系和项目管理能力，且不应根据其就承包工作的分工而减免对发包人的任何合同责任。 </w:t>
      </w:r>
    </w:p>
    <w:p w14:paraId="755286A6">
      <w:pPr>
        <w:pStyle w:val="9"/>
        <w:tabs>
          <w:tab w:val="left" w:pos="2790"/>
        </w:tabs>
        <w:snapToGrid w:val="0"/>
        <w:spacing w:line="400" w:lineRule="exact"/>
        <w:outlineLvl w:val="3"/>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4.5  承包人项目经理 </w:t>
      </w:r>
    </w:p>
    <w:p w14:paraId="6B6B75D0">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4.5.1 承包人应按合同约定指派项目经理，并在约定的期限内到职。承包人更换项目经理应事先征得发包人同意，并应在更换 14 天前通知发包人和监理人。承包人项目经理短期离开施工场地，应事先征得监理人同意，并委派代表代行其职责。 </w:t>
      </w:r>
    </w:p>
    <w:p w14:paraId="75E99021">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4.5.2 承包人项目经理应按合同约定以及监理人按第 3.4 款作出的指示，负责组织合同工程的实施。在情况紧急且无法与监理人取得联系时，可采取保证工程和人员生命财产安全的紧急措施，并在采取措施后 48 小时内向监理人提交书面报告。 </w:t>
      </w:r>
    </w:p>
    <w:p w14:paraId="5FD77232">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4.5.3 承包人为履行合同发出的一切函件均应盖有承包人授权的施工场地管理机构章，并由承包人项目经理或其授权代表签字。 </w:t>
      </w:r>
    </w:p>
    <w:p w14:paraId="512CCCAA">
      <w:pPr>
        <w:pStyle w:val="9"/>
        <w:tabs>
          <w:tab w:val="left" w:pos="2790"/>
        </w:tabs>
        <w:snapToGrid w:val="0"/>
        <w:spacing w:line="400" w:lineRule="exact"/>
        <w:ind w:firstLine="420" w:firstLineChars="200"/>
        <w:rPr>
          <w:rFonts w:hint="eastAsia" w:ascii="黑体" w:eastAsia="黑体"/>
          <w:color w:val="auto"/>
          <w:szCs w:val="21"/>
          <w:highlight w:val="none"/>
        </w:rPr>
      </w:pPr>
      <w:r>
        <w:rPr>
          <w:rFonts w:hint="eastAsia" w:ascii="宋体" w:hAnsi="Times New Roman" w:eastAsia="Times New Roman" w:cs="Times New Roman"/>
          <w:color w:val="auto"/>
          <w:szCs w:val="21"/>
          <w:highlight w:val="none"/>
          <w:lang w:val="en-US" w:eastAsia="zh-CN"/>
        </w:rPr>
        <w:t xml:space="preserve">4.5.4 承包人项目经理可以授权其下属人员履行其某项职责，该下属人员应具备履行相应职责的能力，并应事先应将上述人员的姓名和授权范围通知监理人。 </w:t>
      </w:r>
    </w:p>
    <w:p w14:paraId="2C608D4C">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4.6  承包人人员的管理</w:t>
      </w:r>
      <w:bookmarkEnd w:id="602"/>
    </w:p>
    <w:p w14:paraId="7B8855E7">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bookmarkStart w:id="603" w:name="_Toc24017"/>
      <w:r>
        <w:rPr>
          <w:rFonts w:hint="eastAsia" w:ascii="宋体" w:hAnsi="Times New Roman" w:eastAsia="Times New Roman" w:cs="Times New Roman"/>
          <w:color w:val="auto"/>
          <w:szCs w:val="21"/>
          <w:highlight w:val="none"/>
          <w:lang w:val="en-US" w:eastAsia="zh-CN"/>
        </w:rPr>
        <w:t xml:space="preserve">4.6.1 承包人应在接到开工通知后 28 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 </w:t>
      </w:r>
    </w:p>
    <w:p w14:paraId="2F5B6B9B">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4.6.2 为完成合同约定的各项工作，承包人应向施工场地派遣或雇佣足够数量的下列人员： </w:t>
      </w:r>
    </w:p>
    <w:p w14:paraId="372CEEC0">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（1）具有相应资格的专业技工和合格的普工； </w:t>
      </w:r>
    </w:p>
    <w:p w14:paraId="03D918ED">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（2）具有相应施工经验的技术人员； </w:t>
      </w:r>
    </w:p>
    <w:p w14:paraId="207CEE1D">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（3）具有相应岗位资格的各级管理人员。</w:t>
      </w:r>
    </w:p>
    <w:p w14:paraId="41A551D1">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4.6.3 承包人安排在施工场地的主要管理人员和技术骨干应与承包人承诺的名单一致，并保持相对稳定。未经监理人批准，上述人员不应无故不到位或被替换；若确认无法到位或需替换，需经监理人审核并报发包人批准后，用同等资质和经历的人员替换。 </w:t>
      </w:r>
    </w:p>
    <w:p w14:paraId="740CF7D1">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4.6.4 特殊岗位的工作人员均应持有相应的资格证明，监理人有权随时检查。监理人认为有必要时，可进行现场考核。 </w:t>
      </w:r>
    </w:p>
    <w:p w14:paraId="67AE57C6">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4.6.5 尽管承包人已按承诺派遣了上述各类人员，但若这些人员仍不能满足合同进度计划和（或）质量要求时，监理人有权要求承包人继续增派或雇用这类人员，并书面通知承包人和抄送发包人。承包人在接到上述通知后应立即执行监理人的上述指示，不得无故拖延。由此增加的费用和（或）工期延误由承包人承担。 </w:t>
      </w:r>
    </w:p>
    <w:p w14:paraId="4CAF44D4">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4.7  撤换承包人项目经理和其他人员</w:t>
      </w:r>
      <w:bookmarkEnd w:id="603"/>
    </w:p>
    <w:p w14:paraId="5FC712E9">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bookmarkStart w:id="604" w:name="_Toc30686"/>
      <w:r>
        <w:rPr>
          <w:rFonts w:hint="eastAsia" w:ascii="宋体" w:hAnsi="Times New Roman" w:eastAsia="Times New Roman" w:cs="Times New Roman"/>
          <w:color w:val="auto"/>
          <w:szCs w:val="21"/>
          <w:highlight w:val="none"/>
          <w:lang w:val="en-US" w:eastAsia="zh-CN"/>
        </w:rPr>
        <w:t>承包人应对其项目经理和其他人员进行有效管理。监理人要求撤换不能胜任本职工作、行为不端或玩忽职守的承包人项目经理和其他人员的，承包人应予以撤换，同时委派经发包人与监理人同意的新的项目经理和其他人员。</w:t>
      </w:r>
    </w:p>
    <w:p w14:paraId="76507A37">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4.8  保障承包人人员的合法权益 </w:t>
      </w:r>
    </w:p>
    <w:p w14:paraId="3300828B">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4.8.1 承包人应与其雇佣的人员签订劳动合同，并按时发放工资。 </w:t>
      </w:r>
    </w:p>
    <w:p w14:paraId="21C55BB2">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4.8.2 承包人应按劳动法的规定安排工作时间，保证其雇佣人员享有休息和休假的权利。因工程施工的特殊需要占用休假日或延长工作时间的，应不超过法律规定的限度，并按法律规定给予补休或付酬。 </w:t>
      </w:r>
    </w:p>
    <w:p w14:paraId="28297DD6">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4.8.3 承包人应为其雇佣人员提供必要的食宿条件，以及符合环境保护和卫生要求的生活环境，在远离城镇的施工场地，承包人应至少设一名具有一定卫生常识及传染病防治知识的卫生督查员，负责承包人所在施工现场的传染病检查、控制、报告。一旦爆发任何具有传染性的疾病时，承包人应遵守并执行当地政府或卫生防疫部门为防治和消灭上述传染病蔓延而制订的规章、命令和要求。建立人员流动登记制度、信息报告制度，与当地卫生防疫部门积极合作，做好各项防范措施的落实工作。 </w:t>
      </w:r>
    </w:p>
    <w:p w14:paraId="2ED77E16">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4.8.4 承包人应按国家有关劳动保护的规定，采取有效的防止粉尘、降低噪声、控制有害气体和保障高温、高寒、高空作业安全等劳动保护措施。其雇佣人员在施工中受到伤害的，承包人应立即采取有效措施进行抢救和治疗。 </w:t>
      </w:r>
    </w:p>
    <w:p w14:paraId="0E2A42B4">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4.8.5 承包人应按有关法律规定和合同约定，为其雇佣人员办理保险。 </w:t>
      </w:r>
    </w:p>
    <w:p w14:paraId="21BE9863">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4.8.6 承包人应负责处理其雇佣人员因工伤亡事故的善后事宜。</w:t>
      </w:r>
    </w:p>
    <w:p w14:paraId="783313D2">
      <w:pPr>
        <w:pStyle w:val="9"/>
        <w:tabs>
          <w:tab w:val="left" w:pos="2790"/>
        </w:tabs>
        <w:snapToGrid w:val="0"/>
        <w:spacing w:line="400" w:lineRule="exact"/>
        <w:outlineLvl w:val="3"/>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4.9  工程价款应专款专用</w:t>
      </w:r>
      <w:bookmarkEnd w:id="604"/>
    </w:p>
    <w:p w14:paraId="6F8A1E5F">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bookmarkStart w:id="605" w:name="_Toc3147"/>
      <w:r>
        <w:rPr>
          <w:rFonts w:hint="eastAsia" w:ascii="宋体" w:hAnsi="Times New Roman" w:eastAsia="Times New Roman" w:cs="Times New Roman"/>
          <w:color w:val="auto"/>
          <w:szCs w:val="21"/>
          <w:highlight w:val="none"/>
          <w:lang w:val="en-US" w:eastAsia="zh-CN"/>
        </w:rPr>
        <w:t xml:space="preserve">发包人按合同约定支付给承包人的各项价款应专用于合同工程。承包人必须在发包人指定的银行开户，并应向发包人授权进行本合同工程开户银行工程资金的查询。发包人支付的工程进度款应为本工程的专款专用资金，不得转移或用于其它工程。发包人的期中支付款将转入该银行所设的专门账户，发包人及其派出机构有权不定期对承包人工程资金使用情况进行检查，发现问题及时责令承包人限期改正。否则，将终止月支付，直至承包人改正为止。 </w:t>
      </w:r>
    </w:p>
    <w:p w14:paraId="7BD86E35">
      <w:pPr>
        <w:pStyle w:val="9"/>
        <w:tabs>
          <w:tab w:val="left" w:pos="2790"/>
        </w:tabs>
        <w:snapToGrid w:val="0"/>
        <w:spacing w:line="400" w:lineRule="exact"/>
        <w:outlineLvl w:val="3"/>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4.10  承包人现场查勘</w:t>
      </w:r>
      <w:bookmarkEnd w:id="605"/>
    </w:p>
    <w:p w14:paraId="402A8A35">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bookmarkStart w:id="606" w:name="_Toc11829"/>
      <w:r>
        <w:rPr>
          <w:rFonts w:hint="eastAsia" w:ascii="宋体" w:hAnsi="Times New Roman" w:eastAsia="Times New Roman" w:cs="Times New Roman"/>
          <w:color w:val="auto"/>
          <w:szCs w:val="21"/>
          <w:highlight w:val="none"/>
          <w:lang w:val="en-US" w:eastAsia="zh-CN"/>
        </w:rPr>
        <w:t xml:space="preserve">4.10.1 发包人提供的本合同工程的道路现状、交通流量、水文、地质、气象和料场分布、取土场、弃土场位置等资料均属于参考资料，并不构成合同文件的组成部分，承包人应对自己就上述资料的解释、推论和应用负责，发包人不对承包人据此做出的判断和决策承担任何责任。 </w:t>
      </w:r>
    </w:p>
    <w:p w14:paraId="145B234C">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4.10.2 承包人在送交投标文件之前，应认为已进行了现场考察，对现场和其周围环境以及可得到的有关资料进行了察看和核查，在考察时间允许的情况下已经查明了以下方面： </w:t>
      </w:r>
    </w:p>
    <w:p w14:paraId="5EAE011B">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（1）现场的地形地貌和特征，包括地表以下的情况； </w:t>
      </w:r>
    </w:p>
    <w:p w14:paraId="0F5696DD">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（2）水文和气象条件； </w:t>
      </w:r>
    </w:p>
    <w:p w14:paraId="0433E1C5">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（3）实施和完成本合同养护工程的工作范围、性质和所需用的材料采购和加工； </w:t>
      </w:r>
    </w:p>
    <w:p w14:paraId="7C4416B9">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（4）附近道路和水、电、食宿供应条件； </w:t>
      </w:r>
    </w:p>
    <w:p w14:paraId="27095814">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（5）当地的乡规民约和风俗习惯； </w:t>
      </w:r>
    </w:p>
    <w:p w14:paraId="5F9C31E9">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（6）与完成合同工作有关的其他资料。 </w:t>
      </w:r>
    </w:p>
    <w:p w14:paraId="3151BC6A">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承包人提交投标文件，视为承包人已对施工现场及周围环境进行了踏勘，并已充分了解评估施工现场及周围环境对工程可能产生的影响，自愿承担相应风险与责任。在全部合同工作中，视为承包人已充分估计了应承担的责任和风险，但属于 4.11[不利物质条件]约定的情形除外。 </w:t>
      </w:r>
    </w:p>
    <w:p w14:paraId="33A8F29F">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通用合同条款补充第 4.10.3 项： </w:t>
      </w:r>
    </w:p>
    <w:p w14:paraId="15C21740">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4.10.3 承包人应认真查勘施工现场，充分考虑到施工区域交通运输状况，充分做好边通车、边养护作业的施工方案及养护措施，以及材料、设备等进入施工现场的公路和水路现状，并在投标报价中考虑上述因素而产生的所有费用，这些费用均由承包人承担。</w:t>
      </w:r>
    </w:p>
    <w:p w14:paraId="4486F556">
      <w:pPr>
        <w:pStyle w:val="9"/>
        <w:tabs>
          <w:tab w:val="left" w:pos="2790"/>
        </w:tabs>
        <w:snapToGrid w:val="0"/>
        <w:spacing w:line="400" w:lineRule="exact"/>
        <w:outlineLvl w:val="3"/>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4.11  不利物质条件</w:t>
      </w:r>
      <w:bookmarkEnd w:id="606"/>
    </w:p>
    <w:p w14:paraId="10ACC099">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bookmarkStart w:id="607" w:name="_Toc22037"/>
      <w:r>
        <w:rPr>
          <w:rFonts w:hint="eastAsia" w:ascii="宋体" w:hAnsi="Times New Roman" w:eastAsia="Times New Roman" w:cs="Times New Roman"/>
          <w:color w:val="auto"/>
          <w:szCs w:val="21"/>
          <w:highlight w:val="none"/>
          <w:lang w:val="en-US" w:eastAsia="zh-CN"/>
        </w:rPr>
        <w:t xml:space="preserve">4.11.1 不利物质条件，除专用合同条款另有约定外，是指承包人在施工场地遇到的不可预见的自然物质条件、非自然的物质障碍和污染物，包括地表以下物质条件和水文条件以及专业合同条款约定的其他情形，但不包括气候条件。 </w:t>
      </w:r>
    </w:p>
    <w:p w14:paraId="5B605A42">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4.11.2 承包人遇到不利物质条件时，应采取适应不利物质条件的合理措施继续施工，并及时通知监理人、抄送发包人。通知应载明不可预见的困难的内容、承包人认为不可预见的理由以及承包人制定的处理方案。监理人应当及时发出指示，指示构成变更的，按第 15 条约定办理。监理人没有发出指示的，承包人因采取合理措施而增加的费用和（或）工期延误，由发包人承担。 </w:t>
      </w:r>
    </w:p>
    <w:p w14:paraId="2EC8B58C">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4.11.3 可预见的不利物质条件 </w:t>
      </w:r>
    </w:p>
    <w:p w14:paraId="5A883186">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（1）对于专用合同条款中已经明确指出的不利物质条件无论承包人是否有其经历和经验均视为承包人在接受合同时已预见其影响，并已在签约合同价中计入因其影响而可能发生的一切费用。 </w:t>
      </w:r>
    </w:p>
    <w:p w14:paraId="06DF730C">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（2）对于专用合同条款未明确指出，但是在不利物质条件发生之前，监理人已经指示承包人有可能发生，但承包人未能及时采取有效措施，而导致的损失和后果均由承包人承担。 </w:t>
      </w:r>
    </w:p>
    <w:p w14:paraId="089285BC">
      <w:pPr>
        <w:pStyle w:val="9"/>
        <w:tabs>
          <w:tab w:val="left" w:pos="2790"/>
        </w:tabs>
        <w:snapToGrid w:val="0"/>
        <w:spacing w:line="400" w:lineRule="exact"/>
        <w:outlineLvl w:val="3"/>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4.12  投标文件的完备性</w:t>
      </w:r>
      <w:bookmarkEnd w:id="607"/>
    </w:p>
    <w:p w14:paraId="4510405D">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bookmarkStart w:id="608" w:name="_Toc29711"/>
      <w:r>
        <w:rPr>
          <w:rFonts w:hint="eastAsia" w:ascii="宋体" w:hAnsi="Times New Roman" w:eastAsia="Times New Roman" w:cs="Times New Roman"/>
          <w:color w:val="auto"/>
          <w:szCs w:val="21"/>
          <w:highlight w:val="none"/>
          <w:lang w:val="en-US" w:eastAsia="zh-CN"/>
        </w:rPr>
        <w:t xml:space="preserve">合同双方一致认为，承包人在递交投标文件前，对本养护工程合同的投标文件和已标价工程量清单中开列的单价和总额价是正确和完备的。投标的单价和总额价应已包括了合同中规定的承包人的全部义务（包括提供货物、材料、设备、服务的义务，并包括了暂列金额和暂估价范围内的额外工作的义务）以及为实施和完成本合同养护工程及其缺陷修复所必需的一切工作和条件。 </w:t>
      </w:r>
    </w:p>
    <w:p w14:paraId="2EB130F5">
      <w:pPr>
        <w:pStyle w:val="9"/>
        <w:keepNext w:val="0"/>
        <w:keepLines w:val="0"/>
        <w:pageBreakBefore w:val="0"/>
        <w:widowControl w:val="0"/>
        <w:tabs>
          <w:tab w:val="left" w:pos="2790"/>
        </w:tabs>
        <w:kinsoku/>
        <w:wordWrap/>
        <w:overflowPunct/>
        <w:topLinePunct w:val="0"/>
        <w:autoSpaceDE/>
        <w:autoSpaceDN/>
        <w:bidi w:val="0"/>
        <w:adjustRightInd/>
        <w:snapToGrid w:val="0"/>
        <w:spacing w:before="157" w:beforeLines="50" w:after="157" w:afterLines="50" w:line="400" w:lineRule="exact"/>
        <w:textAlignment w:val="auto"/>
        <w:outlineLvl w:val="2"/>
        <w:rPr>
          <w:rFonts w:hint="eastAsia" w:ascii="黑体" w:hAnsi="Times New Roman" w:eastAsia="黑体" w:cs="Times New Roman"/>
          <w:color w:val="auto"/>
          <w:sz w:val="28"/>
          <w:szCs w:val="28"/>
          <w:highlight w:val="none"/>
        </w:rPr>
      </w:pPr>
      <w:bookmarkStart w:id="609" w:name="_Toc6595"/>
      <w:r>
        <w:rPr>
          <w:rFonts w:hint="eastAsia" w:ascii="黑体" w:hAnsi="Times New Roman" w:eastAsia="黑体" w:cs="Times New Roman"/>
          <w:color w:val="auto"/>
          <w:sz w:val="28"/>
          <w:szCs w:val="28"/>
          <w:highlight w:val="none"/>
        </w:rPr>
        <w:t>5.材料和工程设备</w:t>
      </w:r>
      <w:bookmarkEnd w:id="608"/>
      <w:bookmarkEnd w:id="609"/>
    </w:p>
    <w:p w14:paraId="7E99770D">
      <w:pPr>
        <w:pStyle w:val="9"/>
        <w:tabs>
          <w:tab w:val="left" w:pos="2790"/>
        </w:tabs>
        <w:snapToGrid w:val="0"/>
        <w:spacing w:line="400" w:lineRule="exact"/>
        <w:outlineLvl w:val="3"/>
        <w:rPr>
          <w:rFonts w:hint="eastAsia" w:ascii="宋体" w:hAnsi="宋体" w:eastAsia="宋体" w:cs="宋体"/>
          <w:b/>
          <w:bCs/>
          <w:color w:val="auto"/>
          <w:szCs w:val="21"/>
          <w:highlight w:val="none"/>
        </w:rPr>
      </w:pPr>
      <w:bookmarkStart w:id="610" w:name="_Toc24069"/>
      <w:r>
        <w:rPr>
          <w:rFonts w:hint="eastAsia" w:ascii="宋体" w:hAnsi="宋体" w:eastAsia="宋体" w:cs="宋体"/>
          <w:b/>
          <w:bCs/>
          <w:color w:val="auto"/>
          <w:szCs w:val="21"/>
          <w:highlight w:val="none"/>
          <w:lang w:val="en-US" w:eastAsia="zh-CN"/>
        </w:rPr>
        <w:t xml:space="preserve">5.1 承包人提供的材料和工程设备 </w:t>
      </w:r>
    </w:p>
    <w:p w14:paraId="030ABA9A">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5.1.1 除专用合同条款另有约定外，承包人提供的材料和工程设备均由承包人负责采购、运输和保管。承包人应对其采购的材料和工程设备负责。 </w:t>
      </w:r>
    </w:p>
    <w:p w14:paraId="72ACA874">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5.1.2 承包人在用于本养护工程的材料和设备进场以前，承包人必须向监理人提交生产厂商出具的质量合格证书和承包人检验合格证书，证明材料、设备质量应符合本合同技术规范的规定，供监理人批准。 </w:t>
      </w:r>
    </w:p>
    <w:p w14:paraId="548BEA87">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5.1.3 对承包人提供的材料和工程设备，承包人应会同监理人对材料或设备进行的检验、查验材料合格证明、产品合格证书和交货验收提供一切必要的协助；并按合同约定和监理人指示，在材料用于工程之前，承包人应按监理人的要求进行材料的抽样检验和工程设备的检验测试，提供材料样品以供检验。检验和测试结果应提交监理人，所需费用由承包人承担。 </w:t>
      </w:r>
    </w:p>
    <w:p w14:paraId="4247980C">
      <w:pPr>
        <w:pStyle w:val="9"/>
        <w:tabs>
          <w:tab w:val="left" w:pos="2790"/>
        </w:tabs>
        <w:snapToGrid w:val="0"/>
        <w:spacing w:line="400" w:lineRule="exact"/>
        <w:ind w:firstLine="420" w:firstLineChars="200"/>
        <w:rPr>
          <w:rFonts w:hint="eastAsia" w:ascii="宋体" w:hAnsi="宋体" w:eastAsia="宋体" w:cs="宋体"/>
          <w:b/>
          <w:bCs/>
          <w:color w:val="auto"/>
          <w:szCs w:val="21"/>
          <w:highlight w:val="none"/>
        </w:rPr>
      </w:pPr>
      <w:r>
        <w:rPr>
          <w:rFonts w:hint="eastAsia" w:ascii="宋体" w:hAnsi="Times New Roman" w:eastAsia="Times New Roman" w:cs="Times New Roman"/>
          <w:color w:val="auto"/>
          <w:szCs w:val="21"/>
          <w:highlight w:val="none"/>
          <w:lang w:val="en-US" w:eastAsia="zh-CN"/>
        </w:rPr>
        <w:t xml:space="preserve">5.1.4 因承包人提供的材料和工程设备不符合国家强制性标准、规范的规定或合同约定的标准、规范，所造成的质量缺陷，由承包人自费修复，竣工日期不予延长。在履行合同过程中，由于国家新颁布的强制性标准、规范，造成承包人负责提供的材料和工程设备，虽符合合同约定的标准，但不符合新颁布的强制性标准时，由承包人负责修复或重新订货，相关费用支出及导致的工期延长由发包人负责。 </w:t>
      </w:r>
    </w:p>
    <w:p w14:paraId="210E3693">
      <w:pPr>
        <w:pStyle w:val="9"/>
        <w:tabs>
          <w:tab w:val="left" w:pos="2790"/>
        </w:tabs>
        <w:snapToGrid w:val="0"/>
        <w:spacing w:line="400" w:lineRule="exact"/>
        <w:outlineLvl w:val="3"/>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5.2  发包人提供的材料和工程设备</w:t>
      </w:r>
      <w:bookmarkEnd w:id="610"/>
    </w:p>
    <w:p w14:paraId="3B9D25AC">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bookmarkStart w:id="611" w:name="_Toc1639"/>
      <w:r>
        <w:rPr>
          <w:rFonts w:hint="eastAsia" w:ascii="宋体" w:hAnsi="Times New Roman" w:eastAsia="Times New Roman" w:cs="Times New Roman"/>
          <w:color w:val="auto"/>
          <w:szCs w:val="21"/>
          <w:highlight w:val="none"/>
          <w:lang w:val="en-US" w:eastAsia="zh-CN"/>
        </w:rPr>
        <w:t xml:space="preserve">5.2.1 发包人提供的材料和工程设备，应在专用合同条款中写明材料和工程设备的名称、规格、数量、价格、交货方式、交货地点和计划交货日期等。 </w:t>
      </w:r>
    </w:p>
    <w:p w14:paraId="7DE5B4B2">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5.2.2 承包人应根据合同进度计划的安排，向监理人报送要求发包人交货的日期计划。发包人应按照监理人与合同双方当事人商定的交货日期，向承包人提交材料和工程设备。 </w:t>
      </w:r>
    </w:p>
    <w:p w14:paraId="22316550">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5.2.3 发包人应在材料和工程设备到货 7 天前通知承包人，承包人应会同监理人在约定的时间内，赴交货地点共同进行验收。除专用合同条款另有约定外，发包人提供的材料和工程设备验收后，由承包人负责接收、运输和保管。 </w:t>
      </w:r>
    </w:p>
    <w:p w14:paraId="3C4EC68A">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承包人负责接收并按规定对材料进行抽样检验和对工程设备进行检验测试，若发现材料和工程设备存在缺陷，承包人应及时通知监理人，发包人应及时改正通知中指出的缺陷。承包人负责接收后的运输和保管，因承包人的原因发生丢失、损坏或进度拖延，由承包人承担相应责任。 </w:t>
      </w:r>
    </w:p>
    <w:p w14:paraId="6E29C2CA">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5.2.4 发包人要求向承包人提前交货的，承包人不得拒绝，但发包人应承担承包人由此增加的费用。 </w:t>
      </w:r>
    </w:p>
    <w:p w14:paraId="5CA5F606">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5.2.5 承包人要求更改交货日期或地点的，应事先报请监理人批准。由于承包人要求更改交货时间或地点所增加的费用和（或）工期延误由承包人承担。 </w:t>
      </w:r>
    </w:p>
    <w:p w14:paraId="315702AA">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5.2.6 发包人提供的材料和工程设备的规格、数量或质量不符合合同要求，或由于发包人原因发生交货日期延误及交货地点变更等情况的，发包人应承担由此增加的费用和（或）工期延误，并向承包人支付合理利润。 </w:t>
      </w:r>
    </w:p>
    <w:p w14:paraId="5E6AFAE7">
      <w:pPr>
        <w:pStyle w:val="9"/>
        <w:tabs>
          <w:tab w:val="left" w:pos="2790"/>
        </w:tabs>
        <w:snapToGrid w:val="0"/>
        <w:spacing w:line="400" w:lineRule="exact"/>
        <w:outlineLvl w:val="3"/>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5.3 材料和工程设备专用于合同工程 </w:t>
      </w:r>
    </w:p>
    <w:p w14:paraId="139E90DD">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5.3.1 运入施工场地的材料、工程设备，包括备品备件、安装专用工器具与随机资料，必须专用于合同工程，未经监理人同意，承包人不得运出施工场地或挪作他用。 </w:t>
      </w:r>
    </w:p>
    <w:p w14:paraId="0BCB92D0">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5.3.2 随同工程设备运入施工场地的备品备件、专用工器具与随机资料，应由承包人会同监理人按供货人的装箱单清点后共同封存，未经监理人同意不得启用。承包人因合同工作需要使用上述物品时，应向监理人提出申请。 </w:t>
      </w:r>
    </w:p>
    <w:p w14:paraId="64738D17">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5.3.3 用于本养护工程的材料和设备进场以前，承包人必须向监理人提交生产厂商出具的质量合格证书和承包人检验合格证书，证明材料、设备质量应符合本合同技术规范的规定，供监理人批准。 </w:t>
      </w:r>
    </w:p>
    <w:p w14:paraId="5FF028A2">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承包人应随时按发包人的指令，在制造、加工或施工现场对材料和设备进行检验。 </w:t>
      </w:r>
    </w:p>
    <w:p w14:paraId="06475954">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承包人应为监理人对材料或设备的检验提供一切必要的协助，在材料用于工程之前，承包人应按监理人的要求提供材料样品以供检验。</w:t>
      </w:r>
    </w:p>
    <w:p w14:paraId="336BBFF6">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5.4 禁止使用不合格的材料和工程设备 </w:t>
      </w:r>
    </w:p>
    <w:p w14:paraId="3B79A4EF">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5.4.1 监理人有权拒绝承包人提供的不合格材料或工程设备，并要求承包人立即进行更换。监理人应在更换后再次进行检查和检验，由此增加的费用和（或）工期延误由承包人承担。 </w:t>
      </w:r>
    </w:p>
    <w:p w14:paraId="08BADBD5">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5.4.2 监理人发现承包人使用了不合格的材料和工程设备，应即时发出指示要求承包人立即改正，并禁止在工程中继续使用不合格的材料和工程设备。 </w:t>
      </w:r>
    </w:p>
    <w:p w14:paraId="7F345C10">
      <w:pPr>
        <w:pStyle w:val="9"/>
        <w:tabs>
          <w:tab w:val="left" w:pos="2790"/>
        </w:tabs>
        <w:snapToGrid w:val="0"/>
        <w:spacing w:line="400" w:lineRule="exact"/>
        <w:ind w:firstLine="420" w:firstLineChars="200"/>
        <w:rPr>
          <w:rFonts w:hint="eastAsia"/>
          <w:color w:val="auto"/>
          <w:highlight w:val="none"/>
          <w:lang w:val="en-US" w:eastAsia="zh-CN"/>
        </w:rPr>
      </w:pPr>
      <w:r>
        <w:rPr>
          <w:rFonts w:hint="eastAsia" w:ascii="宋体" w:hAnsi="Times New Roman" w:eastAsia="Times New Roman" w:cs="Times New Roman"/>
          <w:color w:val="auto"/>
          <w:szCs w:val="21"/>
          <w:highlight w:val="none"/>
          <w:lang w:val="en-US" w:eastAsia="zh-CN"/>
        </w:rPr>
        <w:t xml:space="preserve">5.4.3 发包人提供的材料或工程设备不符合合同要求的，承包人有权拒绝，并可要求发包人更换，由此增加的费用和（或）工期延误由发包人承担。 </w:t>
      </w:r>
    </w:p>
    <w:p w14:paraId="31FDE5DC">
      <w:pPr>
        <w:pStyle w:val="9"/>
        <w:keepNext w:val="0"/>
        <w:keepLines w:val="0"/>
        <w:pageBreakBefore w:val="0"/>
        <w:widowControl w:val="0"/>
        <w:tabs>
          <w:tab w:val="left" w:pos="2790"/>
        </w:tabs>
        <w:kinsoku/>
        <w:wordWrap/>
        <w:overflowPunct/>
        <w:topLinePunct w:val="0"/>
        <w:autoSpaceDE/>
        <w:autoSpaceDN/>
        <w:bidi w:val="0"/>
        <w:adjustRightInd/>
        <w:snapToGrid w:val="0"/>
        <w:spacing w:before="157" w:beforeLines="50" w:after="157" w:afterLines="50" w:line="400" w:lineRule="exact"/>
        <w:textAlignment w:val="auto"/>
        <w:outlineLvl w:val="2"/>
        <w:rPr>
          <w:rFonts w:hint="eastAsia" w:ascii="黑体" w:hAnsi="Times New Roman" w:eastAsia="黑体" w:cs="Times New Roman"/>
          <w:color w:val="auto"/>
          <w:sz w:val="28"/>
          <w:szCs w:val="28"/>
          <w:highlight w:val="none"/>
        </w:rPr>
      </w:pPr>
      <w:bookmarkStart w:id="612" w:name="_Toc19690"/>
      <w:r>
        <w:rPr>
          <w:rFonts w:hint="eastAsia" w:ascii="黑体" w:hAnsi="Times New Roman" w:eastAsia="黑体" w:cs="Times New Roman"/>
          <w:color w:val="auto"/>
          <w:sz w:val="28"/>
          <w:szCs w:val="28"/>
          <w:highlight w:val="none"/>
        </w:rPr>
        <w:t>6.施工设备和临时设施</w:t>
      </w:r>
      <w:bookmarkEnd w:id="611"/>
      <w:bookmarkEnd w:id="612"/>
    </w:p>
    <w:p w14:paraId="22821C05">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bookmarkStart w:id="613" w:name="_Toc1187"/>
      <w:r>
        <w:rPr>
          <w:rFonts w:hint="eastAsia" w:ascii="宋体" w:hAnsi="宋体" w:eastAsia="宋体" w:cs="宋体"/>
          <w:b/>
          <w:bCs/>
          <w:color w:val="auto"/>
          <w:szCs w:val="21"/>
          <w:highlight w:val="none"/>
          <w:lang w:val="en-US" w:eastAsia="zh-CN"/>
        </w:rPr>
        <w:t>6.1  承包人提供的施工设备和临时设施</w:t>
      </w:r>
      <w:bookmarkEnd w:id="613"/>
    </w:p>
    <w:p w14:paraId="12D8572D">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bookmarkStart w:id="614" w:name="_Toc25914"/>
      <w:r>
        <w:rPr>
          <w:rFonts w:hint="eastAsia" w:ascii="宋体" w:hAnsi="Times New Roman" w:eastAsia="Times New Roman" w:cs="Times New Roman"/>
          <w:color w:val="auto"/>
          <w:szCs w:val="21"/>
          <w:highlight w:val="none"/>
          <w:lang w:val="en-US" w:eastAsia="zh-CN"/>
        </w:rPr>
        <w:t xml:space="preserve">6.1.1 承包人应按合同进度计划的要求，及时配置施工设备和修建临时设施。进入施工场地的承包人设备需经监理人核查后才能投入使用。承包人更换合同约定的承包人设备的，应报监理人批准。 </w:t>
      </w:r>
    </w:p>
    <w:p w14:paraId="1AA2CE8C">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6.1.2 除专用合同条款另有约定外，承包人应自行承担修建临时设施的费用，需要临时占地的，应由发包人办理申请手续并承担相应费用。 </w:t>
      </w:r>
    </w:p>
    <w:p w14:paraId="45B10F8E">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6.2  发包人提供的施工设备和临时设施 </w:t>
      </w:r>
    </w:p>
    <w:p w14:paraId="7B0D71CE">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发包人提供的施工设备或临时设施在专用合同条款中约定。</w:t>
      </w:r>
    </w:p>
    <w:p w14:paraId="24BB1230">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6.3  要求承包人增加或更换施工设备</w:t>
      </w:r>
      <w:bookmarkEnd w:id="614"/>
    </w:p>
    <w:p w14:paraId="07C27AA8">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bookmarkStart w:id="615" w:name="_Toc11588"/>
      <w:r>
        <w:rPr>
          <w:rFonts w:hint="eastAsia" w:ascii="宋体" w:hAnsi="Times New Roman" w:eastAsia="Times New Roman" w:cs="Times New Roman"/>
          <w:color w:val="auto"/>
          <w:szCs w:val="21"/>
          <w:highlight w:val="none"/>
          <w:lang w:val="en-US" w:eastAsia="zh-CN"/>
        </w:rPr>
        <w:t xml:space="preserve">承包人使用的施工设备不能满足合同进度计划和（或）质量要求时，监理人有权要求承包人增加或更换施工设备，承包人应及时增加或更换，由此增加的费用和（或）工期延误由承包人承担。承包人的机械、车辆必须证（照）齐全，三无车辆不得进场。违反本款规定，则按项目专用合同条款第 22.1 款承包人违约处理。 </w:t>
      </w:r>
    </w:p>
    <w:p w14:paraId="0C8FE557">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6.4 施工设备和临时设施专用于合同工程 </w:t>
      </w:r>
    </w:p>
    <w:p w14:paraId="2EEF3F5A">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6.4.1 除合同另有约定外，运入施工场地的所有施工设备以及在施工场地建设的临时设施应专用于合同工程。未经监理人同意，不得将上述施工设备和临时设施中的任何部分运出施工场地或挪作他用。 </w:t>
      </w:r>
    </w:p>
    <w:p w14:paraId="7407A146">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6.4.2 经监理人同意，承包人可根据合同进度计划撤走闲置的施工设备。</w:t>
      </w:r>
    </w:p>
    <w:p w14:paraId="73091869">
      <w:pPr>
        <w:pStyle w:val="9"/>
        <w:keepNext w:val="0"/>
        <w:keepLines w:val="0"/>
        <w:pageBreakBefore w:val="0"/>
        <w:widowControl w:val="0"/>
        <w:tabs>
          <w:tab w:val="left" w:pos="2790"/>
        </w:tabs>
        <w:kinsoku/>
        <w:wordWrap/>
        <w:overflowPunct/>
        <w:topLinePunct w:val="0"/>
        <w:autoSpaceDE/>
        <w:autoSpaceDN/>
        <w:bidi w:val="0"/>
        <w:adjustRightInd/>
        <w:snapToGrid w:val="0"/>
        <w:spacing w:before="157" w:beforeLines="50" w:after="157" w:afterLines="50" w:line="400" w:lineRule="exact"/>
        <w:textAlignment w:val="auto"/>
        <w:outlineLvl w:val="2"/>
        <w:rPr>
          <w:rFonts w:hint="eastAsia" w:ascii="黑体" w:hAnsi="Times New Roman" w:eastAsia="黑体" w:cs="Times New Roman"/>
          <w:color w:val="auto"/>
          <w:sz w:val="28"/>
          <w:szCs w:val="28"/>
          <w:highlight w:val="none"/>
        </w:rPr>
      </w:pPr>
      <w:bookmarkStart w:id="616" w:name="_Toc5296"/>
      <w:r>
        <w:rPr>
          <w:rFonts w:hint="eastAsia" w:ascii="黑体" w:hAnsi="Times New Roman" w:eastAsia="黑体" w:cs="Times New Roman"/>
          <w:color w:val="auto"/>
          <w:sz w:val="28"/>
          <w:szCs w:val="28"/>
          <w:highlight w:val="none"/>
        </w:rPr>
        <w:t>7.交通运输</w:t>
      </w:r>
      <w:bookmarkEnd w:id="615"/>
      <w:bookmarkEnd w:id="616"/>
    </w:p>
    <w:p w14:paraId="18FC1957">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bookmarkStart w:id="617" w:name="_Toc25770"/>
      <w:r>
        <w:rPr>
          <w:rFonts w:hint="eastAsia" w:ascii="宋体" w:hAnsi="宋体" w:eastAsia="宋体" w:cs="宋体"/>
          <w:b/>
          <w:bCs/>
          <w:color w:val="auto"/>
          <w:szCs w:val="21"/>
          <w:highlight w:val="none"/>
          <w:lang w:val="en-US" w:eastAsia="zh-CN"/>
        </w:rPr>
        <w:t>7.1  道路通行权和场外设施</w:t>
      </w:r>
      <w:bookmarkEnd w:id="617"/>
    </w:p>
    <w:p w14:paraId="6AF9B82D">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bookmarkStart w:id="618" w:name="_Toc26906"/>
      <w:r>
        <w:rPr>
          <w:rFonts w:hint="eastAsia" w:ascii="宋体" w:hAnsi="Times New Roman" w:eastAsia="Times New Roman" w:cs="Times New Roman"/>
          <w:color w:val="auto"/>
          <w:szCs w:val="21"/>
          <w:highlight w:val="none"/>
          <w:lang w:val="en-US" w:eastAsia="zh-CN"/>
        </w:rPr>
        <w:t xml:space="preserve">除专用合同条款另有约定外，发包人应根据合同工程的施工需要，负责办理取得出入施工场地的专用和临时道路的通行权，以及取得为工程建设所需修建场外设施的权利，并承担有关费用。承包人应协助发包人办理上述手续。 </w:t>
      </w:r>
    </w:p>
    <w:p w14:paraId="269C9B39">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7.2 场内施工道路 </w:t>
      </w:r>
    </w:p>
    <w:p w14:paraId="6C4972E3">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7.2.1 除专用合同条款另有约定外，承包人应负责修建、维修、养护和管理施工所需的临时道路和交通设施，包括维修、养护和管理发包人提供的道路和交通设施，并承担相应费用。 </w:t>
      </w:r>
    </w:p>
    <w:p w14:paraId="5E02CAE8">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7.2.2 除专用合同条款另有约定外，承包人应允许发包人、监理人及发包人安排的其他相关人员无偿使用由承包人修建和维护的临时道路、桥梁等设施。承包人应允许与发包人签订有承包合同的其他承包人或其工作人员使用由承包人修建和维护的临时道路、桥梁等设施；如其他承包人或其工作人员在使用中对临时设施有损坏时，承包人可通过监理人指出由其他承包人给予修复或赔偿的要求。 </w:t>
      </w:r>
    </w:p>
    <w:p w14:paraId="691C3D75">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7.3 场外交通 </w:t>
      </w:r>
    </w:p>
    <w:p w14:paraId="6CDD6A56">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7.3.1 承包人车辆外出行驶所需的场外公共道路的通行费、养路费和税款等由承包人承担。 </w:t>
      </w:r>
    </w:p>
    <w:p w14:paraId="41ADAD25">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7.3.2 承包人应遵守有关交通法规，严格按照道路和桥梁的限制荷重安全行驶，并服从交通管理部门的检查和监督。</w:t>
      </w:r>
    </w:p>
    <w:p w14:paraId="5050AF9B">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7.4 超大件和超重件的运输 </w:t>
      </w:r>
    </w:p>
    <w:p w14:paraId="7B25C7AF">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由承包人负责运输的超大件或超重件，应由承包人负责向交通管理部门办理申请手续，发包人给予协助。运输超大件或超重件所需的道路和桥梁临时加固改造费用和其它有关费用，由承包人承担，但专用合同条款另有约定除外。 </w:t>
      </w:r>
    </w:p>
    <w:p w14:paraId="3D74FAEF">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7.5 道路和桥梁的损坏责任 </w:t>
      </w:r>
    </w:p>
    <w:p w14:paraId="367F96F1">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因承包人运输造成施工场地内外公共道路和桥梁损坏的，由承包人承担修复损坏的全部费用和可能引起的赔偿。 </w:t>
      </w:r>
    </w:p>
    <w:p w14:paraId="0B230C1F">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7.6 水路和航空运输 </w:t>
      </w:r>
    </w:p>
    <w:p w14:paraId="205C169F">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本条上述各款的内容适用于水路运输和航空运输，其中“道路”一词的涵义包括河道、航线、船闸、机场、码头、堤防以及水路或航空运输中其它相似结构物；“车辆”一词的涵义包括船舶和飞机等。 </w:t>
      </w:r>
    </w:p>
    <w:p w14:paraId="40A80EEE">
      <w:pPr>
        <w:pStyle w:val="11"/>
        <w:rPr>
          <w:rFonts w:hint="eastAsia"/>
          <w:color w:val="auto"/>
          <w:highlight w:val="none"/>
          <w:lang w:val="en-US" w:eastAsia="zh-CN"/>
        </w:rPr>
      </w:pPr>
    </w:p>
    <w:p w14:paraId="7E5D598D">
      <w:pPr>
        <w:pStyle w:val="9"/>
        <w:keepNext w:val="0"/>
        <w:keepLines w:val="0"/>
        <w:pageBreakBefore w:val="0"/>
        <w:widowControl w:val="0"/>
        <w:tabs>
          <w:tab w:val="left" w:pos="2790"/>
        </w:tabs>
        <w:kinsoku/>
        <w:wordWrap/>
        <w:overflowPunct/>
        <w:topLinePunct w:val="0"/>
        <w:autoSpaceDE/>
        <w:autoSpaceDN/>
        <w:bidi w:val="0"/>
        <w:adjustRightInd/>
        <w:snapToGrid w:val="0"/>
        <w:spacing w:before="157" w:beforeLines="50" w:after="157" w:afterLines="50" w:line="400" w:lineRule="exact"/>
        <w:textAlignment w:val="auto"/>
        <w:outlineLvl w:val="2"/>
        <w:rPr>
          <w:rFonts w:hint="eastAsia" w:ascii="黑体" w:hAnsi="Times New Roman" w:eastAsia="黑体" w:cs="Times New Roman"/>
          <w:color w:val="auto"/>
          <w:sz w:val="28"/>
          <w:szCs w:val="28"/>
          <w:highlight w:val="none"/>
        </w:rPr>
      </w:pPr>
      <w:bookmarkStart w:id="619" w:name="_Toc22496"/>
      <w:r>
        <w:rPr>
          <w:rFonts w:hint="eastAsia" w:ascii="黑体" w:hAnsi="Times New Roman" w:eastAsia="黑体" w:cs="Times New Roman"/>
          <w:color w:val="auto"/>
          <w:sz w:val="28"/>
          <w:szCs w:val="28"/>
          <w:highlight w:val="none"/>
        </w:rPr>
        <w:t>8.测量放线</w:t>
      </w:r>
      <w:bookmarkEnd w:id="618"/>
      <w:bookmarkEnd w:id="619"/>
    </w:p>
    <w:p w14:paraId="14AED234">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bookmarkStart w:id="620" w:name="_Toc4179"/>
      <w:r>
        <w:rPr>
          <w:rFonts w:hint="eastAsia" w:ascii="宋体" w:hAnsi="宋体" w:eastAsia="宋体" w:cs="宋体"/>
          <w:b/>
          <w:bCs/>
          <w:color w:val="auto"/>
          <w:szCs w:val="21"/>
          <w:highlight w:val="none"/>
          <w:lang w:val="en-US" w:eastAsia="zh-CN"/>
        </w:rPr>
        <w:t xml:space="preserve">8.1 施工控制网 </w:t>
      </w:r>
    </w:p>
    <w:p w14:paraId="36FECAA3">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8.1.1 发包人应在专用合同条款约定的期限内，通过监理人向承包人提供测量基准点、基准线和水准点及其书面资料。除专用合同条款另有约定外，承包人应根据国家测绘基准、测绘系统和工程测量技术规范，按上述基准点（线）以及合同工程精度要求，测设施工控制网，并在专用合同条款约定的期限内，将施工控制网资料报送监理人审批。 </w:t>
      </w:r>
    </w:p>
    <w:p w14:paraId="3E28C852">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8.1.2 承包人应负责管理施工控制网点。施工控制网点丢失或损坏的，承包人应及时修复。承包人应承担施工控制网点的管理与修复费用，并在工程竣工后将施工控制网点移交发包人。 </w:t>
      </w:r>
    </w:p>
    <w:p w14:paraId="34778F45">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8.2 施工测量 </w:t>
      </w:r>
    </w:p>
    <w:p w14:paraId="4FC66E3C">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8.2.1 承包人应负责施工过程中的全部施工测量放线工作，并配置合格的人员、仪器、设备和其它物品。承包人应矫正工程的位置、标高、尺寸或基准线中出现的任何差错，并对工程各部分的定位负责。施工过程中对施工现场内水准点等测量标志物的保护工作由承包人负责。 </w:t>
      </w:r>
    </w:p>
    <w:p w14:paraId="57A2F327">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8.2.2 监理人可以指示承包人进行抽样复测，当复测中发现错误或出现超过合同约定的误差时，承包人应按监理人指示进行修正或补测，并承担相应的复测费用。</w:t>
      </w:r>
    </w:p>
    <w:p w14:paraId="54A4BB38">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8.3 基准资料错误的责任 </w:t>
      </w:r>
    </w:p>
    <w:p w14:paraId="341D4648">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14:paraId="147EAD0D">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8.4  监理人使用施工控制网</w:t>
      </w:r>
      <w:bookmarkEnd w:id="620"/>
    </w:p>
    <w:p w14:paraId="707C124E">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bookmarkStart w:id="621" w:name="_Toc8124"/>
      <w:r>
        <w:rPr>
          <w:rFonts w:hint="eastAsia" w:ascii="宋体" w:hAnsi="Times New Roman" w:eastAsia="Times New Roman" w:cs="Times New Roman"/>
          <w:color w:val="auto"/>
          <w:szCs w:val="21"/>
          <w:highlight w:val="none"/>
          <w:lang w:val="en-US" w:eastAsia="zh-CN"/>
        </w:rPr>
        <w:t>监理人需要使用施工控制网的，承包人应提供必要的协助，发包人不再为此支付费用。</w:t>
      </w:r>
    </w:p>
    <w:p w14:paraId="5797C013">
      <w:pPr>
        <w:pStyle w:val="9"/>
        <w:keepNext w:val="0"/>
        <w:keepLines w:val="0"/>
        <w:pageBreakBefore w:val="0"/>
        <w:widowControl w:val="0"/>
        <w:tabs>
          <w:tab w:val="left" w:pos="2790"/>
        </w:tabs>
        <w:kinsoku/>
        <w:wordWrap/>
        <w:overflowPunct/>
        <w:topLinePunct w:val="0"/>
        <w:autoSpaceDE/>
        <w:autoSpaceDN/>
        <w:bidi w:val="0"/>
        <w:adjustRightInd/>
        <w:snapToGrid w:val="0"/>
        <w:spacing w:before="157" w:beforeLines="50" w:after="157" w:afterLines="50" w:line="400" w:lineRule="exact"/>
        <w:textAlignment w:val="auto"/>
        <w:outlineLvl w:val="2"/>
        <w:rPr>
          <w:rFonts w:hint="eastAsia" w:ascii="黑体" w:hAnsi="Times New Roman" w:eastAsia="黑体" w:cs="Times New Roman"/>
          <w:color w:val="auto"/>
          <w:sz w:val="28"/>
          <w:szCs w:val="28"/>
          <w:highlight w:val="none"/>
        </w:rPr>
      </w:pPr>
      <w:bookmarkStart w:id="622" w:name="_Toc17464"/>
      <w:r>
        <w:rPr>
          <w:rFonts w:hint="eastAsia" w:ascii="黑体" w:hAnsi="Times New Roman" w:eastAsia="黑体" w:cs="Times New Roman"/>
          <w:color w:val="auto"/>
          <w:sz w:val="28"/>
          <w:szCs w:val="28"/>
          <w:highlight w:val="none"/>
        </w:rPr>
        <w:t>9.施工安全、治安保卫和环境保护</w:t>
      </w:r>
      <w:bookmarkEnd w:id="621"/>
      <w:bookmarkEnd w:id="622"/>
    </w:p>
    <w:p w14:paraId="334C4362">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bookmarkStart w:id="623" w:name="_Toc14898"/>
      <w:r>
        <w:rPr>
          <w:rFonts w:hint="eastAsia" w:ascii="宋体" w:hAnsi="宋体" w:eastAsia="宋体" w:cs="宋体"/>
          <w:b/>
          <w:bCs/>
          <w:color w:val="auto"/>
          <w:szCs w:val="21"/>
          <w:highlight w:val="none"/>
          <w:lang w:val="en-US" w:eastAsia="zh-CN"/>
        </w:rPr>
        <w:t xml:space="preserve">9.1 发包人的施工安全责任 </w:t>
      </w:r>
    </w:p>
    <w:p w14:paraId="7A63D237">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9.1.1 发包人应按合同约定履行安全职责，授权监理人按合同约定的安全工作内容监督、检查承包人安全工作的实施，组织承包人和有关单位进行安全检查。 </w:t>
      </w:r>
    </w:p>
    <w:p w14:paraId="7BA93DA2">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9.1.2 发包人应对其现场机构雇佣的全部人员的工伤事故承担责任，但由于承包人原因造成发包人人员工伤的，应由承包人承担责任。 </w:t>
      </w:r>
    </w:p>
    <w:p w14:paraId="18D94780">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9.1.3 发包人应负责赔偿以下各种情况造成的第三者人身伤亡和财产损失： </w:t>
      </w:r>
    </w:p>
    <w:p w14:paraId="2FF5B32F">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（1）工程或工程的任何部分对土地的占用所造成的第三者财产损失； </w:t>
      </w:r>
    </w:p>
    <w:p w14:paraId="785A7C47">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（2）由于发包人原因在施工场地及其毗邻地带造成的第三者人身伤亡和财产损失； </w:t>
      </w:r>
    </w:p>
    <w:p w14:paraId="3967D1F3">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（3）由于发包人原因对发包人自身、承包人、监理人造成的人身伤害和财产损失。 </w:t>
      </w:r>
    </w:p>
    <w:p w14:paraId="745BDA7E">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9.2  承包人的施工安全责任</w:t>
      </w:r>
      <w:bookmarkEnd w:id="623"/>
    </w:p>
    <w:p w14:paraId="7239EE6A">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bookmarkStart w:id="624" w:name="_Toc6598"/>
      <w:r>
        <w:rPr>
          <w:rFonts w:hint="eastAsia" w:ascii="宋体" w:hAnsi="Times New Roman" w:eastAsia="Times New Roman" w:cs="Times New Roman"/>
          <w:color w:val="auto"/>
          <w:szCs w:val="21"/>
          <w:highlight w:val="none"/>
          <w:lang w:val="en-US" w:eastAsia="zh-CN"/>
        </w:rPr>
        <w:t xml:space="preserve">9.2.1 承包人应按合同约定履行安全职责，严格执行国家、地方政府有关施工安全管理方面的法律、法规及规章制度，同时严格执行发包人制订的本项目安全生产管理方面的规章制度、安全检查程序及施工安全管理要求，以及监理人有关安全工作的指示。 </w:t>
      </w:r>
    </w:p>
    <w:p w14:paraId="4B4EC5FB">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承包人应根据本工程的实际安全施工要求，编制施工安全技术措施，并在签订合同协议书后 28 天内，报监理人和发包人批准。该施工安全技术措施包括（但不限于）施工安全保障体系，安全生产责任制，安全生产管理规章制度，安全防护施工方案，施工现场临时用电方案，施工安全评估，安全预控及保证措施方案，紧急应变措施，安全标识、警示和围护方案等。对影响安全的重要工序和危险性较大的工程应编制专项养护施工方案，并附安全验算结果，经承包人项目技术负责人签字并报监理人和发包人批准后实施，由专职安全生产管理人员进行现场监督。 </w:t>
      </w:r>
    </w:p>
    <w:p w14:paraId="40D758CD">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 </w:t>
      </w:r>
    </w:p>
    <w:p w14:paraId="718E368B">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监理人和发包人在检查中发现有安全问题或有违反安全管理规章制度的情况时，可视为承包人违约，应按第 22.1 款的规定办理。 </w:t>
      </w:r>
    </w:p>
    <w:p w14:paraId="5541C88D">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9.2.2 承包人应加强施工作业安全管理，特别应加强易燃、易爆材料、火工器材、有毒与腐蚀性材料和其它危险品的管理，以及对爆破作业和地下工程施工等危险作业的管理。 </w:t>
      </w:r>
    </w:p>
    <w:p w14:paraId="2E5B49A8">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9.2.3 承包人应严格按照国家安全标准制定施工安全操作规程，配备必要的安全生产和劳动保护设施，加强对承包人人员的安全教育，并发放安全工作手册和劳动保护用具。 </w:t>
      </w:r>
    </w:p>
    <w:p w14:paraId="416956A6">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9.2.4 承包人应按监理人的指示制定应对灾害的紧急预案，报送监理人审批。承包人还应按预案做好安全检查，配置必要的救助物资和器材，切实保护好有关人员的人身和财产安全。 </w:t>
      </w:r>
    </w:p>
    <w:p w14:paraId="13D460D5">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9.2.5 除专用合同条款另有约定外，安全生产费应为招标人公布的工程量清单预算的 2％。安全生产费应用于施工安全防护用具及设施的采购和更新、安全施工措施的落实、安全生产条件的改善，不得挪作它用。如承包人在此基础上增加安全生产费以满足项目施工需要，则承包人应在本项目工程量清单其它相关子目的单价或总额价中予以考虑，发包人不再另行支付。因采取合同未约定的特殊防护措施增加的费用，由监理人按第 3.5 款商定或确定。 </w:t>
      </w:r>
    </w:p>
    <w:p w14:paraId="76759BB0">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9.2.6 承包人应对其履行合同所雇佣的全部人员，包括分包人人员的工伤事故承担责任，但由于发包人原因造成承包人人员工伤事故的，应由发包人承担责任。 </w:t>
      </w:r>
    </w:p>
    <w:p w14:paraId="4443105A">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9.2.7 由于承包人原因在施工场地内及其毗邻地带造成的第三者人员伤亡和财产损失，由承包人负责赔偿。 </w:t>
      </w:r>
    </w:p>
    <w:p w14:paraId="1FA4B544">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9.2.8 在通航水域施工时，承包人应与当地主管部门取得联系，设置必要的导航标志，及时发布航行通告，确保施工水域安全。 </w:t>
      </w:r>
    </w:p>
    <w:p w14:paraId="5D7DB4F8">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9.2.9 在整个施工过程中对承包人采取的施工安全措施，发包人和监理人有权监督，并向承包人提出整改要求。如果由于承包人未能对其负责的上述事项采取各种必要的措施而导致或发生与此有关的人身伤亡、罚款、索赔、损失补偿、诉讼费用及其它一切责任应由承包人负责。 </w:t>
      </w:r>
    </w:p>
    <w:p w14:paraId="2BB70EED">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9.3 治安保卫 </w:t>
      </w:r>
    </w:p>
    <w:p w14:paraId="114E3A85">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9.3.1 除合同另有约定外，发包人应与当地公安部门协商，在现场建立治安管理机构或联防组织，统一管理施工场地的治安保卫事项，履行合同工程的治安保卫职责。 </w:t>
      </w:r>
    </w:p>
    <w:p w14:paraId="0DFBA3A9">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9.3.2 发包人和承包人除应协助现场治安管理机构或联防组织维护施工场地的社会治安外，还应做好包括生活区在内的各自管辖区的治安保卫工作。 </w:t>
      </w:r>
    </w:p>
    <w:p w14:paraId="1726B8C3">
      <w:pPr>
        <w:pStyle w:val="9"/>
        <w:tabs>
          <w:tab w:val="left" w:pos="2790"/>
        </w:tabs>
        <w:snapToGrid w:val="0"/>
        <w:spacing w:line="400" w:lineRule="exact"/>
        <w:ind w:firstLine="420" w:firstLineChars="200"/>
        <w:rPr>
          <w:color w:val="auto"/>
          <w:highlight w:val="none"/>
        </w:rPr>
      </w:pPr>
      <w:r>
        <w:rPr>
          <w:rFonts w:hint="eastAsia" w:ascii="宋体" w:hAnsi="Times New Roman" w:eastAsia="Times New Roman" w:cs="Times New Roman"/>
          <w:color w:val="auto"/>
          <w:szCs w:val="21"/>
          <w:highlight w:val="none"/>
          <w:lang w:val="en-US" w:eastAsia="zh-CN"/>
        </w:rPr>
        <w:t>9.3.3 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rPr>
          <w:rFonts w:hint="eastAsia" w:ascii="宋体" w:hAnsi="宋体" w:eastAsia="宋体" w:cs="宋体"/>
          <w:color w:val="auto"/>
          <w:kern w:val="0"/>
          <w:sz w:val="24"/>
          <w:szCs w:val="24"/>
          <w:highlight w:val="none"/>
          <w:lang w:val="en-US" w:eastAsia="zh-CN" w:bidi="ar"/>
        </w:rPr>
        <w:t xml:space="preserve"> </w:t>
      </w:r>
    </w:p>
    <w:p w14:paraId="4FD0B7B9">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9.4 环境保护 </w:t>
      </w:r>
    </w:p>
    <w:p w14:paraId="719A08B9">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9.4.1 承包人在施工过程中，应遵守有关环境保护的法律，履行合同约定的环境保护义务，并对违反法律和合同约定义务所造成的环境破坏、人身伤害和财产损失负责。 </w:t>
      </w:r>
    </w:p>
    <w:p w14:paraId="755A5A37">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9.4.2 承包人应按合同约定的环保工作内容，编制施工环保措施计划，报送监理人审批。 </w:t>
      </w:r>
    </w:p>
    <w:p w14:paraId="5965EAF0">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9.4.3 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它承包人施工等后果的，承包人应承担责任。 </w:t>
      </w:r>
    </w:p>
    <w:p w14:paraId="507B5037">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9.4.4 承包人应按合同约定采取有效措施，对施工开挖的边坡及时进行支护,维护排水设施，并进行水土保护，避免因施工造成的地质灾害。 </w:t>
      </w:r>
    </w:p>
    <w:p w14:paraId="0A6F09B1">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9.4.5 承包人应按国家饮用水管理标准定期对饮用水源进行监测，防止施工活动污染饮用水源。 </w:t>
      </w:r>
    </w:p>
    <w:p w14:paraId="7FBD2191">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9.4.6 承包人应按合同约定，加强对噪声、粉尘、废气、废水和废油的控制，努力降低噪声，控制粉尘和废气浓度，做好废水和废油的治理和排放。 </w:t>
      </w:r>
    </w:p>
    <w:p w14:paraId="714D43EB">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9.4.7 承包人应切实执行技术规范中有关环境保护方面的条款和规定。 </w:t>
      </w:r>
    </w:p>
    <w:p w14:paraId="26A63F1C">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对于来自养护工程实施时的施工机械和运输车辆的施工噪声，为保护施工人员的健康，应遵守《中华人民共和国环境噪声污染防治法》并依据《工业企业噪声卫生标准》合理安排工作人员轮流操作筑路机械，减少接触高噪声的时间，或间歇安排高噪声的工作。对距噪声源较近的施工人员，除采取使用防护耳塞或头盔等有效措施外，还应当缩短其劳动时间。同时，要注意对机械的经常性保养，尽量使其噪声降低到最低水平。为保护施工现场附近居民的夜间休息，对居民区 150m 以内的施工现场，施工时间应加以控制。 </w:t>
      </w:r>
    </w:p>
    <w:p w14:paraId="1D0B65BD">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（2）对于养护施工中粉尘的主要污染源——灰土拌和、施工车辆和筑路机械运行及运输产生的扬尘，应采取有效措施减轻其对施工现场的大气污染，保护人民健康，如： </w:t>
      </w:r>
    </w:p>
    <w:p w14:paraId="6F6BAE08">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a．拌和设备应有较好的密封，或有防尘设备。 </w:t>
      </w:r>
    </w:p>
    <w:p w14:paraId="6F54CA77">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b．施工通道、沥青混凝土拌和站及灰土拌和站应经常进行洒水降尘。 </w:t>
      </w:r>
    </w:p>
    <w:p w14:paraId="2A396656">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c．路面施工应注意保持水分，以免扬尘。 </w:t>
      </w:r>
    </w:p>
    <w:p w14:paraId="5184E288">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（3）采取可靠措施保证原有交通的正常通行，维持沿线村镇的居民饮水、农田灌溉、生产生活用电及通信等管线的正常使用。 </w:t>
      </w:r>
    </w:p>
    <w:p w14:paraId="78F8187F">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9.4.8 在养护工程施工过程中对承包人采取的环境保护措施，发包人和监理人有权监督，并向承包人提出整改要求，如果由于承包人未能对其负责的上述事项采取各种必要的措施而导致或发生与此有关的人身伤亡、罚款、索赔、损失补偿、诉讼费用及其它一切责任应由承包人负责。 </w:t>
      </w:r>
    </w:p>
    <w:p w14:paraId="1F09D9C2">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9.4.9 在养护工程施工期间，承包人应随时保持现场整洁，施工设备和材料、工程设备应整齐妥善存放和储存，废料与垃圾及不再需要的临时设施应及时从现场清除、拆除运走。 </w:t>
      </w:r>
    </w:p>
    <w:p w14:paraId="6DED8583">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9.4.10 承包人应严格按照国家有关法规要求，做好施工过程中的生态保护和水土保持工作。施工中要尽可能减少对原地面的扰动，减少对地面草木的破坏，需要爆破作业的，应按规定进行控爆设计。雨季填筑路基应随挖、随填、随压，要完善施工中的临时排水系统，加强施工便道的管理。取（弃）土场必须先挡后弃，严禁在指定的取（弃）土场以外的地方乱挖乱弃。 </w:t>
      </w:r>
    </w:p>
    <w:p w14:paraId="7EF08AC2">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9.5 事故处理 </w:t>
      </w:r>
    </w:p>
    <w:p w14:paraId="6A3EE2E4">
      <w:pPr>
        <w:pStyle w:val="9"/>
        <w:tabs>
          <w:tab w:val="left" w:pos="2790"/>
        </w:tabs>
        <w:snapToGrid w:val="0"/>
        <w:spacing w:line="400" w:lineRule="exact"/>
        <w:ind w:firstLine="420" w:firstLineChars="200"/>
        <w:rPr>
          <w:rFonts w:hint="eastAsia" w:ascii="黑体" w:eastAsia="黑体"/>
          <w:color w:val="auto"/>
          <w:sz w:val="30"/>
          <w:szCs w:val="30"/>
          <w:highlight w:val="none"/>
        </w:rPr>
      </w:pPr>
      <w:r>
        <w:rPr>
          <w:rFonts w:hint="eastAsia" w:ascii="宋体" w:hAnsi="Times New Roman" w:eastAsia="Times New Roman" w:cs="Times New Roman"/>
          <w:color w:val="auto"/>
          <w:szCs w:val="21"/>
          <w:highlight w:val="none"/>
          <w:lang w:val="en-US" w:eastAsia="zh-CN"/>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3A78C08C">
      <w:pPr>
        <w:pStyle w:val="9"/>
        <w:keepNext w:val="0"/>
        <w:keepLines w:val="0"/>
        <w:pageBreakBefore w:val="0"/>
        <w:widowControl w:val="0"/>
        <w:tabs>
          <w:tab w:val="left" w:pos="2790"/>
        </w:tabs>
        <w:kinsoku/>
        <w:wordWrap/>
        <w:overflowPunct/>
        <w:topLinePunct w:val="0"/>
        <w:autoSpaceDE/>
        <w:autoSpaceDN/>
        <w:bidi w:val="0"/>
        <w:adjustRightInd/>
        <w:snapToGrid w:val="0"/>
        <w:spacing w:before="157" w:beforeLines="50" w:after="157" w:afterLines="50" w:line="400" w:lineRule="exact"/>
        <w:textAlignment w:val="auto"/>
        <w:outlineLvl w:val="2"/>
        <w:rPr>
          <w:rFonts w:hint="eastAsia" w:ascii="黑体" w:hAnsi="Times New Roman" w:eastAsia="黑体" w:cs="Times New Roman"/>
          <w:color w:val="auto"/>
          <w:sz w:val="28"/>
          <w:szCs w:val="28"/>
          <w:highlight w:val="none"/>
        </w:rPr>
      </w:pPr>
      <w:bookmarkStart w:id="625" w:name="_Toc3368"/>
      <w:r>
        <w:rPr>
          <w:rFonts w:hint="eastAsia" w:ascii="黑体" w:hAnsi="Times New Roman" w:eastAsia="黑体" w:cs="Times New Roman"/>
          <w:color w:val="auto"/>
          <w:sz w:val="28"/>
          <w:szCs w:val="28"/>
          <w:highlight w:val="none"/>
        </w:rPr>
        <w:t>10.进度计划</w:t>
      </w:r>
      <w:bookmarkEnd w:id="624"/>
      <w:bookmarkEnd w:id="625"/>
    </w:p>
    <w:p w14:paraId="489DF0AF">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bookmarkStart w:id="626" w:name="_Toc10685"/>
      <w:r>
        <w:rPr>
          <w:rFonts w:hint="eastAsia" w:ascii="宋体" w:hAnsi="宋体" w:eastAsia="宋体" w:cs="宋体"/>
          <w:b/>
          <w:bCs/>
          <w:color w:val="auto"/>
          <w:szCs w:val="21"/>
          <w:highlight w:val="none"/>
          <w:lang w:val="en-US" w:eastAsia="zh-CN"/>
        </w:rPr>
        <w:t>10.1  合同进度计划</w:t>
      </w:r>
      <w:bookmarkEnd w:id="626"/>
    </w:p>
    <w:p w14:paraId="07BB5D5B">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bookmarkStart w:id="627" w:name="_Toc4706"/>
      <w:r>
        <w:rPr>
          <w:rFonts w:hint="eastAsia" w:ascii="宋体" w:hAnsi="Times New Roman" w:eastAsia="Times New Roman" w:cs="Times New Roman"/>
          <w:color w:val="auto"/>
          <w:szCs w:val="21"/>
          <w:highlight w:val="none"/>
          <w:lang w:val="en-US" w:eastAsia="zh-CN"/>
        </w:rPr>
        <w:t xml:space="preserve">承包人应按专用合同条款约定的内容和期限，编制详细的施工进度计划和养护工程作业方案说明报送监理人。监理人应在专用合同条款约定的期限内批复或提出修改意见，否则该进度计划视为已得到批准。经监理人批准的施工进度计划称合同进度计划，是控制合同工程进度的依据。承包人还应根据合同进度计划，编制更为详细的分阶段或分项进度计划，报监理人审批。 </w:t>
      </w:r>
    </w:p>
    <w:p w14:paraId="3E70CD02">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承包人在签订合同协议书后 21 天之内，向监理人提交 2 份其格式和内容符合监理人规定的养护工程施工计划，以及为完成该计划而建议采用的工作安排和施工方案说明。监理人应在收到该计划后的 14 天内审查同意或提出修改意见。 </w:t>
      </w:r>
    </w:p>
    <w:p w14:paraId="1318EF5D">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10.2 合同进度计划的修订 </w:t>
      </w:r>
    </w:p>
    <w:p w14:paraId="3B9707DB">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不论何种原因造成工程的实际进度与第 10.1 款的合同进度计划不符时，承包人可以在专用合同条款约定的期限内向监理人提交修订合同进度计划的申请报告，并附有关措施和相关资料，报监理人审批；监理人也可以直接向承包人作出修订合同进度计划的指示，承包人应按该指示修订合同进度计划，报监理人审批。承包人如不接受，应当在 14 天内答复，如未按时答复视作已接受修订项目进度计划通知中的内容。监理人应在专用合同条款约定的期限内批复,监理人在批复前应获得发包人同意。如未按时答复视作已批准承包人修订后的项目进度计划。监理人对承包人提交的项目进度计划的确认，不能减轻或免除承包人根据法律规定和合同约定应承担的任何责任或义务。</w:t>
      </w:r>
    </w:p>
    <w:p w14:paraId="6B5525F7">
      <w:pPr>
        <w:pStyle w:val="9"/>
        <w:keepNext w:val="0"/>
        <w:keepLines w:val="0"/>
        <w:pageBreakBefore w:val="0"/>
        <w:widowControl w:val="0"/>
        <w:tabs>
          <w:tab w:val="left" w:pos="2790"/>
        </w:tabs>
        <w:kinsoku/>
        <w:wordWrap/>
        <w:overflowPunct/>
        <w:topLinePunct w:val="0"/>
        <w:autoSpaceDE/>
        <w:autoSpaceDN/>
        <w:bidi w:val="0"/>
        <w:adjustRightInd/>
        <w:snapToGrid w:val="0"/>
        <w:spacing w:before="157" w:beforeLines="50" w:after="157" w:afterLines="50" w:line="400" w:lineRule="exact"/>
        <w:textAlignment w:val="auto"/>
        <w:outlineLvl w:val="2"/>
        <w:rPr>
          <w:rFonts w:hint="eastAsia" w:ascii="黑体" w:hAnsi="Times New Roman" w:eastAsia="黑体" w:cs="Times New Roman"/>
          <w:color w:val="auto"/>
          <w:sz w:val="28"/>
          <w:szCs w:val="28"/>
          <w:highlight w:val="none"/>
        </w:rPr>
      </w:pPr>
      <w:bookmarkStart w:id="628" w:name="_Toc14689"/>
      <w:r>
        <w:rPr>
          <w:rFonts w:hint="eastAsia" w:ascii="黑体" w:hAnsi="Times New Roman" w:eastAsia="黑体" w:cs="Times New Roman"/>
          <w:color w:val="auto"/>
          <w:sz w:val="28"/>
          <w:szCs w:val="28"/>
          <w:highlight w:val="none"/>
        </w:rPr>
        <w:t>11.开工和交工</w:t>
      </w:r>
      <w:bookmarkEnd w:id="627"/>
      <w:bookmarkEnd w:id="628"/>
    </w:p>
    <w:p w14:paraId="149D2D2C">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bookmarkStart w:id="629" w:name="_Toc21812"/>
      <w:r>
        <w:rPr>
          <w:rFonts w:hint="eastAsia" w:ascii="宋体" w:hAnsi="宋体" w:eastAsia="宋体" w:cs="宋体"/>
          <w:b/>
          <w:bCs/>
          <w:color w:val="auto"/>
          <w:szCs w:val="21"/>
          <w:highlight w:val="none"/>
          <w:lang w:val="en-US" w:eastAsia="zh-CN"/>
        </w:rPr>
        <w:t>11.1  开工</w:t>
      </w:r>
      <w:bookmarkEnd w:id="629"/>
    </w:p>
    <w:p w14:paraId="1B882451">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bookmarkStart w:id="630" w:name="_Toc31114"/>
      <w:r>
        <w:rPr>
          <w:rFonts w:hint="eastAsia" w:ascii="宋体" w:hAnsi="Times New Roman" w:eastAsia="Times New Roman" w:cs="Times New Roman"/>
          <w:color w:val="auto"/>
          <w:szCs w:val="21"/>
          <w:highlight w:val="none"/>
          <w:lang w:val="en-US" w:eastAsia="zh-CN"/>
        </w:rPr>
        <w:t xml:space="preserve">11.1.1 监理人应在开工日期 7 天前向承包人发出开工通知。监理人在发出开工通知前应获得发包人同意。工期自监理人发出的开工通知中载明的开工日期起计算。承包人应在开工日期后尽快施工。 </w:t>
      </w:r>
    </w:p>
    <w:p w14:paraId="7CB928EC">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11.1.2 承包人应按第 10.1 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bookmarkEnd w:id="630"/>
    <w:p w14:paraId="531EF6DE">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bookmarkStart w:id="631" w:name="_Toc27578"/>
      <w:r>
        <w:rPr>
          <w:rFonts w:hint="eastAsia" w:ascii="宋体" w:hAnsi="宋体" w:eastAsia="宋体" w:cs="宋体"/>
          <w:b/>
          <w:bCs/>
          <w:color w:val="auto"/>
          <w:szCs w:val="21"/>
          <w:highlight w:val="none"/>
          <w:lang w:val="en-US" w:eastAsia="zh-CN"/>
        </w:rPr>
        <w:t xml:space="preserve">11.2 交工 </w:t>
      </w:r>
    </w:p>
    <w:p w14:paraId="1AEE320B">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承包人应在第 1.1.4.3 目约定的期限内完成合同工程。实际交工日期在接收证书中写明。 </w:t>
      </w:r>
    </w:p>
    <w:p w14:paraId="0DC24D07">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11.3 发包人的工期延误 </w:t>
      </w:r>
    </w:p>
    <w:p w14:paraId="64E24ED7">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在履行合同过程中，由于发包人的下列原因造成工期延误的，承包人有权要求发包人延长工期和（或）增加费用，并支付合理利润。需要修订合同进度计划的，按照第 10.2 款的约定办理。 </w:t>
      </w:r>
    </w:p>
    <w:p w14:paraId="23739BE3">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（1）增加合同工作内容； </w:t>
      </w:r>
    </w:p>
    <w:p w14:paraId="44397247">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（2）改变合同中任何一项工作的质量要求或其它特性； </w:t>
      </w:r>
    </w:p>
    <w:p w14:paraId="1147A9AB">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（3）发包人迟延提供材料、工程设备或变更交货地点的； </w:t>
      </w:r>
    </w:p>
    <w:p w14:paraId="64E403C1">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（4）因发包人原因导致的暂停施工； </w:t>
      </w:r>
    </w:p>
    <w:p w14:paraId="2D3819CB">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（5）提供图纸延误； </w:t>
      </w:r>
    </w:p>
    <w:p w14:paraId="72291735">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（6）未按合同约定及时支付预付款、进度款； </w:t>
      </w:r>
    </w:p>
    <w:p w14:paraId="7D38F95F">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（7）发包人造成工期延误的其它原因。 </w:t>
      </w:r>
    </w:p>
    <w:p w14:paraId="6A0EB436">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11.4 异常恶劣的气候条件 </w:t>
      </w:r>
    </w:p>
    <w:p w14:paraId="2BA283D4">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由于出现项目专用合同条款规定的异常恶劣气候的条件导致工期延误的，承包人有权要求发包人延长工期。 </w:t>
      </w:r>
    </w:p>
    <w:p w14:paraId="3D8C6DD1">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11.5 承包人的工期延误 </w:t>
      </w:r>
    </w:p>
    <w:p w14:paraId="352D271C">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由于承包人原因，未能按合同进度计划完成工作，或监理人认为承包人施工进度不能满足合同工期要求的，承包人应采取措施加快进度，并承担加快进度所增加的费用。由于承包人原因造成工期延误，承包人应支付逾期交工违约金。逾期交工违约金的日期计算，自预定的交工日期起到养护工程合同的工程交工证书中写明的交工日期或已批准的延长工期止，按天计算。逾期交工违约金应不超过在投标函附录中写明的限额。发包人可以从应付或到期应付给承包人的任何款项中扣除此违约金，不排除采用其它扣款方法。 </w:t>
      </w:r>
    </w:p>
    <w:p w14:paraId="599ACBDD">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承包人支付逾期交工违约金，不免除承包人完成工程及修补缺陷的义务。 </w:t>
      </w:r>
    </w:p>
    <w:p w14:paraId="3281DF7F">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11.6 工期提前 </w:t>
      </w:r>
    </w:p>
    <w:p w14:paraId="3F0DF784">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发包人要求承包人提前竣工，或承包人提出提前竣工的建议能够给发包人带来效益的，应由监理人与承包人共同协商采取加快工程进度的措施和修订合同进度计划。发包人应承担承包人由此增加的费用，并向承包人支付在投标函附录中写明的相应奖金。发包人不得以任何理由要求承包人超过合理限度压缩工期。承包人有权不接受提前竣工的指示，工期按照合同约定执行。 </w:t>
      </w:r>
    </w:p>
    <w:p w14:paraId="78155259">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11.7 工作时间的限制 </w:t>
      </w:r>
    </w:p>
    <w:p w14:paraId="21D22CDA">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承包人在夜间或国家规定的节假日进行公路养护工程的施工，应向监理人报告，以便监理人履行监理职责和义务。 </w:t>
      </w:r>
    </w:p>
    <w:p w14:paraId="2C8ED903">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但是，为了抢救生命或保护财产，或为了工程的安全、质量而不可避免地短暂作业，则不必事先向监理人报告。但承包人应在事后立即向监理人报告。 </w:t>
      </w:r>
    </w:p>
    <w:p w14:paraId="3123F06F">
      <w:pPr>
        <w:pStyle w:val="9"/>
        <w:tabs>
          <w:tab w:val="left" w:pos="2790"/>
        </w:tabs>
        <w:snapToGrid w:val="0"/>
        <w:spacing w:line="400" w:lineRule="exact"/>
        <w:ind w:firstLine="420" w:firstLineChars="200"/>
        <w:rPr>
          <w:rFonts w:hint="eastAsia" w:ascii="黑体" w:eastAsia="黑体"/>
          <w:color w:val="auto"/>
          <w:sz w:val="30"/>
          <w:szCs w:val="30"/>
          <w:highlight w:val="none"/>
        </w:rPr>
      </w:pPr>
      <w:r>
        <w:rPr>
          <w:rFonts w:hint="eastAsia" w:ascii="宋体" w:hAnsi="Times New Roman" w:eastAsia="Times New Roman" w:cs="Times New Roman"/>
          <w:color w:val="auto"/>
          <w:szCs w:val="21"/>
          <w:highlight w:val="none"/>
          <w:lang w:val="en-US" w:eastAsia="zh-CN"/>
        </w:rPr>
        <w:t>本款规定不适用于习惯上或施工本身要求实行连续生产的作业。</w:t>
      </w:r>
    </w:p>
    <w:p w14:paraId="6E02A219">
      <w:pPr>
        <w:pStyle w:val="9"/>
        <w:keepNext w:val="0"/>
        <w:keepLines w:val="0"/>
        <w:pageBreakBefore w:val="0"/>
        <w:widowControl w:val="0"/>
        <w:tabs>
          <w:tab w:val="left" w:pos="2790"/>
        </w:tabs>
        <w:kinsoku/>
        <w:wordWrap/>
        <w:overflowPunct/>
        <w:topLinePunct w:val="0"/>
        <w:autoSpaceDE/>
        <w:autoSpaceDN/>
        <w:bidi w:val="0"/>
        <w:adjustRightInd/>
        <w:snapToGrid w:val="0"/>
        <w:spacing w:before="157" w:beforeLines="50" w:after="157" w:afterLines="50" w:line="400" w:lineRule="exact"/>
        <w:textAlignment w:val="auto"/>
        <w:outlineLvl w:val="2"/>
        <w:rPr>
          <w:rFonts w:hint="eastAsia" w:ascii="黑体" w:hAnsi="Times New Roman" w:eastAsia="黑体" w:cs="Times New Roman"/>
          <w:color w:val="auto"/>
          <w:sz w:val="28"/>
          <w:szCs w:val="28"/>
          <w:highlight w:val="none"/>
        </w:rPr>
      </w:pPr>
      <w:bookmarkStart w:id="632" w:name="_Toc19658"/>
      <w:r>
        <w:rPr>
          <w:rFonts w:hint="eastAsia" w:ascii="黑体" w:hAnsi="Times New Roman" w:eastAsia="黑体" w:cs="Times New Roman"/>
          <w:color w:val="auto"/>
          <w:sz w:val="28"/>
          <w:szCs w:val="28"/>
          <w:highlight w:val="none"/>
        </w:rPr>
        <w:t>12.暂停施工</w:t>
      </w:r>
      <w:bookmarkEnd w:id="631"/>
      <w:bookmarkEnd w:id="632"/>
    </w:p>
    <w:p w14:paraId="4D69037F">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bookmarkStart w:id="633" w:name="_Toc22798"/>
      <w:r>
        <w:rPr>
          <w:rFonts w:hint="eastAsia" w:ascii="宋体" w:hAnsi="宋体" w:eastAsia="宋体" w:cs="宋体"/>
          <w:b/>
          <w:bCs/>
          <w:color w:val="auto"/>
          <w:szCs w:val="21"/>
          <w:highlight w:val="none"/>
          <w:lang w:val="en-US" w:eastAsia="zh-CN"/>
        </w:rPr>
        <w:t>12.1  承包人暂停施工的责任</w:t>
      </w:r>
      <w:bookmarkEnd w:id="633"/>
    </w:p>
    <w:p w14:paraId="0DD553E0">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bookmarkStart w:id="634" w:name="_Toc5288"/>
      <w:r>
        <w:rPr>
          <w:rFonts w:hint="eastAsia" w:ascii="宋体" w:hAnsi="Times New Roman" w:eastAsia="Times New Roman" w:cs="Times New Roman"/>
          <w:color w:val="auto"/>
          <w:szCs w:val="21"/>
          <w:highlight w:val="none"/>
          <w:lang w:val="en-US" w:eastAsia="zh-CN"/>
        </w:rPr>
        <w:t xml:space="preserve">因下列暂停施工增加的费用和（或）工期延误由承包人承担： </w:t>
      </w:r>
    </w:p>
    <w:p w14:paraId="092DA346">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（1）承包人违约引起的暂停施工； </w:t>
      </w:r>
    </w:p>
    <w:p w14:paraId="2B8A9FED">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（2）由于承包人原因为工程合理施工和安全保障所必需的暂停施工； </w:t>
      </w:r>
    </w:p>
    <w:p w14:paraId="1182F0FB">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（3）承包人擅自暂停施工； </w:t>
      </w:r>
    </w:p>
    <w:p w14:paraId="76F738A8">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（4）承包人其它原因引起的暂停施工； </w:t>
      </w:r>
    </w:p>
    <w:p w14:paraId="514153E3">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（5）现场气候条件导致的必要停工（第 11.4 款规定的异常恶劣的气候条件除外）； </w:t>
      </w:r>
    </w:p>
    <w:p w14:paraId="7386A7BE">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（6）专用合同条款可能约定的由承包人承担的其它暂停施工。</w:t>
      </w:r>
    </w:p>
    <w:p w14:paraId="1855DD4E">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12.2 发包人暂停施工的责任 </w:t>
      </w:r>
    </w:p>
    <w:p w14:paraId="564509A7">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由于发包人原因引起的暂停施工造成工期延误的，承包人有权要求发包人延长工期和（或）增加费用，并支付合理利润。 </w:t>
      </w:r>
    </w:p>
    <w:p w14:paraId="1801DA43">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12.3 监理人暂停施工指示 </w:t>
      </w:r>
    </w:p>
    <w:p w14:paraId="42F02856">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12.3.1 监理人认为有必要时，可向承包人作出暂停施工的指示，承包人应按监理人指示暂停施工。不论由于何种原因引起的暂停施工，暂停施工期间承包人应负责妥善保护工程并提供安全保障。 </w:t>
      </w:r>
    </w:p>
    <w:p w14:paraId="35A706F7">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12.3.2 由于发包人的原因发生暂停施工的紧急情况，且监理人未及时下达暂停施工指示的，承包人可先暂停施工，并及时向监理人提出暂停施工的书面请求。监理人应在接到书面请求后的 24 小时内予以答复，逾期未答复的，视为同意承包人的暂停施工请求。 </w:t>
      </w:r>
    </w:p>
    <w:p w14:paraId="054FDF22">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12.4 暂停施工后的复工 </w:t>
      </w:r>
    </w:p>
    <w:p w14:paraId="417F4BAB">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12.4.1 暂停施工后，监理人应与发包人和承包人协商，采取有效措施积极消除暂停施工的影响。当工程具备复工条件时，监理人应立即向承包人发出复工通知。承包人收到复工通知后，应在监理人指定的期限内复工。监理人通知的复工时间应当给予承包人必要的准备复工时间。 </w:t>
      </w:r>
    </w:p>
    <w:p w14:paraId="548DE758">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12.4.2 承包人无故拖延和拒绝复工的，由此增加的费用和工期延误由承包人承担；因发包人原因无法按时复工的，承包人有权要求发包人延长工期和（或）增加费用，并支付合理利润。 </w:t>
      </w:r>
    </w:p>
    <w:p w14:paraId="5F515400">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12.4.3 不论由于何种原因引起暂停工作，双方均可要求对方一同对受暂停影响的工程、工程设备和工程物资进行检查，承包人应将检查结果及需要恢复、修复的内容和估算通知监理人。 </w:t>
      </w:r>
    </w:p>
    <w:p w14:paraId="07407F21">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12.5 暂停施工持续 56 天以上 </w:t>
      </w:r>
    </w:p>
    <w:p w14:paraId="71245359">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12.5.1 监理人发出暂停施工指示后 56 天内未向承包人发出复工通知，除了该项停工属于第 12.1 款的情况外，承包人可向监理人提交书面通知，要求监理人在收到书面通知后 28 天内准许已暂停施工的工程或其中一部分工程继续施工。如监理人逾期不予批准，则承包人可以通知监理人，将工程受影响的部分视为按第 15.1（1）项的可取消工作。如暂停施工影响到整个工程，可视为发包人违约，应按第 22.2 款的规定办理。 </w:t>
      </w:r>
    </w:p>
    <w:p w14:paraId="501C7D2C">
      <w:pPr>
        <w:pStyle w:val="9"/>
        <w:tabs>
          <w:tab w:val="left" w:pos="2790"/>
        </w:tabs>
        <w:snapToGrid w:val="0"/>
        <w:spacing w:line="400" w:lineRule="exact"/>
        <w:ind w:firstLine="420" w:firstLineChars="200"/>
        <w:rPr>
          <w:rFonts w:hint="eastAsia" w:ascii="黑体" w:eastAsia="黑体"/>
          <w:color w:val="auto"/>
          <w:sz w:val="30"/>
          <w:szCs w:val="30"/>
          <w:highlight w:val="none"/>
        </w:rPr>
      </w:pPr>
      <w:r>
        <w:rPr>
          <w:rFonts w:hint="eastAsia" w:ascii="宋体" w:hAnsi="Times New Roman" w:eastAsia="Times New Roman" w:cs="Times New Roman"/>
          <w:color w:val="auto"/>
          <w:szCs w:val="21"/>
          <w:highlight w:val="none"/>
          <w:lang w:val="en-US" w:eastAsia="zh-CN"/>
        </w:rPr>
        <w:t xml:space="preserve">12.5.2 由于承包人责任引起的暂停施工，如承包人在收到监理人暂停施工指示后 56 天内不认真采取有效的复工措施，造成工期延误，可视为承包人违约，应按第 22.1 款的规定办理。 </w:t>
      </w:r>
    </w:p>
    <w:p w14:paraId="112468BD">
      <w:pPr>
        <w:pStyle w:val="9"/>
        <w:keepNext w:val="0"/>
        <w:keepLines w:val="0"/>
        <w:pageBreakBefore w:val="0"/>
        <w:widowControl w:val="0"/>
        <w:tabs>
          <w:tab w:val="left" w:pos="2790"/>
        </w:tabs>
        <w:kinsoku/>
        <w:wordWrap/>
        <w:overflowPunct/>
        <w:topLinePunct w:val="0"/>
        <w:autoSpaceDE/>
        <w:autoSpaceDN/>
        <w:bidi w:val="0"/>
        <w:adjustRightInd/>
        <w:snapToGrid w:val="0"/>
        <w:spacing w:before="157" w:beforeLines="50" w:after="157" w:afterLines="50" w:line="400" w:lineRule="exact"/>
        <w:textAlignment w:val="auto"/>
        <w:outlineLvl w:val="2"/>
        <w:rPr>
          <w:rFonts w:hint="eastAsia" w:ascii="黑体" w:hAnsi="Times New Roman" w:eastAsia="黑体" w:cs="Times New Roman"/>
          <w:color w:val="auto"/>
          <w:sz w:val="28"/>
          <w:szCs w:val="28"/>
          <w:highlight w:val="none"/>
        </w:rPr>
      </w:pPr>
      <w:bookmarkStart w:id="635" w:name="_Toc709"/>
      <w:r>
        <w:rPr>
          <w:rFonts w:hint="eastAsia" w:ascii="黑体" w:hAnsi="Times New Roman" w:eastAsia="黑体" w:cs="Times New Roman"/>
          <w:color w:val="auto"/>
          <w:sz w:val="28"/>
          <w:szCs w:val="28"/>
          <w:highlight w:val="none"/>
        </w:rPr>
        <w:t>13.工程质量</w:t>
      </w:r>
      <w:bookmarkEnd w:id="634"/>
      <w:bookmarkEnd w:id="635"/>
    </w:p>
    <w:p w14:paraId="647C2A16">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bookmarkStart w:id="636" w:name="_Toc27461"/>
      <w:r>
        <w:rPr>
          <w:rFonts w:hint="eastAsia" w:ascii="宋体" w:hAnsi="宋体" w:eastAsia="宋体" w:cs="宋体"/>
          <w:b/>
          <w:bCs/>
          <w:color w:val="auto"/>
          <w:szCs w:val="21"/>
          <w:highlight w:val="none"/>
          <w:lang w:val="en-US" w:eastAsia="zh-CN"/>
        </w:rPr>
        <w:t>13.1  工程质量要求</w:t>
      </w:r>
      <w:bookmarkEnd w:id="636"/>
    </w:p>
    <w:p w14:paraId="710AC314">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13.1.1 工程质量验收按验收标准执行。（适用于日常小修工程） </w:t>
      </w:r>
    </w:p>
    <w:p w14:paraId="52078828">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已完成合同规定的养护工程质量，按技术规范及《公路养护技术状况标准》进行检测、调查和评定。公路养护质量指数（MQI）应经常保持在 90 分以上。 </w:t>
      </w:r>
    </w:p>
    <w:p w14:paraId="54D56628">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13.1.1 工程质量验收按验收标准执行。 </w:t>
      </w:r>
    </w:p>
    <w:p w14:paraId="6E8B3F71">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工程质量验收按技术规范及《公路养护工程质量检验评定标准》执行。 </w:t>
      </w:r>
    </w:p>
    <w:p w14:paraId="57CA5CA5">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工程质量目标为：合格。承包人应为本合同的施工建立强有力的质保系统和质检系统，认真执行国家、交通运输部和浙江省交通运输厅有关加强质量管理的法规和文件，开展全面质量管理，确保工程质量达到质量目标。 </w:t>
      </w:r>
    </w:p>
    <w:p w14:paraId="462FDEDF">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13.1.2 因承包人原因造成工程质量达不到合同约定验收标准的，监理人有权要求承包人返工直至符合合同要求为止，由此造成的费用增加和（或）工期延误由承包人承担。 </w:t>
      </w:r>
    </w:p>
    <w:p w14:paraId="7F8AFCD4">
      <w:pPr>
        <w:pStyle w:val="9"/>
        <w:tabs>
          <w:tab w:val="left" w:pos="2790"/>
        </w:tabs>
        <w:snapToGrid w:val="0"/>
        <w:spacing w:line="400" w:lineRule="exact"/>
        <w:ind w:firstLine="420" w:firstLineChars="200"/>
        <w:rPr>
          <w:rFonts w:ascii="宋体"/>
          <w:color w:val="auto"/>
          <w:szCs w:val="21"/>
          <w:highlight w:val="none"/>
        </w:rPr>
      </w:pPr>
      <w:r>
        <w:rPr>
          <w:rFonts w:hint="eastAsia" w:ascii="宋体" w:hAnsi="Times New Roman" w:eastAsia="Times New Roman" w:cs="Times New Roman"/>
          <w:color w:val="auto"/>
          <w:szCs w:val="21"/>
          <w:highlight w:val="none"/>
          <w:lang w:val="en-US" w:eastAsia="zh-CN"/>
        </w:rPr>
        <w:t xml:space="preserve">13.1.3 因发包人原因造成工程质量达不到合同约定验收标准的，发包人应承担由于承包人返工造成的费用增加和（或）工期延误，并支付承包人合理利润。 </w:t>
      </w:r>
    </w:p>
    <w:p w14:paraId="79EB1CC6">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bookmarkStart w:id="637" w:name="_Toc20128"/>
      <w:r>
        <w:rPr>
          <w:rFonts w:hint="eastAsia" w:ascii="宋体" w:hAnsi="宋体" w:eastAsia="宋体" w:cs="宋体"/>
          <w:b/>
          <w:bCs/>
          <w:color w:val="auto"/>
          <w:szCs w:val="21"/>
          <w:highlight w:val="none"/>
          <w:lang w:val="en-US" w:eastAsia="zh-CN"/>
        </w:rPr>
        <w:t>13.2  承包人的质量管理</w:t>
      </w:r>
      <w:bookmarkEnd w:id="637"/>
    </w:p>
    <w:p w14:paraId="29750123">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bookmarkStart w:id="638" w:name="_Toc24064"/>
      <w:r>
        <w:rPr>
          <w:rFonts w:hint="eastAsia" w:ascii="宋体" w:hAnsi="Times New Roman" w:eastAsia="Times New Roman" w:cs="Times New Roman"/>
          <w:color w:val="auto"/>
          <w:szCs w:val="21"/>
          <w:highlight w:val="none"/>
          <w:lang w:val="en-US" w:eastAsia="zh-CN"/>
        </w:rPr>
        <w:t xml:space="preserve">13.2.1 承包人应在施工场地设置专门的质量检查机构，配备专职质量检查人员，建立完善的质量检查制度。承包人应在合同约定的期限内，提交工程质量保证措施文件，包括质量检查机构的组织和岗位责任、质检人员的组成、质量检查程序和实施细则等，报送监理人审批。 </w:t>
      </w:r>
    </w:p>
    <w:p w14:paraId="35A7F687">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13.2.2 承包人应加强对施工人员的质量教育和技术培训，定期考核施工人员的劳动技能，严格执行规范和操作规程。 </w:t>
      </w:r>
    </w:p>
    <w:p w14:paraId="66F54C3B">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13.2.3 承包人必须遵守国家有关法律、法规和规章，严格执行《公路养护技术规范》、《公路桥涵养护规范》、《公路隧道养护技术规范》、《公路桥梁技术状况评定标准》、《公路养护工程质量检验评定标准》等各类技术规范及规程，全面履行工程合同义务，依法对公路养护工程质量负责。 </w:t>
      </w:r>
    </w:p>
    <w:p w14:paraId="68D954F2">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13.2.4 承包人应加强质量监控，确保规范规定的检验、抽检频率，现场质检的原始资料必须真实、准确、可靠，不得追记，接受质量检查时必须出示原始资料。 </w:t>
      </w:r>
    </w:p>
    <w:p w14:paraId="4C5392DE">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13.2.5 承包人必须完善检验手段，根据技术规范的规定配齐检测和试验仪器、仪表，并应及时校正确保其精度；加强材料检验工作，不合格材料严禁用于本工程。 </w:t>
      </w:r>
    </w:p>
    <w:p w14:paraId="0081153B">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13.3 承包人的质量检查 </w:t>
      </w:r>
    </w:p>
    <w:p w14:paraId="7CF493BC">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承包人应按合同约定对材料、工程设备以及工程的所有部位及其施工工艺进行全过程的质量检查和检验，并作详细记录，编制工程质量报表，报送监理人审查。 </w:t>
      </w:r>
    </w:p>
    <w:p w14:paraId="0789BE11">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13.4 监理人的质量检查 </w:t>
      </w:r>
    </w:p>
    <w:p w14:paraId="262A8172">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监理人有权对工程的所有部位及其施工工艺、材料和工程设备进行检查和检验。承包人应为监理人的检查和检验提供方便，包括监理人到施工场地，或制造、加工地点，或合同约定的其它地方进行察看和查阅施工原始记录。承包人还应按监理人指示，进行施工场地取样试验、工程复核测量和设备性能检测，提供试验样品、提交试验报告和测量成果以及监理人要求进行的其它工作。监理人的检查和检验，不免除承包人按合同约定应负的责任。 </w:t>
      </w:r>
    </w:p>
    <w:p w14:paraId="4B70A1BF">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监理人及其委派的检验人员，应能进入工程现场，以及材料加工场所，包括不属于承包人的场所进行检查，承包人应为此提供便利和协助。 </w:t>
      </w:r>
    </w:p>
    <w:p w14:paraId="6927EA21">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监理人可以将材料检验委托一家独立的有质量检验认证资格的检验单位。该独立检验单位的检验结果应视为监理人完成的。监理人应将这种委托的通知书不少于 7 天前交给承包人。 </w:t>
      </w:r>
    </w:p>
    <w:p w14:paraId="62E365CA">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13.5 工程隐蔽部位覆盖前的检查 </w:t>
      </w:r>
    </w:p>
    <w:p w14:paraId="3B9DB775">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13.5.1 通知监理人检查 </w:t>
      </w:r>
    </w:p>
    <w:p w14:paraId="3302ED16">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由此增加的费用和（或）延误的工期由承包人承担。 </w:t>
      </w:r>
    </w:p>
    <w:p w14:paraId="001CE4AD">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当监理人有指令时，承包人应对重要隐蔽工程进行拍摄或照相并应保证监理人有充分的机会对将要覆盖或掩蔽的工程进行检查和量测，特别是在基础以上的任一部分工程修筑之前，对该基础进行检查。 </w:t>
      </w:r>
    </w:p>
    <w:p w14:paraId="4B7BE303">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13.5.2 监理人未到场检查 </w:t>
      </w:r>
    </w:p>
    <w:p w14:paraId="5FD035E3">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监理人未按第 13.5.1 项约定的时间进行检查的，除监理人另有指示外，承包人可自行完成覆盖工作，并作相应记录报送监理人，监理人应签字确认。监理人事后对检查记录有疑问的，可按第 13.5.3 项的约定重新检查。 </w:t>
      </w:r>
    </w:p>
    <w:p w14:paraId="6C521261">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13.5.3 监理人重新检查 </w:t>
      </w:r>
    </w:p>
    <w:p w14:paraId="101B1EF8">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承包人按第 13.5.1 项或第 13.5.2 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 </w:t>
      </w:r>
    </w:p>
    <w:p w14:paraId="3F72398E">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13.5.4 承包人私自覆盖 </w:t>
      </w:r>
    </w:p>
    <w:p w14:paraId="19830202">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承包人未通知监理人到场检查，私自将工程隐蔽部位覆盖的，监理人有权指示承包人钻孔探测或揭开检查，由此增加的费用和（或）工期延误由承包人承担。</w:t>
      </w:r>
    </w:p>
    <w:p w14:paraId="0276F80C">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13.6 清除不合格工程 </w:t>
      </w:r>
    </w:p>
    <w:p w14:paraId="7B69E34A">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13.6.1 （1）承包人使用不合格材料或采用不适当的施工工艺，或施工不当，造成工程不合格的，监理人可以随时发出指示，要求承包人立即采取措施进行替换、补救或拆除重建，直至达到合同要求的质量标准，由此增加的费用和（或）工期延误由承包人承担。 </w:t>
      </w:r>
    </w:p>
    <w:p w14:paraId="333DF754">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（2）如果承包人未在规定时间内执行监理人的指示，发包人有权雇用他人执行，由此增加的费用和（或）工期延误由承包人承担。 </w:t>
      </w:r>
    </w:p>
    <w:p w14:paraId="50ACD245">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13.6.2 由于发包人提供的材料或工程设备不合格造成的工程不合格，需要承包人采取措施补救的，发包人应承担由此增加的费用和（或）工期延误，并支付承包人合理利润。 </w:t>
      </w:r>
    </w:p>
    <w:p w14:paraId="51DBE07B">
      <w:pPr>
        <w:pStyle w:val="9"/>
        <w:keepNext w:val="0"/>
        <w:keepLines w:val="0"/>
        <w:pageBreakBefore w:val="0"/>
        <w:widowControl w:val="0"/>
        <w:tabs>
          <w:tab w:val="left" w:pos="2790"/>
        </w:tabs>
        <w:kinsoku/>
        <w:wordWrap/>
        <w:overflowPunct/>
        <w:topLinePunct w:val="0"/>
        <w:autoSpaceDE/>
        <w:autoSpaceDN/>
        <w:bidi w:val="0"/>
        <w:adjustRightInd/>
        <w:snapToGrid w:val="0"/>
        <w:spacing w:line="400" w:lineRule="exact"/>
        <w:textAlignment w:val="auto"/>
        <w:outlineLvl w:val="9"/>
        <w:rPr>
          <w:rFonts w:hint="eastAsia" w:ascii="黑体" w:eastAsia="黑体"/>
          <w:color w:val="auto"/>
          <w:sz w:val="30"/>
          <w:szCs w:val="30"/>
          <w:highlight w:val="none"/>
        </w:rPr>
      </w:pPr>
    </w:p>
    <w:p w14:paraId="05D90F9F">
      <w:pPr>
        <w:pStyle w:val="9"/>
        <w:keepNext w:val="0"/>
        <w:keepLines w:val="0"/>
        <w:pageBreakBefore w:val="0"/>
        <w:widowControl w:val="0"/>
        <w:tabs>
          <w:tab w:val="left" w:pos="2790"/>
        </w:tabs>
        <w:kinsoku/>
        <w:wordWrap/>
        <w:overflowPunct/>
        <w:topLinePunct w:val="0"/>
        <w:autoSpaceDE/>
        <w:autoSpaceDN/>
        <w:bidi w:val="0"/>
        <w:adjustRightInd/>
        <w:snapToGrid w:val="0"/>
        <w:spacing w:before="157" w:beforeLines="50" w:after="157" w:afterLines="50" w:line="400" w:lineRule="exact"/>
        <w:textAlignment w:val="auto"/>
        <w:outlineLvl w:val="2"/>
        <w:rPr>
          <w:rFonts w:hint="eastAsia" w:ascii="黑体" w:hAnsi="Times New Roman" w:eastAsia="黑体" w:cs="Times New Roman"/>
          <w:color w:val="auto"/>
          <w:sz w:val="28"/>
          <w:szCs w:val="28"/>
          <w:highlight w:val="none"/>
        </w:rPr>
      </w:pPr>
      <w:bookmarkStart w:id="639" w:name="_Toc9953"/>
      <w:r>
        <w:rPr>
          <w:rFonts w:hint="eastAsia" w:ascii="黑体" w:hAnsi="Times New Roman" w:eastAsia="黑体" w:cs="Times New Roman"/>
          <w:color w:val="auto"/>
          <w:sz w:val="28"/>
          <w:szCs w:val="28"/>
          <w:highlight w:val="none"/>
        </w:rPr>
        <w:t>14.试验和检验</w:t>
      </w:r>
      <w:bookmarkEnd w:id="638"/>
      <w:bookmarkEnd w:id="639"/>
    </w:p>
    <w:p w14:paraId="78606A92">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bookmarkStart w:id="640" w:name="_Toc16794"/>
      <w:r>
        <w:rPr>
          <w:rFonts w:hint="eastAsia" w:ascii="宋体" w:hAnsi="宋体" w:eastAsia="宋体" w:cs="宋体"/>
          <w:b/>
          <w:bCs/>
          <w:color w:val="auto"/>
          <w:szCs w:val="21"/>
          <w:highlight w:val="none"/>
          <w:lang w:val="en-US" w:eastAsia="zh-CN"/>
        </w:rPr>
        <w:t xml:space="preserve">14.1 材料、工程设备和工程的试验和检验 </w:t>
      </w:r>
    </w:p>
    <w:p w14:paraId="7A816A51">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14.1.1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 </w:t>
      </w:r>
    </w:p>
    <w:p w14:paraId="30EA07BD">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14.1.2 监理人未按合同约定派员参加试验和检验的，除监理人另有指示外，承包人可自行试验和检验，并应立即将试验和检验结果报送监理人，监理人应签字确认。 </w:t>
      </w:r>
    </w:p>
    <w:p w14:paraId="660A62A7">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14.1.3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 </w:t>
      </w:r>
    </w:p>
    <w:p w14:paraId="5353A97E">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14.2 现场材料试验 </w:t>
      </w:r>
    </w:p>
    <w:p w14:paraId="67595279">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14.2.1 承包人根据合同约定或监理人指示进行的现场材料试验，应由承包人提供试验场所、试验人员、试验设备器材以及其它必要的试验条件。 </w:t>
      </w:r>
    </w:p>
    <w:p w14:paraId="490C86BC">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14.2.2 监理人在必要时可以使用承包人的试验场所、试验设备器材以及其它试验条件，进行以工程质量检查为目的的复核性材料试验，承包人应予以协助。</w:t>
      </w:r>
    </w:p>
    <w:p w14:paraId="194F0D00">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14.3 现场工艺试验 </w:t>
      </w:r>
    </w:p>
    <w:p w14:paraId="55472474">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承包人应按合同约定或监理人指示进行现场工艺试验。对大型的现场工艺试验，监理人认为必要时，应由承包人根据监理人提出的工艺试验要求，编制工艺试验措施计划，报送监理人审批。 </w:t>
      </w:r>
    </w:p>
    <w:p w14:paraId="4B6AB444">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14.4 试验和检验费用 </w:t>
      </w:r>
    </w:p>
    <w:p w14:paraId="5A10A767">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（1）承包人应负责提供合同和技术规范规定的试验和检验所需的全部样品，并承担其它费用。 </w:t>
      </w:r>
    </w:p>
    <w:p w14:paraId="6B623AD9">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（2）在合同中明确规定的试验和检验，包括无须在工程量清单中单独列项和已在工程量清单中单独列项的试验和检验，其试验和检验的费用由承包人负担。 </w:t>
      </w:r>
    </w:p>
    <w:p w14:paraId="2F3561A7">
      <w:pPr>
        <w:pStyle w:val="9"/>
        <w:tabs>
          <w:tab w:val="left" w:pos="2790"/>
        </w:tabs>
        <w:snapToGrid w:val="0"/>
        <w:spacing w:line="400" w:lineRule="exact"/>
        <w:ind w:firstLine="420" w:firstLineChars="200"/>
        <w:rPr>
          <w:rFonts w:hint="eastAsia" w:ascii="黑体" w:hAnsi="Times New Roman" w:eastAsia="黑体" w:cs="Times New Roman"/>
          <w:color w:val="auto"/>
          <w:sz w:val="28"/>
          <w:szCs w:val="28"/>
          <w:highlight w:val="none"/>
        </w:rPr>
      </w:pPr>
      <w:r>
        <w:rPr>
          <w:rFonts w:hint="eastAsia" w:ascii="宋体" w:hAnsi="Times New Roman" w:eastAsia="Times New Roman" w:cs="Times New Roman"/>
          <w:color w:val="auto"/>
          <w:szCs w:val="21"/>
          <w:highlight w:val="none"/>
          <w:lang w:val="en-US" w:eastAsia="zh-CN"/>
        </w:rPr>
        <w:t>（3）如果监理人所要求做的试验和检验为合同未规定的或是在该材料或工程设备的制造、加工、制配场地以外的场所进行的，则检验结束后，如表明操作工艺或材料、工程设备未能符合合同规定，其费用应由承包人承担。否则，其费用应由发包人承担。</w:t>
      </w:r>
    </w:p>
    <w:p w14:paraId="3BCDAA6D">
      <w:pPr>
        <w:pStyle w:val="9"/>
        <w:keepNext w:val="0"/>
        <w:keepLines w:val="0"/>
        <w:pageBreakBefore w:val="0"/>
        <w:widowControl w:val="0"/>
        <w:tabs>
          <w:tab w:val="left" w:pos="2790"/>
        </w:tabs>
        <w:kinsoku/>
        <w:wordWrap/>
        <w:overflowPunct/>
        <w:topLinePunct w:val="0"/>
        <w:autoSpaceDE/>
        <w:autoSpaceDN/>
        <w:bidi w:val="0"/>
        <w:adjustRightInd/>
        <w:snapToGrid w:val="0"/>
        <w:spacing w:before="157" w:beforeLines="50" w:after="157" w:afterLines="50" w:line="400" w:lineRule="exact"/>
        <w:textAlignment w:val="auto"/>
        <w:outlineLvl w:val="2"/>
        <w:rPr>
          <w:rFonts w:hint="eastAsia" w:ascii="黑体" w:hAnsi="Times New Roman" w:eastAsia="黑体" w:cs="Times New Roman"/>
          <w:color w:val="auto"/>
          <w:sz w:val="28"/>
          <w:szCs w:val="28"/>
          <w:highlight w:val="none"/>
        </w:rPr>
      </w:pPr>
      <w:bookmarkStart w:id="641" w:name="_Toc25682"/>
      <w:r>
        <w:rPr>
          <w:rFonts w:hint="eastAsia" w:ascii="黑体" w:hAnsi="Times New Roman" w:eastAsia="黑体" w:cs="Times New Roman"/>
          <w:color w:val="auto"/>
          <w:sz w:val="28"/>
          <w:szCs w:val="28"/>
          <w:highlight w:val="none"/>
        </w:rPr>
        <w:t>15.变更</w:t>
      </w:r>
      <w:bookmarkEnd w:id="640"/>
      <w:bookmarkEnd w:id="641"/>
    </w:p>
    <w:p w14:paraId="2B697FBF">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bookmarkStart w:id="642" w:name="_Toc8057"/>
      <w:r>
        <w:rPr>
          <w:rFonts w:hint="eastAsia" w:ascii="宋体" w:hAnsi="宋体" w:eastAsia="宋体" w:cs="宋体"/>
          <w:b/>
          <w:bCs/>
          <w:color w:val="auto"/>
          <w:szCs w:val="21"/>
          <w:highlight w:val="none"/>
          <w:lang w:val="en-US" w:eastAsia="zh-CN"/>
        </w:rPr>
        <w:t>15.1  变更的范围和内容</w:t>
      </w:r>
      <w:bookmarkEnd w:id="642"/>
    </w:p>
    <w:p w14:paraId="6186BD75">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bookmarkStart w:id="643" w:name="_Toc4453"/>
      <w:r>
        <w:rPr>
          <w:rFonts w:hint="eastAsia" w:ascii="宋体" w:hAnsi="Times New Roman" w:eastAsia="Times New Roman" w:cs="Times New Roman"/>
          <w:color w:val="auto"/>
          <w:szCs w:val="21"/>
          <w:highlight w:val="none"/>
          <w:lang w:val="en-US" w:eastAsia="zh-CN"/>
        </w:rPr>
        <w:t xml:space="preserve">除专用合同条款另有约定外，在履行合同中发生以下情形之一，应按照本条规定进行变更。 </w:t>
      </w:r>
    </w:p>
    <w:p w14:paraId="32942108">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（1）取消合同中任何一项工作，但被取消的工作不能转由发包人或其他人实施，由于承包人违约造成的情况除外； </w:t>
      </w:r>
    </w:p>
    <w:p w14:paraId="3120728E">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（2）改变合同中任何一项工作的质量或其它特性； </w:t>
      </w:r>
    </w:p>
    <w:p w14:paraId="26E87B75">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（3）改变合同工程的基线、标高、位置或尺寸； </w:t>
      </w:r>
    </w:p>
    <w:p w14:paraId="25DEB53C">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（4）改变合同中任何一项工作的施工时间或改变已批准的施工工艺或顺序； </w:t>
      </w:r>
    </w:p>
    <w:p w14:paraId="222CD710">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（5）为完成工程需要追加的额外工作。 </w:t>
      </w:r>
    </w:p>
    <w:p w14:paraId="1AAB1CFF">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15.2 变更权 </w:t>
      </w:r>
    </w:p>
    <w:p w14:paraId="05C17D51">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在履行合同过程中，经发包人同意，监理人可按第 15.3 款约定的变更程序向承包人作出变更指示，承包人应遵照执行。没有监理人的变更指示，承包人不得擅自变更。</w:t>
      </w:r>
    </w:p>
    <w:p w14:paraId="734BF739">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15.3  变更程序</w:t>
      </w:r>
      <w:bookmarkEnd w:id="643"/>
    </w:p>
    <w:p w14:paraId="5CA71DE6">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bookmarkStart w:id="644" w:name="_Toc3254"/>
      <w:r>
        <w:rPr>
          <w:rFonts w:hint="eastAsia" w:ascii="宋体" w:hAnsi="Times New Roman" w:eastAsia="Times New Roman" w:cs="Times New Roman"/>
          <w:color w:val="auto"/>
          <w:szCs w:val="21"/>
          <w:highlight w:val="none"/>
          <w:lang w:val="en-US" w:eastAsia="zh-CN"/>
        </w:rPr>
        <w:t>15.3.1 变更的提出</w:t>
      </w:r>
    </w:p>
    <w:p w14:paraId="7AC406F7">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（1）在合同履行过程中，可能发生第 15.1 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 15.3.3 项约定发出变更指示。 </w:t>
      </w:r>
    </w:p>
    <w:p w14:paraId="2766BAA3">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（2）在合同履行过程中，发生第 15.1 款约定情形的，监理人应按照第 15.3.3 项约定向承包人发出变更指示。 </w:t>
      </w:r>
    </w:p>
    <w:p w14:paraId="14FC0297">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（3）承包人收到监理人按合同约定发出的图纸和文件，经检查认为其中存在第 15.1 款约定情形的，可向监理人提出书面变更建议。变更建议应阐明要求变更的依据，并附必要的图纸和说明。监理人收到承包人书面建议后，应与发包人共同研究，确认存在变更的，应在收到承包人书面建议后的 14 天内作出变更指示。经研究后不同意作为变更的，应由监理人书面答复承包人。 </w:t>
      </w:r>
    </w:p>
    <w:p w14:paraId="48BD26AC">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（4）若承包人收到监理人的变更意向书后认为难以实施此项变更，应立即通知监理人，说明原因并附详细依据。监理人与承包人和发包人协商后确定撤销、改变或不改变原变更意向书。 </w:t>
      </w:r>
    </w:p>
    <w:p w14:paraId="3BAA4893">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15.3.2 变更估价 </w:t>
      </w:r>
    </w:p>
    <w:p w14:paraId="26691323">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（1）除专用合同条款对期限另有约定外，承包人应在收到变更指示或变更意向书后的 14 天内，向监理人提交变更报价书，报价内容应根据第 15.4 款约定的估价原则，详细开列变更工作的价格组成及其依据，并附必要的施工方法说明和有关图纸。 </w:t>
      </w:r>
    </w:p>
    <w:p w14:paraId="15C93C9E">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（2）变更工作影响工期的，承包人应提出调整工期的具体细节。监理人认为有必要时，可要求承包人提交要求提前或延长工期的施工进度计划及相应施工措施等详细资料。 </w:t>
      </w:r>
    </w:p>
    <w:p w14:paraId="637FD29B">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（3）除专用合同条款对期限另有约定外，监理人收到承包人变更报价书后的 14天内，根据第 15.4 款约定的估价原则，按照第 3.5 款商定或确定变更价格。 </w:t>
      </w:r>
    </w:p>
    <w:p w14:paraId="51FB9F21">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15.3.3 变更指示 </w:t>
      </w:r>
    </w:p>
    <w:p w14:paraId="3000702F">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（1）变更指示只能由监理人发出。 </w:t>
      </w:r>
    </w:p>
    <w:p w14:paraId="5453E484">
      <w:pPr>
        <w:pStyle w:val="9"/>
        <w:tabs>
          <w:tab w:val="left" w:pos="2790"/>
        </w:tabs>
        <w:snapToGrid w:val="0"/>
        <w:spacing w:line="400" w:lineRule="exact"/>
        <w:ind w:firstLine="420" w:firstLineChars="200"/>
        <w:rPr>
          <w:color w:val="auto"/>
          <w:highlight w:val="none"/>
        </w:rPr>
      </w:pPr>
      <w:r>
        <w:rPr>
          <w:rFonts w:hint="eastAsia" w:ascii="宋体" w:hAnsi="Times New Roman" w:eastAsia="Times New Roman" w:cs="Times New Roman"/>
          <w:color w:val="auto"/>
          <w:szCs w:val="21"/>
          <w:highlight w:val="none"/>
          <w:lang w:val="en-US" w:eastAsia="zh-CN"/>
        </w:rPr>
        <w:t>（2）变更指示应说明变更的目的、范围、变更内容以及变更的工程量及其进度和技术要求，并附有关图纸和文件。承包人收到变更指示后，应按变更指示进行变更工作。</w:t>
      </w:r>
    </w:p>
    <w:p w14:paraId="4CB2FFDF">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15.4  变更的估价原则</w:t>
      </w:r>
      <w:bookmarkEnd w:id="644"/>
    </w:p>
    <w:p w14:paraId="10A1C8EB">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除专用合同条款另有约定外，因变更引起的价格调整按照本款约定处理。</w:t>
      </w:r>
    </w:p>
    <w:p w14:paraId="6FA56E3C">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bookmarkStart w:id="645" w:name="_Toc3190"/>
      <w:r>
        <w:rPr>
          <w:rFonts w:hint="eastAsia" w:ascii="宋体" w:hAnsi="Times New Roman" w:eastAsia="Times New Roman" w:cs="Times New Roman"/>
          <w:color w:val="auto"/>
          <w:szCs w:val="21"/>
          <w:highlight w:val="none"/>
          <w:lang w:val="en-US" w:eastAsia="zh-CN"/>
        </w:rPr>
        <w:t xml:space="preserve">15.4.1 如果取消某项工作，则该项工作的总额价不予支付； </w:t>
      </w:r>
    </w:p>
    <w:p w14:paraId="065C5083">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15.4.2 如养护路段对工程量清单中子目部分内容需实行专项工程的，则对实施专项工程子目的单价按里程及时间进行折算，相应工程子目单价每月折减 2％。（适用于日常小修工程项目） </w:t>
      </w:r>
    </w:p>
    <w:p w14:paraId="54DBA4D0">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15.4.3 已标价工程量清单中有适用于变更工作的子目的，采用该子目的单价。 </w:t>
      </w:r>
    </w:p>
    <w:p w14:paraId="52A57783">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15.4.4 已标价工程量清单中无适用于变更工作的子目，但有类似子目的，可在合理范围内参照类似子目的单价，由监理人按第 3.5 款商定或确定变更工作的单价。 </w:t>
      </w:r>
    </w:p>
    <w:p w14:paraId="22453F4B">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15.4.5 已标价工程量清单中无适用或类似子目的单价，可在综合考虑承包人在投标时所提供的单价分析表的基础上，由监理人按第 3.5 款商定或确定变更工作的单价。 </w:t>
      </w:r>
    </w:p>
    <w:p w14:paraId="2E232F91">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15.4.6 如果本工程的变更指示是因承包人过错、承包人违反合同或承包人责任造成的，则这种违约引起的任何额外费用应由承包人承担。 </w:t>
      </w:r>
    </w:p>
    <w:p w14:paraId="72B16CE0">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15.5  承包人的合理化建议</w:t>
      </w:r>
      <w:bookmarkEnd w:id="645"/>
    </w:p>
    <w:p w14:paraId="15DC094D">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bookmarkStart w:id="646" w:name="_Toc18766"/>
      <w:r>
        <w:rPr>
          <w:rFonts w:hint="eastAsia" w:ascii="宋体" w:hAnsi="Times New Roman" w:eastAsia="Times New Roman" w:cs="Times New Roman"/>
          <w:color w:val="auto"/>
          <w:szCs w:val="21"/>
          <w:highlight w:val="none"/>
          <w:lang w:val="en-US" w:eastAsia="zh-CN"/>
        </w:rPr>
        <w:t xml:space="preserve">15.5.1 在履行合同过程中，承包人对发包人提供的图纸、技术要求以及其它方面提出的合理化建议，均应以书面形式提交监理人。合理化建议书的内容应包括建议工作的详细说明、进度计划和效益以及与其它工作的协调等，并附必要的设计文件。监理人应与发包人协商是否采纳建议。建议被采纳并构成变更的，应按第 15.3.3 项约定向承包人发出变更指示。 </w:t>
      </w:r>
    </w:p>
    <w:p w14:paraId="7667B0BC">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15.5.2 承包人提出的合理化建议降低了合同价格、缩短了工期或者提高了工程经济效益的，发包人可按国家有关规定在专用合同条款中约定给予奖励。</w:t>
      </w:r>
    </w:p>
    <w:p w14:paraId="2FDCE744">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15.6  暂列金额</w:t>
      </w:r>
      <w:bookmarkEnd w:id="646"/>
    </w:p>
    <w:p w14:paraId="227E226A">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bookmarkStart w:id="647" w:name="_Toc27373"/>
      <w:r>
        <w:rPr>
          <w:rFonts w:hint="eastAsia" w:ascii="宋体" w:hAnsi="Times New Roman" w:eastAsia="Times New Roman" w:cs="Times New Roman"/>
          <w:color w:val="auto"/>
          <w:szCs w:val="21"/>
          <w:highlight w:val="none"/>
          <w:lang w:val="en-US" w:eastAsia="zh-CN"/>
        </w:rPr>
        <w:t xml:space="preserve">15.6.1 暂列金额应由监理人报发包人批准后指令全部或部分地使用，或者根本不予动用。 </w:t>
      </w:r>
    </w:p>
    <w:p w14:paraId="72AFDE33">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15.6.2 对于经发包人批准的每一笔暂列金额，监理人有权向承包人发出实施工程或提供材料或服务的指令。这些指令应由承包人完成，监理人应根据第 15.4 款约定的变更估价原则和第 15.7 款的规定，对合同价格进行相应调整。 </w:t>
      </w:r>
    </w:p>
    <w:p w14:paraId="0C80A6C0">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15.6.3 当监理人提出要求时，承包人应提供有关暂列金额支出的所有报价单、发票、凭证和账单或收据，除非该工作是根据已标价工程量清单列明的单价或总额价进行的估价。</w:t>
      </w:r>
    </w:p>
    <w:p w14:paraId="00E67CD2">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15.7 计日工 </w:t>
      </w:r>
    </w:p>
    <w:p w14:paraId="6A08C480">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15.7.1 发包人认为有必要时，由监理人通知承包人以计日工方式实施变更的零星工作。其价款按列入已标价工程量清单中的计日工计价子目及其单价进行计算。 </w:t>
      </w:r>
    </w:p>
    <w:p w14:paraId="5674ED4C">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15.7.2 采用计日工计价的任何一项变更工作，应从暂列金额中支付，承包人应在该项变更的实施过程中，每天提交以下报表和有关凭证报送监理人审批： </w:t>
      </w:r>
    </w:p>
    <w:p w14:paraId="2D3940A1">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（1）工作名称、内容和数量； </w:t>
      </w:r>
    </w:p>
    <w:p w14:paraId="0E1D4F96">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（2）投入该工作所有人员的姓名、工种、级别和耗用工时； </w:t>
      </w:r>
    </w:p>
    <w:p w14:paraId="43A2C9A2">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（3）投入该工作的材料类别和数量； </w:t>
      </w:r>
    </w:p>
    <w:p w14:paraId="73779DDA">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（4）投入该工作的施工设备型号、台数和耗用台时； </w:t>
      </w:r>
    </w:p>
    <w:p w14:paraId="28ECFFA9">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（5）监理人要求提交的其它资料和凭证。 </w:t>
      </w:r>
    </w:p>
    <w:p w14:paraId="1E7561B0">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15.7.3 计日工由承包人汇总后，按第 17.3.2 项的约定列入进度付款申请单，由监理人复核并经发包人同意后列入进度付款。 </w:t>
      </w:r>
    </w:p>
    <w:p w14:paraId="6412E3DE">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15.8 暂估价 </w:t>
      </w:r>
    </w:p>
    <w:p w14:paraId="5D8187D9">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15.8.1 发包人在工程量清单中给定暂估价的材料、工程设备和专业工程属于依法必须招标的范围并达到规定的规模标准的，由发包人和承包人以招标的方式选择供应商或分包人。发包人和承包人的权利义务关系在专用合同条款中约定。中标金额与工程量清单中所列的暂估价的金额差以及相应的税金等其它费用列入合同价格。 </w:t>
      </w:r>
    </w:p>
    <w:p w14:paraId="3AE7FF83">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15.8.2 发包人在工程量清单中给定暂估价的材料和工程设备不属于依法必须招标的范围或未达到规定的规模标准的，应由承包人按第 5.1 款的约定提供。经监理人确认的材料、工程设备的价格与工程量清单中所列的暂估价的金额差以及相应的税金等其它费用列入合同价格。 </w:t>
      </w:r>
    </w:p>
    <w:p w14:paraId="5E0E0FE4">
      <w:pPr>
        <w:pStyle w:val="9"/>
        <w:tabs>
          <w:tab w:val="left" w:pos="2790"/>
        </w:tabs>
        <w:snapToGrid w:val="0"/>
        <w:spacing w:line="400" w:lineRule="exact"/>
        <w:ind w:firstLine="420" w:firstLineChars="200"/>
        <w:rPr>
          <w:rFonts w:hint="eastAsia"/>
          <w:color w:val="auto"/>
          <w:highlight w:val="none"/>
          <w:lang w:val="en-US" w:eastAsia="zh-CN"/>
        </w:rPr>
      </w:pPr>
      <w:r>
        <w:rPr>
          <w:rFonts w:hint="eastAsia" w:ascii="宋体" w:hAnsi="Times New Roman" w:eastAsia="Times New Roman" w:cs="Times New Roman"/>
          <w:color w:val="auto"/>
          <w:szCs w:val="21"/>
          <w:highlight w:val="none"/>
          <w:lang w:val="en-US" w:eastAsia="zh-CN"/>
        </w:rPr>
        <w:t>15.8.3 发包人在工程量清单中给定暂估价的专业工程不属于依法必须招标的范围或未达到规定的规模标准的，由监理人按照第 15.4 款进行估价，但专用合同条款另有约定的除外。经估价的专业工程与工程量清单中所列的暂估价的金额差以及相应的税金等其它费用列入合同价格。</w:t>
      </w:r>
    </w:p>
    <w:p w14:paraId="3A078122">
      <w:pPr>
        <w:pStyle w:val="9"/>
        <w:keepNext w:val="0"/>
        <w:keepLines w:val="0"/>
        <w:pageBreakBefore w:val="0"/>
        <w:widowControl w:val="0"/>
        <w:tabs>
          <w:tab w:val="left" w:pos="2790"/>
        </w:tabs>
        <w:kinsoku/>
        <w:wordWrap/>
        <w:overflowPunct/>
        <w:topLinePunct w:val="0"/>
        <w:autoSpaceDE/>
        <w:autoSpaceDN/>
        <w:bidi w:val="0"/>
        <w:adjustRightInd/>
        <w:snapToGrid w:val="0"/>
        <w:spacing w:before="157" w:beforeLines="50" w:after="157" w:afterLines="50" w:line="400" w:lineRule="exact"/>
        <w:textAlignment w:val="auto"/>
        <w:outlineLvl w:val="2"/>
        <w:rPr>
          <w:rFonts w:hint="eastAsia" w:ascii="黑体" w:hAnsi="Times New Roman" w:eastAsia="黑体" w:cs="Times New Roman"/>
          <w:color w:val="auto"/>
          <w:sz w:val="28"/>
          <w:szCs w:val="28"/>
          <w:highlight w:val="none"/>
        </w:rPr>
      </w:pPr>
      <w:bookmarkStart w:id="648" w:name="_Toc31456"/>
      <w:r>
        <w:rPr>
          <w:rFonts w:hint="eastAsia" w:ascii="黑体" w:hAnsi="Times New Roman" w:eastAsia="黑体" w:cs="Times New Roman"/>
          <w:color w:val="auto"/>
          <w:sz w:val="28"/>
          <w:szCs w:val="28"/>
          <w:highlight w:val="none"/>
        </w:rPr>
        <w:t>16.价格调整</w:t>
      </w:r>
      <w:bookmarkEnd w:id="647"/>
      <w:bookmarkEnd w:id="648"/>
    </w:p>
    <w:p w14:paraId="62D13995">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bookmarkStart w:id="649" w:name="_Toc6220"/>
      <w:r>
        <w:rPr>
          <w:rFonts w:hint="eastAsia" w:ascii="宋体" w:hAnsi="宋体" w:eastAsia="宋体" w:cs="宋体"/>
          <w:b/>
          <w:bCs/>
          <w:color w:val="auto"/>
          <w:szCs w:val="21"/>
          <w:highlight w:val="none"/>
          <w:lang w:val="en-US" w:eastAsia="zh-CN"/>
        </w:rPr>
        <w:t>16.1  物价波动引起的价格调整</w:t>
      </w:r>
      <w:bookmarkEnd w:id="649"/>
    </w:p>
    <w:p w14:paraId="71BC28A2">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bookmarkStart w:id="650" w:name="_Toc18795"/>
      <w:r>
        <w:rPr>
          <w:rFonts w:hint="eastAsia" w:ascii="宋体" w:hAnsi="Times New Roman" w:eastAsia="Times New Roman" w:cs="Times New Roman"/>
          <w:color w:val="auto"/>
          <w:szCs w:val="21"/>
          <w:highlight w:val="none"/>
          <w:lang w:val="en-US" w:eastAsia="zh-CN"/>
        </w:rPr>
        <w:t xml:space="preserve">物价波动引起的价格调整在项目专用合同条款中明确。 </w:t>
      </w:r>
    </w:p>
    <w:p w14:paraId="65B8D92E">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16.2 法律变化引起的价格调整 </w:t>
      </w:r>
    </w:p>
    <w:p w14:paraId="1A126B12">
      <w:pPr>
        <w:pStyle w:val="9"/>
        <w:tabs>
          <w:tab w:val="left" w:pos="2790"/>
        </w:tabs>
        <w:snapToGrid w:val="0"/>
        <w:spacing w:line="400" w:lineRule="exact"/>
        <w:ind w:firstLine="420" w:firstLineChars="200"/>
        <w:rPr>
          <w:rFonts w:hint="eastAsia"/>
          <w:color w:val="auto"/>
          <w:highlight w:val="none"/>
          <w:lang w:val="en-US" w:eastAsia="zh-CN"/>
        </w:rPr>
      </w:pPr>
      <w:r>
        <w:rPr>
          <w:rFonts w:hint="eastAsia" w:ascii="宋体" w:hAnsi="Times New Roman" w:eastAsia="Times New Roman" w:cs="Times New Roman"/>
          <w:color w:val="auto"/>
          <w:szCs w:val="21"/>
          <w:highlight w:val="none"/>
          <w:lang w:val="en-US" w:eastAsia="zh-CN"/>
        </w:rPr>
        <w:t>在基准日后，因法律变化导致承包人在合同履行中所需要的工程费用发生除第 16.1 款约定以外的增减时，监理人应根据法律、国家或省、自治区、直辖市有关部门的规定，按第 3.5 款商定或确定需调整的合同价款。</w:t>
      </w:r>
    </w:p>
    <w:p w14:paraId="5F801EB0">
      <w:pPr>
        <w:pStyle w:val="9"/>
        <w:keepNext w:val="0"/>
        <w:keepLines w:val="0"/>
        <w:pageBreakBefore w:val="0"/>
        <w:widowControl w:val="0"/>
        <w:tabs>
          <w:tab w:val="left" w:pos="2790"/>
        </w:tabs>
        <w:kinsoku/>
        <w:wordWrap/>
        <w:overflowPunct/>
        <w:topLinePunct w:val="0"/>
        <w:autoSpaceDE/>
        <w:autoSpaceDN/>
        <w:bidi w:val="0"/>
        <w:adjustRightInd/>
        <w:snapToGrid w:val="0"/>
        <w:spacing w:before="157" w:beforeLines="50" w:after="157" w:afterLines="50" w:line="400" w:lineRule="exact"/>
        <w:textAlignment w:val="auto"/>
        <w:outlineLvl w:val="2"/>
        <w:rPr>
          <w:rFonts w:hint="eastAsia" w:ascii="黑体" w:hAnsi="Times New Roman" w:eastAsia="黑体" w:cs="Times New Roman"/>
          <w:color w:val="auto"/>
          <w:sz w:val="28"/>
          <w:szCs w:val="28"/>
          <w:highlight w:val="none"/>
        </w:rPr>
      </w:pPr>
      <w:bookmarkStart w:id="651" w:name="_Toc9733"/>
      <w:r>
        <w:rPr>
          <w:rFonts w:hint="eastAsia" w:ascii="黑体" w:hAnsi="Times New Roman" w:eastAsia="黑体" w:cs="Times New Roman"/>
          <w:color w:val="auto"/>
          <w:sz w:val="28"/>
          <w:szCs w:val="28"/>
          <w:highlight w:val="none"/>
        </w:rPr>
        <w:t>17.计量与支付</w:t>
      </w:r>
      <w:bookmarkEnd w:id="650"/>
      <w:bookmarkEnd w:id="651"/>
    </w:p>
    <w:p w14:paraId="3C3FDF56">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bookmarkStart w:id="652" w:name="_Toc31363"/>
      <w:r>
        <w:rPr>
          <w:rFonts w:hint="eastAsia" w:ascii="宋体" w:hAnsi="宋体" w:eastAsia="宋体" w:cs="宋体"/>
          <w:b/>
          <w:bCs/>
          <w:color w:val="auto"/>
          <w:szCs w:val="21"/>
          <w:highlight w:val="none"/>
          <w:lang w:val="en-US" w:eastAsia="zh-CN"/>
        </w:rPr>
        <w:t>17.1  计量</w:t>
      </w:r>
      <w:bookmarkEnd w:id="652"/>
    </w:p>
    <w:p w14:paraId="521D1217">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bookmarkStart w:id="653" w:name="_Toc2380"/>
      <w:r>
        <w:rPr>
          <w:rFonts w:hint="eastAsia" w:ascii="宋体" w:hAnsi="Times New Roman" w:eastAsia="Times New Roman" w:cs="Times New Roman"/>
          <w:color w:val="auto"/>
          <w:szCs w:val="21"/>
          <w:highlight w:val="none"/>
          <w:lang w:val="en-US" w:eastAsia="zh-CN"/>
        </w:rPr>
        <w:t xml:space="preserve">17.1.1 计量单位 </w:t>
      </w:r>
    </w:p>
    <w:p w14:paraId="546D6AFE">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计量采用国家法定的计量单位。 </w:t>
      </w:r>
    </w:p>
    <w:p w14:paraId="4B97AC78">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17.1.2 计量方法（适用于日常小修工程） </w:t>
      </w:r>
    </w:p>
    <w:p w14:paraId="41F509B4">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日常小修工程的总承包项目，须经发包人或公路行业主管部门进行的养护检查和考核，如对本合同养护工程质量目标能达标（或基本达标）的，发包人可以进行小修保养季（年）度总承包养护价款的支付。 </w:t>
      </w:r>
    </w:p>
    <w:p w14:paraId="521C124D">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专项养护工程的工程计量以工程细目的实际完成工程量按量计价，并经验收合格进行工程的计量。 </w:t>
      </w:r>
    </w:p>
    <w:p w14:paraId="6D905585">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承包人应与发包人共同参与对专项养护工程的计量，提供计量所需的详细资料和必要的人员、设备及相关的记录或者图纸。 </w:t>
      </w:r>
    </w:p>
    <w:p w14:paraId="42BFFB9C">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17.1.2 计量方法（适用于养护工程） </w:t>
      </w:r>
    </w:p>
    <w:p w14:paraId="5FCA7184">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工程的计量以净值为准，除非专用合同条款另有约定。工程量清单各个子目的具体计量方法按本合同文件技术规范中的规定执行。 </w:t>
      </w:r>
    </w:p>
    <w:p w14:paraId="25806B6A">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17.1.3 计量周期 </w:t>
      </w:r>
    </w:p>
    <w:p w14:paraId="249A3B72">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除专用合同条款另有约定外，单价子目已完成工程量按月计量，总价子目的计量周期按批准的支付分解报告确定。 </w:t>
      </w:r>
    </w:p>
    <w:p w14:paraId="4CE061FA">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17.1.4 单价子目的计量 </w:t>
      </w:r>
    </w:p>
    <w:p w14:paraId="507305D6">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（1）已标价工程量清单中的单价子目工程量为估算工程量。结算工程量是承包人实际完成的，并按合同约定的计量方法进行计量的工程量。 </w:t>
      </w:r>
    </w:p>
    <w:p w14:paraId="0863EAE6">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（2）承包人对已完成的工程进行计量，向监理人提交进度付款申请单、已完成工程量报表和有关计量资料。 </w:t>
      </w:r>
    </w:p>
    <w:p w14:paraId="465793D6">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（3）监理人对承包人提交的工程量报表进行复核，以确定实际完成的工程量。对数量有异议的，可要求承包人按第 8.2 款约定进行共同复核和抽样复测。承包人应协助监理人进行复核并按监理人要求提供补充计量资料。承包人未按监理人要求参加复核，监理人复核或修正的工程量视为承包人实际完成的工程量。 </w:t>
      </w:r>
    </w:p>
    <w:p w14:paraId="05777C78">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（4）监理人认为有必要时，可通知承包人共同进行联合测量、计量，承包人应遵照执行。</w:t>
      </w:r>
    </w:p>
    <w:p w14:paraId="0A5FC793">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 </w:t>
      </w:r>
    </w:p>
    <w:p w14:paraId="7F0AF6B3">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（6）监理人应在收到承包人提交的工程量报表后的 7 天内进行复核，监理人未在约定时间内复核的，承包人提交的工程量报表中的工程量视为承包人实际完成的工程量，据此计算工程价款。 </w:t>
      </w:r>
    </w:p>
    <w:p w14:paraId="09CF51CC">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（7）承包人未在已标价工程量清单中填入单价或总额价的工程子目，将被认为其已包含在本合同的其它子目的单价和总额价中，发包人将不另行支付。 </w:t>
      </w:r>
    </w:p>
    <w:p w14:paraId="2E473EB9">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工程量清单中的工程量计算规则应按有关国家标准、行业标准的规定，并在合同中约定执行。 </w:t>
      </w:r>
    </w:p>
    <w:p w14:paraId="53E4FAFB">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17.1.5 总价子目的计量 </w:t>
      </w:r>
    </w:p>
    <w:p w14:paraId="372AAD6F">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除专用合同条款另有约定外，总价子目的分解和计量按照下述约定进行。 </w:t>
      </w:r>
    </w:p>
    <w:p w14:paraId="7DC6BE75">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（1）总价子目的计量和支付应以总价为基础，不因第 16.1 款中的因素而进行调整。承包人实际完成的工程量，是进行工程目标管理和控制进度支付的依据。 </w:t>
      </w:r>
    </w:p>
    <w:p w14:paraId="5C1AC0AB">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承包人在合同约定的每个计量周期内，对已完成的工程进行计量，并向监理人提交进度付款申请单、专用合同条款约定的合同总价支付分解表所表示的阶段性或分项计量的支持性资料，以及所达到工程形象目标或分阶段需完成的工程量和有关计量资料。 </w:t>
      </w:r>
    </w:p>
    <w:p w14:paraId="6C17DDDB">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（3）监理人对承包人提交的上述资料进行复核，以确定分阶段实际完成的工程量和工程形象目标。对其有异议的，可要求承包人按第 8.2 款约定进行共同复核和抽样复测。 </w:t>
      </w:r>
    </w:p>
    <w:p w14:paraId="4557E02C">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（4）除按照第 15 条约定的变更外，总价子目的工程量是承包人用于结算的最终工程量。</w:t>
      </w:r>
    </w:p>
    <w:p w14:paraId="4C19FE82">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17.2  预付款</w:t>
      </w:r>
      <w:bookmarkEnd w:id="653"/>
    </w:p>
    <w:p w14:paraId="54D66248">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17.2.1预付款</w:t>
      </w:r>
    </w:p>
    <w:p w14:paraId="05775586">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bookmarkStart w:id="654" w:name="_Toc26737"/>
      <w:r>
        <w:rPr>
          <w:rFonts w:hint="eastAsia" w:ascii="宋体" w:hAnsi="Times New Roman" w:eastAsia="Times New Roman" w:cs="Times New Roman"/>
          <w:color w:val="auto"/>
          <w:szCs w:val="21"/>
          <w:highlight w:val="none"/>
          <w:lang w:val="en-US" w:eastAsia="zh-CN"/>
        </w:rPr>
        <w:t xml:space="preserve">预付款用于承包人为合同工程施工购置材料、工程设备、施工设备、修建临时设施以及组织施工队伍进场等。 </w:t>
      </w:r>
    </w:p>
    <w:p w14:paraId="2C73D884">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预付款包括开工预付款和材料预付款。具体额度和预付办法如下： </w:t>
      </w:r>
    </w:p>
    <w:p w14:paraId="1D8A1871">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（1）开工预付款的金额在专用合同条款数据表中约定。在承包人签订了合同协议书后，监理人应在当期进度付款证书中向承包人支付开工预付款的 70％的价款；在承包人承诺的主要设备进场后，再支付预付款的 30％。 </w:t>
      </w:r>
    </w:p>
    <w:p w14:paraId="4B3FFC34">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承包人不得将该预付款用于与本工程无关的支出，监理人有权监督承包人对该项费用的使用。 </w:t>
      </w:r>
    </w:p>
    <w:p w14:paraId="139C46D5">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（2）材料预付款按专用合同条款数据表中所列主要材料单据费用（进口的材料、设备为到岸价，国内采购的为出厂价或销售价，地方材料为堆场价）的百分比支付。 </w:t>
      </w:r>
    </w:p>
    <w:p w14:paraId="1DB47D9A">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其预付条件为： </w:t>
      </w:r>
    </w:p>
    <w:p w14:paraId="226078E2">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a．材料符合规范要求并经监理人认可； </w:t>
      </w:r>
    </w:p>
    <w:p w14:paraId="3C20D086">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b．承包人已出具材料费用凭证或支付单据； </w:t>
      </w:r>
    </w:p>
    <w:p w14:paraId="705C9FA1">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c．材料已在现场交货，且存储良好，监理人认为材料的存储方法符合要求。 </w:t>
      </w:r>
    </w:p>
    <w:p w14:paraId="56AB23BA">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则监理人应将此项金额作为材料预付款计入下一次的进度付款证书中。在预计交工前 3 个月，将不再支付材料、设备预付款。 </w:t>
      </w:r>
    </w:p>
    <w:p w14:paraId="32CA7225">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17.2.2 预付款的扣回与还清 </w:t>
      </w:r>
    </w:p>
    <w:p w14:paraId="23592D42">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预付款扣回办法在专用合同条款中约定。 </w:t>
      </w:r>
    </w:p>
    <w:p w14:paraId="0326C5F9">
      <w:pPr>
        <w:keepNext w:val="0"/>
        <w:keepLines w:val="0"/>
        <w:widowControl/>
        <w:suppressLineNumbers w:val="0"/>
        <w:jc w:val="left"/>
        <w:rPr>
          <w:color w:val="auto"/>
          <w:highlight w:val="none"/>
        </w:rPr>
      </w:pPr>
    </w:p>
    <w:p w14:paraId="596A4B79">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17.3  工程进度付款</w:t>
      </w:r>
      <w:bookmarkEnd w:id="654"/>
    </w:p>
    <w:p w14:paraId="5EDAC7EE">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bookmarkStart w:id="655" w:name="_Toc4985"/>
      <w:r>
        <w:rPr>
          <w:rFonts w:hint="eastAsia" w:ascii="宋体" w:hAnsi="Times New Roman" w:eastAsia="Times New Roman" w:cs="Times New Roman"/>
          <w:color w:val="auto"/>
          <w:szCs w:val="21"/>
          <w:highlight w:val="none"/>
          <w:lang w:val="en-US" w:eastAsia="zh-CN"/>
        </w:rPr>
        <w:t xml:space="preserve">17.3.1 付款周期 </w:t>
      </w:r>
    </w:p>
    <w:p w14:paraId="44A5739E">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付款周期同计量周期。 </w:t>
      </w:r>
    </w:p>
    <w:p w14:paraId="06B244F1">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17.3.2 进度付款申请单 </w:t>
      </w:r>
    </w:p>
    <w:p w14:paraId="30D40F6B">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承包人应在每个付款周期末，按监理人批准的格式和专用合同条款约定的份数，向监理人提交进度付款申请单，并附相应的支持性证明文件。除专用合同条款另有约定外，进度付款申请单应包括下列内容： </w:t>
      </w:r>
    </w:p>
    <w:p w14:paraId="60551F1D">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（1）截至本次付款周期末已实施工程的价款； </w:t>
      </w:r>
    </w:p>
    <w:p w14:paraId="62DC57BD">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（2）根据第 15 条应增加和扣减的变更金额； </w:t>
      </w:r>
    </w:p>
    <w:p w14:paraId="4EB6B6F5">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（3）根据第 23 条应增加和扣减的索赔金额； </w:t>
      </w:r>
    </w:p>
    <w:p w14:paraId="1F58EF8D">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（4）根据第 17.2 款约定应支付的预付款和扣减的返还预付款； </w:t>
      </w:r>
    </w:p>
    <w:p w14:paraId="0602C6BF">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（5）根据合同应增加和扣减的其它金额。 </w:t>
      </w:r>
    </w:p>
    <w:p w14:paraId="56A306F6">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17.3.3 进度付款证书和支付时间 </w:t>
      </w:r>
    </w:p>
    <w:p w14:paraId="7BF4C9C4">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（1）监理人在收到承包人进度付款申请单以及相应的支持性证明文件后的 7 天内完成核查并报送发包人，发包人应在收到后 7 天内完成审批并通过监理人向承包人出具签发进度款支付证书。发包人逾期（包括因监理人原因延误报送的时间）未完成审批且未提出异议的，视为已签发进度款支付证书。监理人有权核减承包人未能按照合同要求履行任何工作或义务的相应金额。</w:t>
      </w:r>
    </w:p>
    <w:p w14:paraId="66A2D76E">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（2）日常小修年度总承包的养护工程价款的支付按以下办法进行： </w:t>
      </w:r>
    </w:p>
    <w:p w14:paraId="3F90B831">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a．以日常小修年度总承包的工程价款支付，以签约合同总价分季度按比例支付，第 1 个季度 ％、第 2 个季度 ％、第 3 个季度 ％……。以每季首月的前 15日内支付。 </w:t>
      </w:r>
    </w:p>
    <w:p w14:paraId="3F771B3F">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b．专项养护工程的养护合同工程价款，经发包人以各工程子目的计量并经验收合格后，与总承包养护项目工程价款合并按季支付。 </w:t>
      </w:r>
    </w:p>
    <w:p w14:paraId="25C042E5">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c．承包人应填按季支付结账单报发包人审批。按季结算支付的中期支付证书应包括材料预付款按规定扣回的款额。 </w:t>
      </w:r>
    </w:p>
    <w:p w14:paraId="21E122E9">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d．承包人应按月如实向发包人报送项目的农民工工资支付情况。承包人没有按时报送农民工工资支付情况的，发包人将暂缓支付当季应支付的工程价款。 </w:t>
      </w:r>
    </w:p>
    <w:p w14:paraId="598AC479">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（2）养护工程价款的支付按以下办法进行： </w:t>
      </w:r>
    </w:p>
    <w:p w14:paraId="5B477C78">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如果该付款周期应结算的价款经扣留和扣回后的款额少于专用合同条款数据表中列明的进度付款证书的最低金额，则该付款周期监理人可不核证支付，上述款额将按付款周期结转，直至累计应支付的款额达到专用合同条款数据表中列明的进度付款证书的最低金额为止。 </w:t>
      </w:r>
    </w:p>
    <w:p w14:paraId="685E4228">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（3）发包人应在监理人收到进度付款申请单后的 28 天内，将进度应付款支付给承包人。 </w:t>
      </w:r>
    </w:p>
    <w:p w14:paraId="20E30832">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发包人不按期支付的，按专用合同条款数据表中约定的利率向承包人支付逾期付款违约金。违约金计算基数为发包人的全部未付款额，时间从应付而未付该款额之日算起（不计复利）。 </w:t>
      </w:r>
    </w:p>
    <w:p w14:paraId="176DF86F">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（4）监理人出具进度付款证书，不应视为监理人已同意、批准或接受了承包人完成的该部分工作。 </w:t>
      </w:r>
    </w:p>
    <w:p w14:paraId="657CC5E4">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（5）进度付款涉及政府投资资金的，按照国库集中支付等国家相关规定和专用合同条款的约定办理。 </w:t>
      </w:r>
    </w:p>
    <w:p w14:paraId="5C0DA5FC">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17.3.4 工程进度付款的修正 </w:t>
      </w:r>
    </w:p>
    <w:p w14:paraId="75EF3557">
      <w:pPr>
        <w:pStyle w:val="9"/>
        <w:tabs>
          <w:tab w:val="left" w:pos="2790"/>
        </w:tabs>
        <w:snapToGrid w:val="0"/>
        <w:spacing w:line="400" w:lineRule="exact"/>
        <w:ind w:firstLine="420" w:firstLineChars="200"/>
        <w:rPr>
          <w:rFonts w:hint="eastAsia" w:ascii="黑体" w:eastAsia="黑体"/>
          <w:color w:val="auto"/>
          <w:szCs w:val="21"/>
          <w:highlight w:val="none"/>
        </w:rPr>
      </w:pPr>
      <w:r>
        <w:rPr>
          <w:rFonts w:hint="eastAsia" w:ascii="宋体" w:hAnsi="Times New Roman" w:eastAsia="Times New Roman" w:cs="Times New Roman"/>
          <w:color w:val="auto"/>
          <w:szCs w:val="21"/>
          <w:highlight w:val="none"/>
          <w:lang w:val="en-US" w:eastAsia="zh-CN"/>
        </w:rPr>
        <w:t xml:space="preserve">在对以往历次已签发的进度付款证书进行汇总和复核中发现错、漏或重复的，监理人有权予以修正，承包人也有权提出修正申请。经双方复核同意的修正，应在本次进度付款中支付或扣除。 </w:t>
      </w:r>
    </w:p>
    <w:p w14:paraId="1BFF36D3">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17.4  质量保证金</w:t>
      </w:r>
      <w:bookmarkEnd w:id="655"/>
    </w:p>
    <w:p w14:paraId="1F37905E">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bookmarkStart w:id="656" w:name="_Toc14382"/>
      <w:r>
        <w:rPr>
          <w:rFonts w:hint="eastAsia" w:ascii="宋体" w:hAnsi="Times New Roman" w:eastAsia="Times New Roman" w:cs="Times New Roman"/>
          <w:color w:val="auto"/>
          <w:szCs w:val="21"/>
          <w:highlight w:val="none"/>
          <w:lang w:val="en-US" w:eastAsia="zh-CN"/>
        </w:rPr>
        <w:t xml:space="preserve">17.4.1 质量保证金可以采用现金、支票或工程保函形式（按照“关于在全省工程建设领域改革保证金制度的通知”（浙建〔2020〕7 号）及最新相关文件要求，工程保函包括银行保函、保险机构保证保险保单和融资性担保公司保函），金额应符合项目专用合同条款数据表的规定。采用工程保函时，出具保函的机构须具有相应担保能力，且按照发包人批准的格式出具，所需费用由承包人承担。 </w:t>
      </w:r>
    </w:p>
    <w:p w14:paraId="0FA215F5">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质量保证金采用现金、支票形式提交的，发包人应在项目专用合同条款数据表中明确是否计付利息及利息的计算方式。 </w:t>
      </w:r>
    </w:p>
    <w:p w14:paraId="2256EDEA">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17.4.2 在第 1.1.4.5 目约定的缺陷责任期满时，承包人向发包人申请到期应返还承包人剩余的质量保证金金额，发包人应在 14 天内会同承包人按照合同约定的内容核实承包人是否完成缺陷责任。如无异议，发包人应当在核实后将剩余保证金返还承包人。 </w:t>
      </w:r>
    </w:p>
    <w:p w14:paraId="6A38F370">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17.4.3 在第 1.1.4.5 目约定的缺陷责任期满时，承包人没有完成缺陷责任的，发包人有权扣留与未履行责任剩余工作所需金额相应的质量保证金余额，并有权根据第 19.3 款约定要求延长缺陷责任期，直至完成剩余工作为止。 </w:t>
      </w:r>
    </w:p>
    <w:p w14:paraId="2F43AF8B">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17.5  交（竣）工结算</w:t>
      </w:r>
      <w:bookmarkEnd w:id="656"/>
    </w:p>
    <w:p w14:paraId="52F7E69E">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bookmarkStart w:id="657" w:name="_Toc6931"/>
      <w:r>
        <w:rPr>
          <w:rFonts w:hint="eastAsia" w:ascii="宋体" w:hAnsi="Times New Roman" w:eastAsia="Times New Roman" w:cs="Times New Roman"/>
          <w:color w:val="auto"/>
          <w:szCs w:val="21"/>
          <w:highlight w:val="none"/>
          <w:lang w:val="en-US" w:eastAsia="zh-CN"/>
        </w:rPr>
        <w:t xml:space="preserve">17.5.1 交工付款申请单（适用于日常小修工程） </w:t>
      </w:r>
    </w:p>
    <w:p w14:paraId="418CDB1B">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（1）承包人向监理人提交交工付款申请单（包括相关证明材料）的份数在专用合同条款数据表中约定；期限：交工验收证书签发后 42 天内。 </w:t>
      </w:r>
    </w:p>
    <w:p w14:paraId="0C1E8720">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工程接收证书颁发后，承包人应按专用合同条款约定的份数和期限向监理人提交工付款申请单，并提供相关证明材料。除专用合同条款另有约定外，交工付款申请单应包括下列内容：交工结算合同总价、发包人已支付承包人的工程价款、应扣留的质量保证金、应支付的交工付款金额。 </w:t>
      </w:r>
    </w:p>
    <w:p w14:paraId="0FF05CCB">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（3）监理人对交工付款申请单有异议的，有权要求承包人进行修正和提供补充资料。经监理人和承包人协商后，由承包人向监理人提交修正后的交工付款申请单。 </w:t>
      </w:r>
    </w:p>
    <w:p w14:paraId="133C23F8">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17.5.1 竣工付款申请单（适用养护工程） </w:t>
      </w:r>
    </w:p>
    <w:p w14:paraId="2FA48114">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工程接收证书颁发后，承包人应按专用合同条款约定的份数和期限向监理人提交竣工付款申请单，并提供相关证明材料。除专用合同条款另有约定外，竣工付款申请单应包括下列内容：竣工结算合同总价、发包人已支付承包人的工程价款、应扣留的质量保证金、应支付的竣工付款金额。 </w:t>
      </w:r>
    </w:p>
    <w:p w14:paraId="261B85EF">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（2）监理人对竣工付款申请单有异议的，有权要求承包人进行修正和提供补充资料。经监理人和承包人协商后，由承包人向监理人提交修正后的竣工付款申请单。 </w:t>
      </w:r>
    </w:p>
    <w:p w14:paraId="4A40048F">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17.5.2 竣工付款证书及支付时间 </w:t>
      </w:r>
    </w:p>
    <w:p w14:paraId="419FC887">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（1）监理人在收到承包人提交的竣工付款申请单后的 14 天内完成核查，提出发包人到期应支付给承包人的价款送发包人审核并抄送承包人。发包人应在收到后 14 天内审核完毕，由监理人向承包人出具经发包人签认的竣工付款证书。监理人未在约定时间内核查，又未提出具体意见的，视为承包人提交的竣工付款申请单已经监理人核查同意；发包人未在约定时间内审核又未提出具体意见的，监理人提出发包人到期应支付给承包人的价款视为已经发包人同意。 </w:t>
      </w:r>
    </w:p>
    <w:p w14:paraId="551E0BDD">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（2）发包人应在监理人出具竣工付款证书后的 14 天内，将应支付款支付给承包人。发包人不按期支付的，按第 17.3.3（2）目的约定，将逾期付款违约金支付给承包人。 </w:t>
      </w:r>
    </w:p>
    <w:p w14:paraId="35327B35">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（3）承包人对发包人签认的竣工付款证书有异议的，发包人可出具竣工付款申请单中承包人已同意部分的临时付款证书。存在争议的部分，按第 24 条的约定办理。 </w:t>
      </w:r>
    </w:p>
    <w:p w14:paraId="7E1FCA7D">
      <w:pPr>
        <w:pStyle w:val="9"/>
        <w:tabs>
          <w:tab w:val="left" w:pos="2790"/>
        </w:tabs>
        <w:snapToGrid w:val="0"/>
        <w:spacing w:line="400" w:lineRule="exact"/>
        <w:ind w:firstLine="420" w:firstLineChars="200"/>
        <w:rPr>
          <w:rFonts w:hint="eastAsia" w:ascii="宋体" w:hAnsi="宋体" w:eastAsia="宋体" w:cs="宋体"/>
          <w:b/>
          <w:bCs/>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（4）竣工付款涉及政府投资资金的，按第 17.3.3（4）目的约定办理。 </w:t>
      </w:r>
    </w:p>
    <w:p w14:paraId="7509E1F5">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17.6  最终结清</w:t>
      </w:r>
      <w:bookmarkEnd w:id="657"/>
    </w:p>
    <w:p w14:paraId="4FCCE0AA">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bookmarkStart w:id="658" w:name="_Toc30721"/>
      <w:r>
        <w:rPr>
          <w:rFonts w:hint="eastAsia" w:ascii="宋体" w:hAnsi="Times New Roman" w:eastAsia="Times New Roman" w:cs="Times New Roman"/>
          <w:color w:val="auto"/>
          <w:szCs w:val="21"/>
          <w:highlight w:val="none"/>
          <w:lang w:val="en-US" w:eastAsia="zh-CN"/>
        </w:rPr>
        <w:t xml:space="preserve">17.6.1 最终结清申请单 </w:t>
      </w:r>
    </w:p>
    <w:p w14:paraId="49F7430D">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（1）缺陷责任期终止证书签发后，承包人可按专用合同条款约定的份数和期限向监理人提交最终结清申请单，并提供相关证明材料。 </w:t>
      </w:r>
    </w:p>
    <w:p w14:paraId="18D9EA8B">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承包人向监理人提交最终结清申请单（包括相关证明材料）的份数在专用合同条款数据表中约定；期限：缺陷责任期终止证书签发后 28 天内。 </w:t>
      </w:r>
    </w:p>
    <w:p w14:paraId="3972028D">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最终结清申请单中的总金额应认为是代表了根据合同规定应付给承包人的全部款项的最后结算。 </w:t>
      </w:r>
    </w:p>
    <w:p w14:paraId="59AE7AC3">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（2）发包人对最终结清申请单内容有异议的，有权要求承包人进行修正和提供补充资料，由承包人向监理人提交修正后的最终结清申请单。 </w:t>
      </w:r>
    </w:p>
    <w:p w14:paraId="0C4046A9">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17.6.2 最终结清证书和支付时间 </w:t>
      </w:r>
    </w:p>
    <w:p w14:paraId="5540FD7E">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（1）监理人收到承包人提交的最终结清申请单后的 14 天内，提出发包人应支付给承包人的价款送发包人审核并抄送承包人。发包人应在收到后 14 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 </w:t>
      </w:r>
    </w:p>
    <w:p w14:paraId="08F8BFE0">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（2）发包人应在监理人出具最终结清证书后的 14 天内，将应支付款支付给承包人。发包人不按期支付的，按第 17.3.3（2）目的约定，将逾期付款违约金支付给承包人。</w:t>
      </w:r>
    </w:p>
    <w:p w14:paraId="381CC8BC">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（3）承包人对发包人签认的最终结清证书有异议的，按第 24 条的约定办理。 </w:t>
      </w:r>
    </w:p>
    <w:p w14:paraId="7DC6E566">
      <w:pPr>
        <w:pStyle w:val="9"/>
        <w:tabs>
          <w:tab w:val="left" w:pos="2790"/>
        </w:tabs>
        <w:snapToGrid w:val="0"/>
        <w:spacing w:line="400" w:lineRule="exact"/>
        <w:ind w:firstLine="420" w:firstLineChars="200"/>
        <w:rPr>
          <w:rFonts w:hint="eastAsia" w:ascii="黑体" w:eastAsia="黑体"/>
          <w:color w:val="auto"/>
          <w:sz w:val="30"/>
          <w:szCs w:val="30"/>
          <w:highlight w:val="none"/>
        </w:rPr>
      </w:pPr>
      <w:r>
        <w:rPr>
          <w:rFonts w:hint="eastAsia" w:ascii="宋体" w:hAnsi="Times New Roman" w:eastAsia="Times New Roman" w:cs="Times New Roman"/>
          <w:color w:val="auto"/>
          <w:szCs w:val="21"/>
          <w:highlight w:val="none"/>
          <w:lang w:val="en-US" w:eastAsia="zh-CN"/>
        </w:rPr>
        <w:t xml:space="preserve">（4）最终结清付款涉及政府投资资金的，按第 17.3.3（4）目的约定办理。 </w:t>
      </w:r>
    </w:p>
    <w:p w14:paraId="20252F80">
      <w:pPr>
        <w:pStyle w:val="9"/>
        <w:keepNext w:val="0"/>
        <w:keepLines w:val="0"/>
        <w:pageBreakBefore w:val="0"/>
        <w:widowControl w:val="0"/>
        <w:tabs>
          <w:tab w:val="left" w:pos="2790"/>
        </w:tabs>
        <w:kinsoku/>
        <w:wordWrap/>
        <w:overflowPunct/>
        <w:topLinePunct w:val="0"/>
        <w:autoSpaceDE/>
        <w:autoSpaceDN/>
        <w:bidi w:val="0"/>
        <w:adjustRightInd/>
        <w:snapToGrid w:val="0"/>
        <w:spacing w:before="157" w:beforeLines="50" w:after="157" w:afterLines="50" w:line="400" w:lineRule="exact"/>
        <w:textAlignment w:val="auto"/>
        <w:outlineLvl w:val="2"/>
        <w:rPr>
          <w:rFonts w:hint="eastAsia" w:ascii="黑体" w:hAnsi="Times New Roman" w:eastAsia="黑体" w:cs="Times New Roman"/>
          <w:color w:val="auto"/>
          <w:sz w:val="28"/>
          <w:szCs w:val="28"/>
          <w:highlight w:val="none"/>
        </w:rPr>
      </w:pPr>
      <w:bookmarkStart w:id="659" w:name="_Toc1495"/>
      <w:r>
        <w:rPr>
          <w:rFonts w:hint="eastAsia" w:ascii="黑体" w:hAnsi="Times New Roman" w:eastAsia="黑体" w:cs="Times New Roman"/>
          <w:color w:val="auto"/>
          <w:sz w:val="28"/>
          <w:szCs w:val="28"/>
          <w:highlight w:val="none"/>
        </w:rPr>
        <w:t>18.交</w:t>
      </w:r>
      <w:r>
        <w:rPr>
          <w:rFonts w:hint="eastAsia" w:ascii="黑体" w:hAnsi="Times New Roman" w:eastAsia="黑体" w:cs="Times New Roman"/>
          <w:color w:val="auto"/>
          <w:sz w:val="28"/>
          <w:szCs w:val="28"/>
          <w:highlight w:val="none"/>
          <w:lang w:eastAsia="zh-CN"/>
        </w:rPr>
        <w:t>（</w:t>
      </w:r>
      <w:r>
        <w:rPr>
          <w:rFonts w:hint="eastAsia" w:ascii="黑体" w:hAnsi="Times New Roman" w:eastAsia="黑体" w:cs="Times New Roman"/>
          <w:color w:val="auto"/>
          <w:sz w:val="28"/>
          <w:szCs w:val="28"/>
          <w:highlight w:val="none"/>
          <w:lang w:val="en-US" w:eastAsia="zh-CN"/>
        </w:rPr>
        <w:t>竣</w:t>
      </w:r>
      <w:r>
        <w:rPr>
          <w:rFonts w:hint="eastAsia" w:ascii="黑体" w:hAnsi="Times New Roman" w:eastAsia="黑体" w:cs="Times New Roman"/>
          <w:color w:val="auto"/>
          <w:sz w:val="28"/>
          <w:szCs w:val="28"/>
          <w:highlight w:val="none"/>
          <w:lang w:eastAsia="zh-CN"/>
        </w:rPr>
        <w:t>）</w:t>
      </w:r>
      <w:r>
        <w:rPr>
          <w:rFonts w:hint="eastAsia" w:ascii="黑体" w:hAnsi="Times New Roman" w:eastAsia="黑体" w:cs="Times New Roman"/>
          <w:color w:val="auto"/>
          <w:sz w:val="28"/>
          <w:szCs w:val="28"/>
          <w:highlight w:val="none"/>
        </w:rPr>
        <w:t>工验收</w:t>
      </w:r>
      <w:bookmarkEnd w:id="658"/>
      <w:bookmarkEnd w:id="659"/>
    </w:p>
    <w:p w14:paraId="4B58A67F">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bookmarkStart w:id="660" w:name="_Toc9809"/>
      <w:r>
        <w:rPr>
          <w:rFonts w:hint="eastAsia" w:ascii="宋体" w:hAnsi="宋体" w:eastAsia="宋体" w:cs="宋体"/>
          <w:b/>
          <w:bCs/>
          <w:color w:val="auto"/>
          <w:szCs w:val="21"/>
          <w:highlight w:val="none"/>
          <w:lang w:val="en-US" w:eastAsia="zh-CN"/>
        </w:rPr>
        <w:t xml:space="preserve">18.1 交（竣）工验收的含义 </w:t>
      </w:r>
    </w:p>
    <w:p w14:paraId="13705F46">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18.1.1 交（竣）工验收指承包人完成了全部合同工作后，发包人按合同要求进行的验收。 </w:t>
      </w:r>
    </w:p>
    <w:p w14:paraId="71C5B742">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18.1.2 国家验收是政府有关部门根据法律、规范、规程和政策要求，针对发包人全面组织实施的整个工程正式交付投运前的验收。 </w:t>
      </w:r>
    </w:p>
    <w:p w14:paraId="42BFE287">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18.1.3 公路养护工程一般为交（竣）工一次性验收。 </w:t>
      </w:r>
    </w:p>
    <w:p w14:paraId="27100A53">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18.2  交（竣）工验收申请报告</w:t>
      </w:r>
      <w:bookmarkEnd w:id="660"/>
    </w:p>
    <w:p w14:paraId="5742BFC9">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bookmarkStart w:id="661" w:name="_Toc2628"/>
      <w:r>
        <w:rPr>
          <w:rFonts w:hint="eastAsia" w:ascii="宋体" w:hAnsi="Times New Roman" w:eastAsia="Times New Roman" w:cs="Times New Roman"/>
          <w:color w:val="auto"/>
          <w:szCs w:val="21"/>
          <w:highlight w:val="none"/>
          <w:lang w:val="en-US" w:eastAsia="zh-CN"/>
        </w:rPr>
        <w:t xml:space="preserve">当工程具备以下条件时，承包人即可向监理人报送竣工验收申请报告： </w:t>
      </w:r>
    </w:p>
    <w:p w14:paraId="0C5A3AF8">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（1）除监理人同意列入缺陷责任期内完成的尾工（甩项）工程和缺陷修补工作外，合同范围内的全部单位工程以及有关工作，包括合同要求的试验、试运行以及检验和验收均已完成，并符合合同要求； </w:t>
      </w:r>
    </w:p>
    <w:p w14:paraId="47CCC433">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（2）已按合同约定的内容和份数备齐了符合要求的竣工资料； </w:t>
      </w:r>
    </w:p>
    <w:p w14:paraId="0C4148FA">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竣工资料的内容：承包人应按照现行交（竣）工验收办法，编制竣工图表和施工资料。 </w:t>
      </w:r>
    </w:p>
    <w:p w14:paraId="7DC0AB2A">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竣工资料的份数在专用合同条款数据表中约定。 </w:t>
      </w:r>
    </w:p>
    <w:p w14:paraId="5DB6AA49">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（3）已按监理人的要求编制了在缺陷责任期内完成的尾工（甩项）工程和缺陷修补工作清单以及相应施工计划； </w:t>
      </w:r>
    </w:p>
    <w:p w14:paraId="312491A3">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（4）监理人要求在竣工验收前应完成的其它工作； </w:t>
      </w:r>
    </w:p>
    <w:p w14:paraId="6F4FAD57">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（5）监理人要求提交的竣工验收资料清单。 </w:t>
      </w:r>
    </w:p>
    <w:p w14:paraId="71FE6F76">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18.3  验收</w:t>
      </w:r>
      <w:bookmarkEnd w:id="661"/>
    </w:p>
    <w:p w14:paraId="23738FA1">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bookmarkStart w:id="662" w:name="_Toc5939"/>
      <w:r>
        <w:rPr>
          <w:rFonts w:hint="eastAsia" w:ascii="宋体" w:hAnsi="Times New Roman" w:eastAsia="Times New Roman" w:cs="Times New Roman"/>
          <w:color w:val="auto"/>
          <w:szCs w:val="21"/>
          <w:highlight w:val="none"/>
          <w:lang w:val="en-US" w:eastAsia="zh-CN"/>
        </w:rPr>
        <w:t xml:space="preserve">监理人收到承包人按第 18.2 款约定提交的竣工验收申请报告后，应审查申请报告的各项内容，并按以下不同情况进行处理。 </w:t>
      </w:r>
    </w:p>
    <w:p w14:paraId="686C636D">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18.3.1 监理人审查后认为尚不具备竣工验收条件的，应在收到竣工验收申请报告后的 14 天内通知承包人，指出在颁发接收证书前承包人还需进行的工作内容。承包人完成监理人通知的全部工作内容后，应再次提交竣工验收申请报告，直至监理人同意为止。 </w:t>
      </w:r>
    </w:p>
    <w:p w14:paraId="71EC751D">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18.3.2 监理人审查后认为已具备竣工验收条件的，应在收到竣工验收申请报告后的 28 天内提请发包人进行工程验收。 </w:t>
      </w:r>
    </w:p>
    <w:p w14:paraId="0C2D8CBA">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交工验收由发包人主持，由发包人、监理人、质监、管理养护等有关部门代表组成交工验收小组，对本项目的养护工程质量进行评定，并出具交工验收报告报公路主管部门备案。承包人应按发包人的要求提交竣工资料，完成交工验收准备工作。 </w:t>
      </w:r>
    </w:p>
    <w:p w14:paraId="50C52BEA">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普通国省道非收费公路养护工程的验收工作按《浙江省国省道公路养护管理办法》约定执行。 </w:t>
      </w:r>
    </w:p>
    <w:p w14:paraId="12B6A0DC">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18.3.3 发包人经过验收后同意接受工程的，应在监理人收到交（竣）工验收申请报告后的 56 天内，由监理人向承包人出具经发包人签认的工程接收证书。发包人验收后同意接收工程但提出整修和完善要求的，限期修好，并颁发工程接收证书。整修和完善工作完成后，监理人复查达到要求的，经发包人同意后，再向承包人出具工程接收证书。 </w:t>
      </w:r>
    </w:p>
    <w:p w14:paraId="1E2136C5">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18.3.4 发包人验收后不同意接收工程的，监理人应按照发包人的验收意见发出指示，要求承包人对不合格工程认真返工重作或进行补救处理，并承担由此产生的费用。承包人在完成不合格工程的返工重作或补救工作后，应重新提交交（竣）工验收申请报告，按第 18.3.1 项、第 18.3.2 项和第 18.3.3 项的约定进行。 </w:t>
      </w:r>
    </w:p>
    <w:p w14:paraId="387A321C">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18.3.5 除专用合同条款另有约定外，经验收合格工程的实际交（竣）工日期，以最终提交交（竣）工验收申请报告的日期为准，并在工程接收证书中写明。 </w:t>
      </w:r>
    </w:p>
    <w:p w14:paraId="4D653807">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18.3.6 发包人在收到承包人交（竣）工验收申请报告 56 天后未进行验收的，视为验收合格，实际竣工日期以提交交（竣）工验收申请报告的日期为准，但发包人由于不可抗力不能进行验收的除外。 </w:t>
      </w:r>
    </w:p>
    <w:p w14:paraId="0C48ACA5">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18.3.7 组织办理交（竣）工验收和签发交（竣）工验收证书的费用由发包人承担。但按照第 18.3.4 项规定达不到合格标准的交（竣）工验收费用由承包人承担。 </w:t>
      </w:r>
    </w:p>
    <w:p w14:paraId="7BE7C1A3">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18.3.8 工程未经竣工验收，发包人擅自使用的，以转移占有工程之日为实际竣工日期。 </w:t>
      </w:r>
    </w:p>
    <w:bookmarkEnd w:id="662"/>
    <w:p w14:paraId="6D6CC8AE">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bookmarkStart w:id="663" w:name="_Toc30144"/>
      <w:r>
        <w:rPr>
          <w:rFonts w:hint="eastAsia" w:ascii="宋体" w:hAnsi="宋体" w:eastAsia="宋体" w:cs="宋体"/>
          <w:b/>
          <w:bCs/>
          <w:color w:val="auto"/>
          <w:szCs w:val="21"/>
          <w:highlight w:val="none"/>
          <w:lang w:val="en-US" w:eastAsia="zh-CN"/>
        </w:rPr>
        <w:t xml:space="preserve">18.4 单位工程验收 </w:t>
      </w:r>
    </w:p>
    <w:p w14:paraId="0DE54EA6">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18.4.1 发包人根据合同进度计划安排，在全部工程竣工前需要使用已经竣工的单位工程时，或承包人提出经发包人同意时，可进行单位工程验收。验收的程序可参照第 18.2 款与第 18.3 款的约定进行。验收合格后，由监理人向承包人出具经发包人签认的单位工程验收证书。已签发单位工程接收证书的单位工程由发包人负责照管。单位工程的验收成果和结论作为全部工程竣工验收申请报告的附件。 </w:t>
      </w:r>
    </w:p>
    <w:p w14:paraId="6951AF9A">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18.4.2 发包人在全部工程竣工前，使用已接收的单位工程导致承包人费用增加的，发包人应承担由此增加的费用和（或）工期延误，并支付承包人合理利润。 </w:t>
      </w:r>
    </w:p>
    <w:p w14:paraId="55D2858D">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18.5 施工期运行 </w:t>
      </w:r>
    </w:p>
    <w:p w14:paraId="52E754C7">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18.5.1 施工期运行是指合同工程尚未全部竣工，其中某项或某几项单位工程或工程设备安装已竣工，根据专用合同条款约定，需要投入施工期运行的，经发包人按第 18.4 款的约定验收合格，证明能确保安全后，才能在施工期投入运行。 </w:t>
      </w:r>
    </w:p>
    <w:p w14:paraId="20D5E86A">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18.5.2 在施工期运行中发现工程或工程设备损坏或存在缺陷的，由承包人按第 19.2 款约定进行修复。 </w:t>
      </w:r>
    </w:p>
    <w:p w14:paraId="54CF7322">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18.6 试运行 </w:t>
      </w:r>
    </w:p>
    <w:p w14:paraId="5731C4DA">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18.6.1 除专用合同条款另有约定外，承包人应按专用合同条款约定进行工程及工程设备试运行，负责提供试运行所需的人员、器材和必要的条件，并承担全部试运行费用。 </w:t>
      </w:r>
    </w:p>
    <w:p w14:paraId="5310C15E">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18.6.2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 </w:t>
      </w:r>
    </w:p>
    <w:p w14:paraId="74AA620C">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18.7 竣工清场 </w:t>
      </w:r>
    </w:p>
    <w:p w14:paraId="7B3CD7BB">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18.7.1 除合同另有约定外，工程接收证书颁发后，承包人应按以下要求对施工场地进行清理，并撤离相关人员，使得施工现场处于以下状态，直至监理人检验合格为止。竣工清场费用由承包人承担。 </w:t>
      </w:r>
    </w:p>
    <w:p w14:paraId="6F07D0ED">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（1）施工场地内残留的垃圾已全部清除出场； </w:t>
      </w:r>
    </w:p>
    <w:p w14:paraId="0678D4B0">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（2）临时工程已拆除，场地已按合同要求进行清理、平整或复原； </w:t>
      </w:r>
    </w:p>
    <w:p w14:paraId="6A6C38DB">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（3）按合同约定应撤离的人员、承包人提供的设备和剩余的材料，包括废弃的施工设备和材料，已按计划撤离施工场地； </w:t>
      </w:r>
    </w:p>
    <w:p w14:paraId="0842C66C">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（4）工程建筑物周边及其附近道路、河道的施工堆积物，已按监理人指示全部清理； </w:t>
      </w:r>
    </w:p>
    <w:p w14:paraId="2D918426">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（5）监理人指示的其它场地清理工作已全部完成。 </w:t>
      </w:r>
    </w:p>
    <w:p w14:paraId="6D41E17B">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18.7.2 承包人未按监理人的要求恢复临时占地，或者场地清理未达到合同约定的，发包人有权委托其他人恢复或清理，所发生的金额从拟支付给承包人的款项中扣除。 </w:t>
      </w:r>
    </w:p>
    <w:p w14:paraId="1C6828BC">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18.8 施工队伍的撤离 </w:t>
      </w:r>
    </w:p>
    <w:p w14:paraId="22B0CABA">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工程接收证书颁发后的 56 天内，除了经监理人同意需在缺陷责任期内继续工作和使用的人员、施工设备和临时工程外，其余的人员、施工设备和临时工程均应撤离施工场地或拆除。除合同另有约定外，缺陷责任期满时，承包人的人员和施工设备应全部撤离施工场地。 </w:t>
      </w:r>
    </w:p>
    <w:p w14:paraId="5EE4C8B6">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18.9 交（竣）工文件 </w:t>
      </w:r>
    </w:p>
    <w:p w14:paraId="2B186FC2">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承包人应在交（竣）工验收阶段按招标文件及相关规定，将养护原始记录、文件资料、图表记录等按发包人及行业规定进行编制并提交发包人审核。编制的档案、图表、资料所需的费用由承包人承担。 </w:t>
      </w:r>
    </w:p>
    <w:p w14:paraId="21890638">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18.10 工程档案管理 </w:t>
      </w:r>
    </w:p>
    <w:p w14:paraId="42238AF3">
      <w:pPr>
        <w:pStyle w:val="9"/>
        <w:tabs>
          <w:tab w:val="left" w:pos="2790"/>
        </w:tabs>
        <w:snapToGrid w:val="0"/>
        <w:spacing w:line="400" w:lineRule="exact"/>
        <w:ind w:firstLine="420" w:firstLineChars="200"/>
        <w:rPr>
          <w:rFonts w:hint="eastAsia" w:ascii="黑体" w:eastAsia="黑体"/>
          <w:color w:val="auto"/>
          <w:sz w:val="30"/>
          <w:szCs w:val="30"/>
          <w:highlight w:val="none"/>
        </w:rPr>
      </w:pPr>
      <w:r>
        <w:rPr>
          <w:rFonts w:hint="eastAsia" w:ascii="宋体" w:hAnsi="Times New Roman" w:eastAsia="Times New Roman" w:cs="Times New Roman"/>
          <w:color w:val="auto"/>
          <w:szCs w:val="21"/>
          <w:highlight w:val="none"/>
          <w:lang w:val="en-US" w:eastAsia="zh-CN"/>
        </w:rPr>
        <w:t xml:space="preserve">承包人必须确保工程施工原始资料与工程进度同步完成，并由专人负责档案管理工作，同时按照《中华人民共和国档案法》、交通运输部《关于印发公路建设项目文件材料立卷归档管理办法的通知》、《浙江省公路工程竣工文件编制办法》等有关规定做好工程档案资料的编制。承包人在工程施工结束并在发包人要求的规定时间内，移交所有工程档案资料、工程结算报告给发包人。 </w:t>
      </w:r>
    </w:p>
    <w:p w14:paraId="627A1A25">
      <w:pPr>
        <w:pStyle w:val="9"/>
        <w:keepNext w:val="0"/>
        <w:keepLines w:val="0"/>
        <w:pageBreakBefore w:val="0"/>
        <w:widowControl w:val="0"/>
        <w:tabs>
          <w:tab w:val="left" w:pos="2790"/>
        </w:tabs>
        <w:kinsoku/>
        <w:wordWrap/>
        <w:overflowPunct/>
        <w:topLinePunct w:val="0"/>
        <w:autoSpaceDE/>
        <w:autoSpaceDN/>
        <w:bidi w:val="0"/>
        <w:adjustRightInd/>
        <w:snapToGrid w:val="0"/>
        <w:spacing w:before="157" w:beforeLines="50" w:after="157" w:afterLines="50" w:line="400" w:lineRule="exact"/>
        <w:textAlignment w:val="auto"/>
        <w:outlineLvl w:val="2"/>
        <w:rPr>
          <w:rFonts w:hint="eastAsia" w:ascii="黑体" w:hAnsi="Times New Roman" w:eastAsia="黑体" w:cs="Times New Roman"/>
          <w:color w:val="auto"/>
          <w:sz w:val="28"/>
          <w:szCs w:val="28"/>
          <w:highlight w:val="none"/>
        </w:rPr>
      </w:pPr>
      <w:bookmarkStart w:id="664" w:name="_Toc31118"/>
      <w:r>
        <w:rPr>
          <w:rFonts w:hint="eastAsia" w:ascii="黑体" w:hAnsi="Times New Roman" w:eastAsia="黑体" w:cs="Times New Roman"/>
          <w:color w:val="auto"/>
          <w:sz w:val="28"/>
          <w:szCs w:val="28"/>
          <w:highlight w:val="none"/>
        </w:rPr>
        <w:t>19.缺陷责任与保修责任</w:t>
      </w:r>
      <w:bookmarkEnd w:id="663"/>
      <w:bookmarkEnd w:id="664"/>
    </w:p>
    <w:p w14:paraId="4B1AF936">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19.1 缺陷责任期的起算时间 </w:t>
      </w:r>
    </w:p>
    <w:p w14:paraId="43F8D23A">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缺陷责任期自实际交工日期起计算。在全部工程交工验收前，已经发包人提前验 </w:t>
      </w:r>
    </w:p>
    <w:p w14:paraId="71D439E0">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收的单位工程，其缺陷责任期的起算日期相应提前。 </w:t>
      </w:r>
    </w:p>
    <w:p w14:paraId="1676F217">
      <w:pPr>
        <w:pStyle w:val="9"/>
        <w:tabs>
          <w:tab w:val="left" w:pos="2790"/>
        </w:tabs>
        <w:snapToGrid w:val="0"/>
        <w:spacing w:line="400" w:lineRule="exact"/>
        <w:ind w:firstLine="420" w:firstLineChars="200"/>
        <w:rPr>
          <w:rFonts w:hint="eastAsia" w:ascii="黑体" w:eastAsia="黑体"/>
          <w:color w:val="auto"/>
          <w:szCs w:val="21"/>
          <w:highlight w:val="none"/>
        </w:rPr>
      </w:pPr>
      <w:r>
        <w:rPr>
          <w:rFonts w:hint="eastAsia" w:ascii="宋体" w:hAnsi="Times New Roman" w:eastAsia="Times New Roman" w:cs="Times New Roman"/>
          <w:color w:val="auto"/>
          <w:szCs w:val="21"/>
          <w:highlight w:val="none"/>
          <w:lang w:val="en-US" w:eastAsia="zh-CN"/>
        </w:rPr>
        <w:t>缺陷责任期由发包方与承包方合同约定。</w:t>
      </w:r>
    </w:p>
    <w:p w14:paraId="0DF5B659">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19.2  缺陷责任</w:t>
      </w:r>
    </w:p>
    <w:p w14:paraId="1465ECB7">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bookmarkStart w:id="665" w:name="_Toc13743"/>
      <w:r>
        <w:rPr>
          <w:rFonts w:hint="eastAsia" w:ascii="宋体" w:hAnsi="Times New Roman" w:eastAsia="Times New Roman" w:cs="Times New Roman"/>
          <w:color w:val="auto"/>
          <w:szCs w:val="21"/>
          <w:highlight w:val="none"/>
          <w:lang w:val="en-US" w:eastAsia="zh-CN"/>
        </w:rPr>
        <w:t xml:space="preserve">19.2.1 承包人应在缺陷责任期内对已交付使用的工程承担缺陷责任。 </w:t>
      </w:r>
    </w:p>
    <w:p w14:paraId="433007B4">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19.2.2 缺陷责任期内，发包人对已接收使用的工程负责日常维护工作。发包人在使用过程中，发现已接收的工程存在新的缺陷或已修复的缺陷部位或部件又遭损坏的，承包人应负责修复，直至检验合格为止。 </w:t>
      </w:r>
    </w:p>
    <w:p w14:paraId="3273AA4E">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在缺陷责任期内，承包人应尽快完成在交工验收证书中写明的未完成工作，并完成对本工程缺陷的修复或监理人指令的修补工作。 </w:t>
      </w:r>
    </w:p>
    <w:p w14:paraId="16214DBE">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19.2.3 监理人和承包人应共同查清缺陷和（或）损坏的原因。经查明属承包人原因造成的，应由承包人承担修复和查验的费用。经查验属发包人原因造成的，发包人应承担修复和查验的费用，并支付承包人合理利润。 </w:t>
      </w:r>
    </w:p>
    <w:p w14:paraId="460E856B">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19.2.4 承包人不能在合理时间内修复缺陷的，发包人可自行修复或委托其他人</w:t>
      </w:r>
      <w:bookmarkEnd w:id="665"/>
      <w:bookmarkStart w:id="666" w:name="_Toc28419"/>
      <w:r>
        <w:rPr>
          <w:rFonts w:hint="eastAsia" w:ascii="宋体" w:hAnsi="Times New Roman" w:eastAsia="Times New Roman" w:cs="Times New Roman"/>
          <w:color w:val="auto"/>
          <w:szCs w:val="21"/>
          <w:highlight w:val="none"/>
          <w:lang w:val="en-US" w:eastAsia="zh-CN"/>
        </w:rPr>
        <w:t xml:space="preserve">修复，所需费用和利润的承担，按第 19.2.3 项约定办理。 </w:t>
      </w:r>
    </w:p>
    <w:p w14:paraId="59746FF8">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19.3 缺陷责任期的延长 </w:t>
      </w:r>
    </w:p>
    <w:p w14:paraId="2C9147E2">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由于承包人原因造成某项缺陷或损坏使某项工程或工程设备不能按原定目标使用而需要再次检查、检验和修复的，发包人有权要求承包人相应延长缺陷责任期，但缺陷责任期最长不超过 12 个月。 </w:t>
      </w:r>
    </w:p>
    <w:p w14:paraId="1364DADF">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19.4 进一步试验和试运行 </w:t>
      </w:r>
    </w:p>
    <w:p w14:paraId="19DBECE7">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任何一项缺陷或损坏修复后，经检查证明其影响了工程或工程设备的使用性能，承包人应重新进行合同约定的试验和试运行，试验和试运行的全部费用应由责任方承担。 </w:t>
      </w:r>
    </w:p>
    <w:p w14:paraId="5C0DC152">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19.5 承包人的进入权 </w:t>
      </w:r>
    </w:p>
    <w:p w14:paraId="1880951F">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缺陷责任期内承包人为缺陷修复工作需要，有权进入工程现场，但应遵守发包人的保安和保密规定。 </w:t>
      </w:r>
    </w:p>
    <w:p w14:paraId="2DB053B2">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承包人在缺陷修复施工过程中，应服从管养单位的有关安全管理规定，由于承包人自身原因造成的人员伤亡、设备和材料的损毁及罚款等责任由承包人自负。 </w:t>
      </w:r>
    </w:p>
    <w:p w14:paraId="44F58EA3">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19.6 缺陷责任期终止证书 </w:t>
      </w:r>
    </w:p>
    <w:p w14:paraId="4CD42C2D">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在第 1.1.4.5 目约定的缺陷责任期，包括根据第 19.3 款延长的期限终止后 14 天内，由监理人向承包人出具经发包人签认的缺陷责任期终止证书，并退还剩余的质量保证金。 </w:t>
      </w:r>
    </w:p>
    <w:p w14:paraId="51B3BC20">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19.7 保修责任 </w:t>
      </w:r>
    </w:p>
    <w:p w14:paraId="0D00C7B0">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合同当事人根据有关法律规定，在专用合同条款中约定工程质量保修范围、期限和责任。保修期自实际竣工日期起计算。在全部工程竣工验收前，已经发包人提前验收的单位工程，其保修期的起算日期相应提前。 </w:t>
      </w:r>
    </w:p>
    <w:p w14:paraId="6A73DA71">
      <w:pPr>
        <w:pStyle w:val="9"/>
        <w:keepNext w:val="0"/>
        <w:keepLines w:val="0"/>
        <w:pageBreakBefore w:val="0"/>
        <w:widowControl w:val="0"/>
        <w:tabs>
          <w:tab w:val="left" w:pos="2790"/>
        </w:tabs>
        <w:kinsoku/>
        <w:wordWrap/>
        <w:overflowPunct/>
        <w:topLinePunct w:val="0"/>
        <w:autoSpaceDE/>
        <w:autoSpaceDN/>
        <w:bidi w:val="0"/>
        <w:adjustRightInd/>
        <w:snapToGrid w:val="0"/>
        <w:spacing w:before="157" w:beforeLines="50" w:after="157" w:afterLines="50" w:line="400" w:lineRule="exact"/>
        <w:textAlignment w:val="auto"/>
        <w:outlineLvl w:val="2"/>
        <w:rPr>
          <w:rFonts w:hint="eastAsia" w:ascii="黑体" w:hAnsi="Times New Roman" w:eastAsia="黑体" w:cs="Times New Roman"/>
          <w:color w:val="auto"/>
          <w:sz w:val="28"/>
          <w:szCs w:val="28"/>
          <w:highlight w:val="none"/>
        </w:rPr>
      </w:pPr>
      <w:bookmarkStart w:id="667" w:name="_Toc17"/>
      <w:r>
        <w:rPr>
          <w:rFonts w:hint="eastAsia" w:ascii="黑体" w:hAnsi="Times New Roman" w:eastAsia="黑体" w:cs="Times New Roman"/>
          <w:color w:val="auto"/>
          <w:sz w:val="28"/>
          <w:szCs w:val="28"/>
          <w:highlight w:val="none"/>
        </w:rPr>
        <w:t>20.保险</w:t>
      </w:r>
      <w:bookmarkEnd w:id="666"/>
      <w:bookmarkEnd w:id="667"/>
    </w:p>
    <w:p w14:paraId="29F7BE78">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bookmarkStart w:id="668" w:name="_Toc6100"/>
      <w:r>
        <w:rPr>
          <w:rFonts w:hint="eastAsia" w:ascii="宋体" w:hAnsi="宋体" w:eastAsia="宋体" w:cs="宋体"/>
          <w:b/>
          <w:bCs/>
          <w:color w:val="auto"/>
          <w:szCs w:val="21"/>
          <w:highlight w:val="none"/>
          <w:lang w:val="en-US" w:eastAsia="zh-CN"/>
        </w:rPr>
        <w:t>20.1  工程保险</w:t>
      </w:r>
      <w:bookmarkEnd w:id="668"/>
    </w:p>
    <w:p w14:paraId="295DD161">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bookmarkStart w:id="669" w:name="_Toc23713"/>
      <w:r>
        <w:rPr>
          <w:rFonts w:hint="eastAsia" w:ascii="宋体" w:hAnsi="Times New Roman" w:eastAsia="Times New Roman" w:cs="Times New Roman"/>
          <w:color w:val="auto"/>
          <w:szCs w:val="21"/>
          <w:highlight w:val="none"/>
          <w:lang w:val="en-US" w:eastAsia="zh-CN"/>
        </w:rPr>
        <w:t xml:space="preserve">除专用合同条款另有约定外，承包人应以发包人和承包人的共同名义向双方同意的保险人投保建筑工程一切险。 </w:t>
      </w:r>
    </w:p>
    <w:p w14:paraId="546D88FB">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建筑工程一切险的投保内容：为本合同工程的养护工程、临时工程和设备及已运至施工工地用于养护工程的材料和设备所投的保险。</w:t>
      </w:r>
    </w:p>
    <w:bookmarkEnd w:id="669"/>
    <w:p w14:paraId="203D373E">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bookmarkStart w:id="670" w:name="_Toc6004"/>
      <w:r>
        <w:rPr>
          <w:rFonts w:hint="eastAsia" w:ascii="宋体" w:hAnsi="Times New Roman" w:eastAsia="Times New Roman" w:cs="Times New Roman"/>
          <w:color w:val="auto"/>
          <w:szCs w:val="21"/>
          <w:highlight w:val="none"/>
          <w:lang w:val="en-US" w:eastAsia="zh-CN"/>
        </w:rPr>
        <w:t>保险金额：工程量清单第 100 章（不含安全生产费、保险费）至第</w:t>
      </w:r>
      <w:r>
        <w:rPr>
          <w:rFonts w:hint="eastAsia" w:ascii="宋体" w:cs="Times New Roman"/>
          <w:color w:val="auto"/>
          <w:szCs w:val="21"/>
          <w:highlight w:val="none"/>
          <w:lang w:val="en-US" w:eastAsia="zh-CN"/>
        </w:rPr>
        <w:t>900</w:t>
      </w:r>
      <w:r>
        <w:rPr>
          <w:rFonts w:hint="eastAsia" w:ascii="宋体" w:hAnsi="Times New Roman" w:eastAsia="Times New Roman" w:cs="Times New Roman"/>
          <w:color w:val="auto"/>
          <w:szCs w:val="21"/>
          <w:highlight w:val="none"/>
          <w:lang w:val="en-US" w:eastAsia="zh-CN"/>
        </w:rPr>
        <w:t xml:space="preserve">章（或第 1000 章）的合计金额； </w:t>
      </w:r>
    </w:p>
    <w:p w14:paraId="50533D95">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保险费率：在专用合同条款数据表中约定。 </w:t>
      </w:r>
    </w:p>
    <w:p w14:paraId="04952D1B">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保险期限：开工日起直至本合同工程签发缺陷责任期终止证书止（即合同工期＋缺陷责任期）。 </w:t>
      </w:r>
    </w:p>
    <w:p w14:paraId="2ED23A9E">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建筑工程一切险的保险费由承包人报价时列入工程量清单 100 章内。发包人在接到保险单后，将保险单费用直接向承包人支付。 </w:t>
      </w:r>
    </w:p>
    <w:p w14:paraId="04BEFEF9">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20.2 人员工伤事故的保险 </w:t>
      </w:r>
    </w:p>
    <w:p w14:paraId="1C044CD1">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20.2.1 承包人员工伤事故的保险 </w:t>
      </w:r>
    </w:p>
    <w:p w14:paraId="38E05774">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承包人应依照有关法律规定参加工伤保险，为其履行合同所雇佣的全部人员，缴纳工伤保险费，并要求其分包人及由承包人为履行合同聘请的第三方雇用的全部人员也进行此项保险。 </w:t>
      </w:r>
    </w:p>
    <w:p w14:paraId="584C4055">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20.2.2 发包人员工伤事故的保险 </w:t>
      </w:r>
    </w:p>
    <w:p w14:paraId="231BCBA5">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发包人应依照有关法律规定参加工伤保险，为其现场机构雇佣的全部人员，缴纳工伤保险费，并要求其监理人及由发包人为履行合同聘请的第三方在施工现场的雇用人员也进行此项保险。 </w:t>
      </w:r>
    </w:p>
    <w:p w14:paraId="12215F17">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20.3 人身意外伤害险 </w:t>
      </w:r>
    </w:p>
    <w:p w14:paraId="684BB050">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20.3.1 发包人应在整个施工期间为其现场机构雇用的全部人员，投保人身意外伤害险，缴纳保险费，并要求其监理人及由发包人为履行合同聘请的第三方在施工现场的雇用人员也进行此项保险。 </w:t>
      </w:r>
    </w:p>
    <w:p w14:paraId="109F9C85">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20.3.2 承包人应在整个施工期间为其现场机构雇用的全部人员，投保人身意外伤害险，缴纳保险费，并要求其分包人及由承包人为履行合同聘请的第三方雇用的全部人员也进行此项保险。 </w:t>
      </w:r>
    </w:p>
    <w:p w14:paraId="195AB18E">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承包人对其为本工程合同工作的人员进行人身意外伤害保险，投保金额可暂定为30 万元，按议定的保险费率办理。保险费由投标人报价时列入工程量清单第 100 章内。发包人在接到保险单后，将按照保险单的费用直接向承包人支付。 </w:t>
      </w:r>
    </w:p>
    <w:p w14:paraId="10D043BF">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20.4 第三者责任险 </w:t>
      </w:r>
    </w:p>
    <w:p w14:paraId="0078CF37">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20.4.1 第三者责任系指在保险期内，对因工程意外事故造成的、依法应由被保险人负责的工地上及毗邻地区的第三者人身伤亡、疾病或财产损失（本工程除外），以及被保险人因此而支付的诉讼费用和事先经保险人书面同意支付的其它费用等赔偿责任。 </w:t>
      </w:r>
    </w:p>
    <w:p w14:paraId="4A48BF10">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20.4.2 在缺陷责任期终止证书颁发前，承包人应以承包人和发包人的共同名义，投保第 20.4.1 项约定的第三者责任险，其保险费率、保险金额等有关内容在专用合同条款中约定。 </w:t>
      </w:r>
    </w:p>
    <w:p w14:paraId="5524BDB7">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第三者责任险的保险费由承包人报价时列入工程量清单 100 章内。发包人在接到保险单后，将按照保险单的费用直接向承包人支付。 </w:t>
      </w:r>
    </w:p>
    <w:p w14:paraId="6B11EA06">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20.5 其它保险 </w:t>
      </w:r>
    </w:p>
    <w:p w14:paraId="0E31EF5A">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除专用合同条款另有约定外，承包人应为其施工设备、进场的材料和工程设备等办理保险。 </w:t>
      </w:r>
    </w:p>
    <w:p w14:paraId="28933476">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承包人为其施工设备等办理保险，其投标金额应足以现场重置。办理本款保险的一切费用均由承包人承担，并包括在工程量清单的单价及总额价中，发包人不单独支付。 </w:t>
      </w:r>
    </w:p>
    <w:p w14:paraId="2B197AD8">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承包人为本项目办理保险的一切费用，除在工程量清单中另有列明外，均视为已包含在合同价中，不另行支付。 </w:t>
      </w:r>
    </w:p>
    <w:p w14:paraId="7D3A18B6">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20.6 对各项保险的一般要求 </w:t>
      </w:r>
    </w:p>
    <w:p w14:paraId="37CD6F28">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20.6.1 保险凭证 </w:t>
      </w:r>
    </w:p>
    <w:p w14:paraId="48496654">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承包人应在专用合同条款约定的期限内向发包人提交各项保险生效的证据和保险单副本，保险单必须与专用合同条款约定的条件保持一致。 </w:t>
      </w:r>
    </w:p>
    <w:p w14:paraId="52B42679">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20.6.2 保险合同条款的变动 </w:t>
      </w:r>
    </w:p>
    <w:p w14:paraId="63301F0F">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承包人需要变动保险合同条款时，应事先征得发包人同意，并通知监理人。保险人作出变动的，承包人应在收到保险人通知后立即通知发包人和监理人。 </w:t>
      </w:r>
    </w:p>
    <w:p w14:paraId="11F92B06">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20.6.3 持续保险 </w:t>
      </w:r>
    </w:p>
    <w:p w14:paraId="1BD6766B">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承包人应与保险人保持联系，使保险人能够随时了解工程实施中的变动，并确保按保险合同条款要求持续保险。在整个合同期内，承包人应按合同条款规定保证足够的保险额。 </w:t>
      </w:r>
    </w:p>
    <w:p w14:paraId="18092A93">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20.6.4 保险金不足的补偿 </w:t>
      </w:r>
    </w:p>
    <w:p w14:paraId="4D9401E0">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保险金不足以补偿损失的，应由承包人和（或）发包人按合同约定负责补偿。保险金的赔偿金额以有资质的公估单位确定的金额为准，免赔额和超过赔偿限额的部分由承包人承担。 </w:t>
      </w:r>
    </w:p>
    <w:p w14:paraId="54424ABF">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20.6.5 未按约定投保的补救 </w:t>
      </w:r>
    </w:p>
    <w:p w14:paraId="4F6D0A8F">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（1）由于负有投保义务的一方当事人未按合同约定办理保险，或未能使保险持续有效的，另一方当事人可代为办理，所需费用由对方当事人承担。 </w:t>
      </w:r>
    </w:p>
    <w:p w14:paraId="5636694F">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由于负有投保义务的一方当事人未按合同约定办理某项保险，或未按保险单规定的条件和限期及时向保险人报告事故情况，或未按要求的保险期限进行投标，或未按要求投保足够的保险金额，导致受益人未能全部得到保险人的赔偿，原应从该项保险得到的保险金应由负有投保义务的一方当事人支付。 </w:t>
      </w:r>
    </w:p>
    <w:p w14:paraId="78F2CD48">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20.6.6 报告义务 </w:t>
      </w:r>
    </w:p>
    <w:p w14:paraId="0FBACBF1">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当保险事故发生时，投保人应按照保险单规定的条件和期限及时向保险人报告。发包人和承包人应当在知道保险事故发生后及时通知对方。 </w:t>
      </w:r>
    </w:p>
    <w:p w14:paraId="2D4689B0">
      <w:pPr>
        <w:pStyle w:val="9"/>
        <w:tabs>
          <w:tab w:val="left" w:pos="2790"/>
        </w:tabs>
        <w:snapToGrid w:val="0"/>
        <w:spacing w:line="400" w:lineRule="exact"/>
        <w:ind w:firstLine="420" w:firstLineChars="200"/>
        <w:rPr>
          <w:rFonts w:hint="eastAsia" w:ascii="黑体" w:eastAsia="黑体"/>
          <w:color w:val="auto"/>
          <w:sz w:val="30"/>
          <w:szCs w:val="30"/>
          <w:highlight w:val="none"/>
        </w:rPr>
      </w:pPr>
      <w:r>
        <w:rPr>
          <w:rFonts w:hint="eastAsia" w:ascii="宋体" w:hAnsi="Times New Roman" w:eastAsia="Times New Roman" w:cs="Times New Roman"/>
          <w:color w:val="auto"/>
          <w:szCs w:val="21"/>
          <w:highlight w:val="none"/>
          <w:lang w:val="en-US" w:eastAsia="zh-CN"/>
        </w:rPr>
        <w:t xml:space="preserve">双方按本条规定投保不减少双方在合同下的其他义务。 </w:t>
      </w:r>
    </w:p>
    <w:p w14:paraId="56D91E52">
      <w:pPr>
        <w:pStyle w:val="9"/>
        <w:keepNext w:val="0"/>
        <w:keepLines w:val="0"/>
        <w:pageBreakBefore w:val="0"/>
        <w:widowControl w:val="0"/>
        <w:tabs>
          <w:tab w:val="left" w:pos="2790"/>
        </w:tabs>
        <w:kinsoku/>
        <w:wordWrap/>
        <w:overflowPunct/>
        <w:topLinePunct w:val="0"/>
        <w:autoSpaceDE/>
        <w:autoSpaceDN/>
        <w:bidi w:val="0"/>
        <w:adjustRightInd/>
        <w:snapToGrid w:val="0"/>
        <w:spacing w:before="157" w:beforeLines="50" w:after="157" w:afterLines="50" w:line="400" w:lineRule="exact"/>
        <w:textAlignment w:val="auto"/>
        <w:outlineLvl w:val="2"/>
        <w:rPr>
          <w:rFonts w:hint="eastAsia" w:ascii="黑体" w:hAnsi="Times New Roman" w:eastAsia="黑体" w:cs="Times New Roman"/>
          <w:color w:val="auto"/>
          <w:sz w:val="28"/>
          <w:szCs w:val="28"/>
          <w:highlight w:val="none"/>
        </w:rPr>
      </w:pPr>
      <w:bookmarkStart w:id="671" w:name="_Toc13821"/>
      <w:r>
        <w:rPr>
          <w:rFonts w:hint="eastAsia" w:ascii="黑体" w:hAnsi="Times New Roman" w:eastAsia="黑体" w:cs="Times New Roman"/>
          <w:color w:val="auto"/>
          <w:sz w:val="28"/>
          <w:szCs w:val="28"/>
          <w:highlight w:val="none"/>
        </w:rPr>
        <w:t>21.不可抗力</w:t>
      </w:r>
      <w:bookmarkEnd w:id="670"/>
      <w:bookmarkEnd w:id="671"/>
    </w:p>
    <w:p w14:paraId="16326A0C">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bookmarkStart w:id="672" w:name="_Toc31015"/>
      <w:r>
        <w:rPr>
          <w:rFonts w:hint="eastAsia" w:ascii="宋体" w:hAnsi="宋体" w:eastAsia="宋体" w:cs="宋体"/>
          <w:b/>
          <w:bCs/>
          <w:color w:val="auto"/>
          <w:szCs w:val="21"/>
          <w:highlight w:val="none"/>
          <w:lang w:val="en-US" w:eastAsia="zh-CN"/>
        </w:rPr>
        <w:t xml:space="preserve">21.3 不可抗力后果及其处理 </w:t>
      </w:r>
    </w:p>
    <w:p w14:paraId="77708610">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21.3.1 不可抗力造成损害的责任 </w:t>
      </w:r>
    </w:p>
    <w:p w14:paraId="7FCABCA3">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除专用合同条款另有约定外，不可抗力导致的人员伤亡、财产损失、费用增加和（或）工期延误等后果，由合同双方按以下原则承担： </w:t>
      </w:r>
    </w:p>
    <w:p w14:paraId="6EEE59E5">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（1）永久工程，包括已运至施工场地的材料和工程设备的损害，以及因工程损害造成的第三者人员伤亡和财产损失由发包人承担；</w:t>
      </w:r>
    </w:p>
    <w:p w14:paraId="56D327F7">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（2）承包人设备的损坏由承包人承担； </w:t>
      </w:r>
    </w:p>
    <w:p w14:paraId="51D510D5">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（3）发包人和承包人各自承担其人员伤亡和其它财产损失及其相关费用； </w:t>
      </w:r>
    </w:p>
    <w:p w14:paraId="5FFF133B">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（4）承包人的停工损失由承包人承担，但停工期间应监理人要求照管工程和清理、修复工程的金额由发包人承担； </w:t>
      </w:r>
    </w:p>
    <w:p w14:paraId="10CDDF71">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（5）不能按期竣工的，应合理延长工期，承包人不需支付逾期竣工违约金。发包人要求赶工的，承包人应采取赶工措施，赶工费用由发包人承担。 </w:t>
      </w:r>
    </w:p>
    <w:p w14:paraId="41B7DE26">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21.3.2 延迟履行期间发生的不可抗力 </w:t>
      </w:r>
    </w:p>
    <w:p w14:paraId="38F4B78A">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合同一方当事人延迟履行，在延迟履行期间发生不可抗力的，不免除其责任。 </w:t>
      </w:r>
    </w:p>
    <w:p w14:paraId="0392AA75">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21.3.3 避免和减少不可抗力损失 </w:t>
      </w:r>
    </w:p>
    <w:p w14:paraId="6B6C3258">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不可抗力发生后，发包人和承包人均应采取措施尽量避免和减少损失的扩大，任何一方没有采取有效措施导致损失扩大的，应对扩大的损失承担责任。 </w:t>
      </w:r>
    </w:p>
    <w:p w14:paraId="681C19DF">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21.3.4 因不可抗力解除合同 </w:t>
      </w:r>
    </w:p>
    <w:p w14:paraId="2F85A850">
      <w:pPr>
        <w:pStyle w:val="9"/>
        <w:tabs>
          <w:tab w:val="left" w:pos="2790"/>
        </w:tabs>
        <w:snapToGrid w:val="0"/>
        <w:spacing w:line="400" w:lineRule="exact"/>
        <w:ind w:firstLine="420" w:firstLineChars="200"/>
        <w:rPr>
          <w:rFonts w:hint="eastAsia" w:ascii="黑体" w:eastAsia="黑体"/>
          <w:color w:val="auto"/>
          <w:sz w:val="30"/>
          <w:szCs w:val="30"/>
          <w:highlight w:val="none"/>
        </w:rPr>
      </w:pPr>
      <w:r>
        <w:rPr>
          <w:rFonts w:hint="eastAsia" w:ascii="宋体" w:hAnsi="Times New Roman" w:eastAsia="Times New Roman" w:cs="Times New Roman"/>
          <w:color w:val="auto"/>
          <w:szCs w:val="21"/>
          <w:highlight w:val="none"/>
          <w:lang w:val="en-US" w:eastAsia="zh-CN"/>
        </w:rPr>
        <w:t>合同一方当事人因不可抗力不能履行合同的，应当及时通知对方解除合同。合同解除后，承包人应按照第 22.2.5 项约定撤离施工场地。已经订货的材料由订货方负责退货或解除订货合同，不能退还的货款和因退货、解除订货合同发生的费用，由发包人承担，因未及时退货造成的损失由责任方承担。合同解除后的付款，参照第 22.2.4项约定，由监理人按第 3.5 款商定或确定，但由于解除合同应赔偿的承包人损失不予考虑。</w:t>
      </w:r>
    </w:p>
    <w:p w14:paraId="320F3953">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21.1  不可抗力的确认</w:t>
      </w:r>
      <w:bookmarkEnd w:id="672"/>
    </w:p>
    <w:p w14:paraId="1D7421C4">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bookmarkStart w:id="673" w:name="_Toc8285"/>
      <w:r>
        <w:rPr>
          <w:rFonts w:hint="eastAsia" w:ascii="宋体" w:hAnsi="Times New Roman" w:eastAsia="Times New Roman" w:cs="Times New Roman"/>
          <w:color w:val="auto"/>
          <w:szCs w:val="21"/>
          <w:highlight w:val="none"/>
          <w:lang w:val="en-US" w:eastAsia="zh-CN"/>
        </w:rPr>
        <w:t xml:space="preserve">21.1.1 不可抗力是指承包人和发包人在订立合同时不可预见，在工程施工过程中不可避免发生并不能克服的且不能提前防备的自然灾害和社会性突发事件，如地震、海啸、瘟疫、水灾、骚乱、暴动、战争和专用合同条款约定的其它情形。 </w:t>
      </w:r>
    </w:p>
    <w:p w14:paraId="37E02D04">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21.1.2 不可抗力发生后，发包人和承包人应及时认真统计所造成的损失，收集不可抗力造成损失的证据。合同双方对是否属于不可抗力或其损失的意见不一致的，由监理人按第 3.5 款商定或确定。发生争议时，按第 24 条的约定办理。 </w:t>
      </w:r>
    </w:p>
    <w:p w14:paraId="6332A4A0">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21.2 不可抗力的通知 </w:t>
      </w:r>
    </w:p>
    <w:p w14:paraId="5DC55A00">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21.2.1 合同一方当事人遇到不可抗力事件，使其履行合同义务受到阻碍时，应立即通知合同另一方当事人和监理人，书面说明不可抗力和受阻碍的详细情况，并提供必要的证明。 </w:t>
      </w:r>
    </w:p>
    <w:p w14:paraId="63D5A6A2">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21.2.2 如不可抗力持续发生，合同一方当事人应及时向合同另一方当事人和监理人提交中间报告，说明不可抗力和履行合同受阻的情况，并于不可抗力事件结束后 28 天内提交最终报告及有关资料。 </w:t>
      </w:r>
    </w:p>
    <w:p w14:paraId="1633A29F">
      <w:pPr>
        <w:pStyle w:val="9"/>
        <w:keepNext w:val="0"/>
        <w:keepLines w:val="0"/>
        <w:pageBreakBefore w:val="0"/>
        <w:widowControl w:val="0"/>
        <w:tabs>
          <w:tab w:val="left" w:pos="2790"/>
        </w:tabs>
        <w:kinsoku/>
        <w:wordWrap/>
        <w:overflowPunct/>
        <w:topLinePunct w:val="0"/>
        <w:autoSpaceDE/>
        <w:autoSpaceDN/>
        <w:bidi w:val="0"/>
        <w:adjustRightInd/>
        <w:snapToGrid w:val="0"/>
        <w:spacing w:before="157" w:beforeLines="50" w:after="157" w:afterLines="50" w:line="400" w:lineRule="exact"/>
        <w:textAlignment w:val="auto"/>
        <w:outlineLvl w:val="2"/>
        <w:rPr>
          <w:rFonts w:hint="eastAsia" w:ascii="黑体" w:hAnsi="Times New Roman" w:eastAsia="黑体" w:cs="Times New Roman"/>
          <w:color w:val="auto"/>
          <w:sz w:val="28"/>
          <w:szCs w:val="28"/>
          <w:highlight w:val="none"/>
        </w:rPr>
      </w:pPr>
      <w:bookmarkStart w:id="674" w:name="_Toc11401"/>
      <w:r>
        <w:rPr>
          <w:rFonts w:hint="eastAsia" w:ascii="黑体" w:hAnsi="Times New Roman" w:eastAsia="黑体" w:cs="Times New Roman"/>
          <w:color w:val="auto"/>
          <w:sz w:val="28"/>
          <w:szCs w:val="28"/>
          <w:highlight w:val="none"/>
        </w:rPr>
        <w:t>22.违约</w:t>
      </w:r>
      <w:bookmarkEnd w:id="673"/>
      <w:bookmarkEnd w:id="674"/>
    </w:p>
    <w:p w14:paraId="18ED5E6C">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bookmarkStart w:id="675" w:name="_Toc11090"/>
      <w:r>
        <w:rPr>
          <w:rFonts w:hint="eastAsia" w:ascii="宋体" w:hAnsi="宋体" w:eastAsia="宋体" w:cs="宋体"/>
          <w:b/>
          <w:bCs/>
          <w:color w:val="auto"/>
          <w:szCs w:val="21"/>
          <w:highlight w:val="none"/>
          <w:lang w:val="en-US" w:eastAsia="zh-CN"/>
        </w:rPr>
        <w:t>22.1  承包人违约</w:t>
      </w:r>
      <w:bookmarkEnd w:id="675"/>
    </w:p>
    <w:p w14:paraId="21439859">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bookmarkStart w:id="676" w:name="_Toc26113"/>
      <w:r>
        <w:rPr>
          <w:rFonts w:hint="eastAsia" w:ascii="宋体" w:hAnsi="Times New Roman" w:eastAsia="Times New Roman" w:cs="Times New Roman"/>
          <w:color w:val="auto"/>
          <w:szCs w:val="21"/>
          <w:highlight w:val="none"/>
          <w:lang w:val="en-US" w:eastAsia="zh-CN"/>
        </w:rPr>
        <w:t xml:space="preserve">22.1.1 承包人违约的情形 </w:t>
      </w:r>
    </w:p>
    <w:p w14:paraId="5767BDD6">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在履行合同过程中发生的下列情况属承包人违约： </w:t>
      </w:r>
    </w:p>
    <w:p w14:paraId="508E912D">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（1）承包人违反第 1.8 款或第 4.3 款的约定，私自将合同的全部或部分权利转让给其他人，或私自将合同的全部或部分义务转移给其他人； </w:t>
      </w:r>
    </w:p>
    <w:p w14:paraId="22FBB197">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（2）承包人违反第 5.3 款或第 6.4 款的约定，未经监理人批准，私自将已按合同约定进入施工现场的施工设备、临时设施、材料或工程设备撤离施工场地； </w:t>
      </w:r>
    </w:p>
    <w:p w14:paraId="49C54B60">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（3）承包人违反第 5.4 款的约定使用了不合格材料或工程设备，工程质量达不到标准要求，又拒绝清除不合格工程； </w:t>
      </w:r>
    </w:p>
    <w:p w14:paraId="0CC52A5F">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（4）承包人未能按合同进度计划及时完成合同约定的工作，已造成或预期造成工期延误； </w:t>
      </w:r>
    </w:p>
    <w:p w14:paraId="3EC8F2C9">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（5）承包人在缺陷责任期内，未能对工程接收证书所列的缺陷清单的内容或缺陷责任期内发生的缺陷进行修复，而又拒绝按监理人指示再进行修补； </w:t>
      </w:r>
    </w:p>
    <w:p w14:paraId="711F4F52">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（6）承包人无法继续履行或明确表示不履行或实质上已停止履行合同； </w:t>
      </w:r>
    </w:p>
    <w:p w14:paraId="21517B07">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（7）项目已具备开工条件，因承包人原因，承包人未能按期开工； </w:t>
      </w:r>
    </w:p>
    <w:p w14:paraId="49E46B96">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（8）承包人违反第 4.6 款或 6.3 款的规定，未按承诺或未按监理人的要求及时配备称职的主要管理人员、技术骨干或关键施工设备； </w:t>
      </w:r>
    </w:p>
    <w:p w14:paraId="2D6BF3D3">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（9）经监理人和发包人检查，发现承包人有安全问题或有违反安全管理规章制度的情况； </w:t>
      </w:r>
    </w:p>
    <w:p w14:paraId="15A6D6BB">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22.1.2 对承包人违约的处理 </w:t>
      </w:r>
    </w:p>
    <w:p w14:paraId="5AF5C18E">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（1）承包人发生第 22.1.1（6）目约定的违约情况时，发包人可通知承包人立即解除合同，并按有关法律处理。 </w:t>
      </w:r>
    </w:p>
    <w:p w14:paraId="1E11A6BC">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（2）承包人发生除第 22.1.1（6）目约定以外的其它违约情况时，监理人可向承包人发出整改通知，要求其在指定的期限内改正。承包人应承担其违约所引起的费用增加和（或）工期延误。 </w:t>
      </w:r>
    </w:p>
    <w:p w14:paraId="15BADBF7">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（3）经检查证明承包人已采取了有效措施纠正违约行为，具备复工条件的，可由监理人签发复工通知复工。 </w:t>
      </w:r>
    </w:p>
    <w:p w14:paraId="640B34E5">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（4）承包人发生第 22.1.1 项约定的违约情况时，无论发包人是否解除合同，发包人均有权向承包人课以专用合同条款中规定的违约金，并由发包人将其违约行为上报省级交通主管部门，作为不良记录纳入浙江省交通运输信用综合管理服务系统。 </w:t>
      </w:r>
    </w:p>
    <w:p w14:paraId="4DD4FC19">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22.1.3 承包人违约解除合同 </w:t>
      </w:r>
    </w:p>
    <w:p w14:paraId="7BBC00B3">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监理人发出整改通知 28 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 </w:t>
      </w:r>
    </w:p>
    <w:p w14:paraId="085B764C">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22.1.4 合同解除后的估价、付款和结清 </w:t>
      </w:r>
    </w:p>
    <w:p w14:paraId="62B38D70">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（1）合同解除后，监理人按第 3.5 款商定或确定承包人实际完成工作的价值，以及承包人已提供的材料、施工设备、工程设备和临时工程等的价值。 </w:t>
      </w:r>
    </w:p>
    <w:p w14:paraId="79D1F104">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（2）合同解除后，发包人应暂停对承包人的一切付款，查清各项付款和已扣款金额，包括承包人应支付的违约金。 </w:t>
      </w:r>
    </w:p>
    <w:p w14:paraId="7F9BA680">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（3）合同解除后，发包人应按第 23.4 款的约定向承包人索赔由于解除合同给发包人造成的损失。 </w:t>
      </w:r>
    </w:p>
    <w:p w14:paraId="2E13F9B0">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（4）合同双方确认上述往来款项后，出具最终结清付款证书，结清全部合同款项。 </w:t>
      </w:r>
    </w:p>
    <w:p w14:paraId="5A568513">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（5）发包人和承包人未能就解除合同后的结清达成一致而形成争议的，按第 24条的约定办理。 </w:t>
      </w:r>
    </w:p>
    <w:p w14:paraId="7E826287">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22.1.5 协议利益的转让 </w:t>
      </w:r>
    </w:p>
    <w:p w14:paraId="00490DCC">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因承包人违约解除合同的，发包人有权要求承包人将其为实施合同而签订的材料和设备的订货协议或任何服务协议利益转让给发包人，并在解除合同后的 14 天内，依法办理转让手续。 </w:t>
      </w:r>
    </w:p>
    <w:p w14:paraId="08DAAE73">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22.1.6 紧急情况下无能力或不愿进行抢救 </w:t>
      </w:r>
    </w:p>
    <w:p w14:paraId="4968B568">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14:paraId="3EEA1D84">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22.2  发包人违约</w:t>
      </w:r>
      <w:bookmarkEnd w:id="676"/>
    </w:p>
    <w:p w14:paraId="5D85F63D">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bookmarkStart w:id="677" w:name="_Toc5308"/>
      <w:r>
        <w:rPr>
          <w:rFonts w:hint="eastAsia" w:ascii="宋体" w:hAnsi="Times New Roman" w:eastAsia="Times New Roman" w:cs="Times New Roman"/>
          <w:color w:val="auto"/>
          <w:szCs w:val="21"/>
          <w:highlight w:val="none"/>
          <w:lang w:val="en-US" w:eastAsia="zh-CN"/>
        </w:rPr>
        <w:t xml:space="preserve">22.2.1 发包人违约的情形 </w:t>
      </w:r>
    </w:p>
    <w:p w14:paraId="4031F25B">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在履行合同过程中发生的下列情形，属发包人违约： </w:t>
      </w:r>
    </w:p>
    <w:p w14:paraId="3A40CB23">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（1）发包人未能按合同约定支付预付款或合同价款，或拖延、拒绝批准付款申请和支付凭证，导致付款延误的； </w:t>
      </w:r>
    </w:p>
    <w:p w14:paraId="31156E7A">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（2）发包人原因造成停工的； </w:t>
      </w:r>
    </w:p>
    <w:p w14:paraId="5CF1FFE0">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（3）监理人无正当理由没有在约定期限内发出复工指示，导致承包人无法复工的； </w:t>
      </w:r>
    </w:p>
    <w:p w14:paraId="229CD888">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合同实施期间，由于整体规划的需进行项目改建的，则养护合同自然终止。发包人对承包人应承担终止合同前已完成的全部工程价款，其范围限于在已给承包人的暂付款中尚未包括的款项与款额，其单价和总额价应按合同的规定。还应支付下述费用： </w:t>
      </w:r>
    </w:p>
    <w:p w14:paraId="36B13148">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a．在工程量清单中第 100 章承包人驻地建设等总额支付项的应付款额，只要这些子目中的工作或服务已经进行或履行，或其中的工作或服务已经部分履行了的相应比例费用； </w:t>
      </w:r>
    </w:p>
    <w:p w14:paraId="45B8E6E6">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b．已经交付承包人或承包人有责任收货的、为本合同养护工程合理订购的材料、设备或货物的费用，发包人一经支付此项费用，该材料、设备或货物即成为发包人的财产； </w:t>
      </w:r>
    </w:p>
    <w:p w14:paraId="1A222B64">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c．作为已合理开支的、确实属于承包人为了完成本合同工程而预期开支的任何款额，而该开支还没有包括在本款提及的各项其它支付之内； </w:t>
      </w:r>
    </w:p>
    <w:p w14:paraId="2ACBA00E">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d．承包人的员工在上述合同终止时的合理遣返费。 </w:t>
      </w:r>
    </w:p>
    <w:p w14:paraId="7F75D7BF">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但是，发包人除按本款规定支付上述费用外，应有权要求承包人偿还各项预付款的未结算余额，以及在合同终止之日，按合同规定应由发包人向承包人收回的任何其它款额。根据本款规定应支付的费额，应由发包人在与承包人协商后确定。 </w:t>
      </w:r>
    </w:p>
    <w:p w14:paraId="4C4C0CB8">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（5）发包人不履行合同约定其它义务的。 </w:t>
      </w:r>
    </w:p>
    <w:p w14:paraId="18836C78">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22.2.2 承包人有权暂停施工 </w:t>
      </w:r>
    </w:p>
    <w:p w14:paraId="5AAA3864">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发包人发生除第 22.2.1（4）目以外的违约情况时，承包人可向发包人发出通知，要求发包人采取有效措施纠正违约行为。发包人收到承包人通知后的 28 天内仍不履行合同义务，承包人有权暂停施工，并通知监理人，发包人应承担由此增加的费用和（或）工期延误，并支付承包人合理利润。 </w:t>
      </w:r>
    </w:p>
    <w:p w14:paraId="1C3D77C8">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发包人在规定的支付期到期后的 15 天之内，未能向承包人支付应付养护工程款额（扣除根据合同规定有权扣除的款额后），也未向承包人说明理由，则承包人有权终止对本合同项下的承包，并通知发包人，该终止在发出通知 14 天后生效。 </w:t>
      </w:r>
    </w:p>
    <w:p w14:paraId="10D54089">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应按招标文件中规定计量支付的时间进行进度支付，如连续 2 次发生已计量应支付而未支付工程款的，承包人可停工（但不得拖欠农民工工资）。造成的损失由发包人承担。 </w:t>
      </w:r>
    </w:p>
    <w:p w14:paraId="1138AA4D">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22.2.3 发包人违约解除合同 </w:t>
      </w:r>
    </w:p>
    <w:p w14:paraId="49C29CE0">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（1）发生第 22.2.1（4）目的违约情况时，承包人可书面通知发包人解除合同。 </w:t>
      </w:r>
    </w:p>
    <w:p w14:paraId="365D8DDE">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（2）承包人按 22.2.2 项暂停施工 28 天后，发包人仍不纠正违约行为的，承包人可向发包人发出解除合同通知。但承包人的这一行动不免除发包人承担的违约责任，也不影响承包人根据合同约定享有的索赔权利。 </w:t>
      </w:r>
    </w:p>
    <w:p w14:paraId="115906BE">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22.2.4 解除合同后的付款 </w:t>
      </w:r>
    </w:p>
    <w:p w14:paraId="56F5D3A9">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因发包人违约解除合同的，发包人应在解除合同后 28 天内向承包人支付下列金额，承包人应在此期限内及时向发包人提交要求支付下列金额的有关资料和凭证： </w:t>
      </w:r>
    </w:p>
    <w:p w14:paraId="430D379F">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（1）合同解除日以前所完成工作的价款； </w:t>
      </w:r>
    </w:p>
    <w:p w14:paraId="3CB9F061">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（2）承包人为该工程施工订购并已付款的材料和其它物品的金额。发包人付款后，该材料和其它物品归发包人所有； </w:t>
      </w:r>
    </w:p>
    <w:p w14:paraId="77DF24EE">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（3）承包人为完成工程所发生的，而发包人未支付的金额； </w:t>
      </w:r>
    </w:p>
    <w:p w14:paraId="3C14DCF8">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（4）承包人撤离施工场地以及遣散承包人人员的金额； </w:t>
      </w:r>
    </w:p>
    <w:p w14:paraId="08FC0C9C">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（5）由于解除合同应赔偿的承包人损失，包括合同约定的违约金； </w:t>
      </w:r>
    </w:p>
    <w:p w14:paraId="6021CD9E">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（6）按合同约定在合同解除日前应支付给承包人的其它金额。</w:t>
      </w:r>
    </w:p>
    <w:p w14:paraId="33566A15">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发包人应按本项约定支付上述金额并退还质量保证金和履约担保，但有权要求承包人支付应偿还给发包人的各项金额。 </w:t>
      </w:r>
    </w:p>
    <w:p w14:paraId="3CB28335">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22.2.5 解除合同后的承包人撤离 </w:t>
      </w:r>
    </w:p>
    <w:p w14:paraId="23527465">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因发包人违约而解除合同后，承包人应妥善做好已竣工工程和已购材料、设备的保护和移交工作，按发包人要求将承包人设备和人员撤出施工场地。承包人撤出施工场地应遵守第 18.7.1 项的约定，发包人应为承包人撤出提供必要条件。 </w:t>
      </w:r>
    </w:p>
    <w:p w14:paraId="42802BBB">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22.3 第三人造成的违约 </w:t>
      </w:r>
    </w:p>
    <w:p w14:paraId="42D3024A">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在履行合同过程中，一方当事人因第三人的原因造成违约的，应当向对方当事人承担违约责任。一方当事人和第三人之间的纠纷，依照法律规定或者按照约定解决。 </w:t>
      </w:r>
    </w:p>
    <w:p w14:paraId="2FCAAEDE">
      <w:pPr>
        <w:pStyle w:val="9"/>
        <w:keepNext w:val="0"/>
        <w:keepLines w:val="0"/>
        <w:pageBreakBefore w:val="0"/>
        <w:widowControl w:val="0"/>
        <w:tabs>
          <w:tab w:val="left" w:pos="2790"/>
        </w:tabs>
        <w:kinsoku/>
        <w:wordWrap/>
        <w:overflowPunct/>
        <w:topLinePunct w:val="0"/>
        <w:autoSpaceDE/>
        <w:autoSpaceDN/>
        <w:bidi w:val="0"/>
        <w:adjustRightInd/>
        <w:snapToGrid w:val="0"/>
        <w:spacing w:before="157" w:beforeLines="50" w:after="157" w:afterLines="50" w:line="400" w:lineRule="exact"/>
        <w:textAlignment w:val="auto"/>
        <w:outlineLvl w:val="2"/>
        <w:rPr>
          <w:rFonts w:hint="eastAsia" w:ascii="黑体" w:hAnsi="Times New Roman" w:eastAsia="黑体" w:cs="Times New Roman"/>
          <w:color w:val="auto"/>
          <w:sz w:val="28"/>
          <w:szCs w:val="28"/>
          <w:highlight w:val="none"/>
        </w:rPr>
      </w:pPr>
      <w:bookmarkStart w:id="678" w:name="_Toc25063"/>
      <w:r>
        <w:rPr>
          <w:rFonts w:hint="eastAsia" w:ascii="黑体" w:hAnsi="Times New Roman" w:eastAsia="黑体" w:cs="Times New Roman"/>
          <w:color w:val="auto"/>
          <w:sz w:val="28"/>
          <w:szCs w:val="28"/>
          <w:highlight w:val="none"/>
        </w:rPr>
        <w:t>23.索赔</w:t>
      </w:r>
      <w:bookmarkEnd w:id="677"/>
      <w:bookmarkEnd w:id="678"/>
    </w:p>
    <w:p w14:paraId="16E6508A">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23.1 承包人索赔的提出 </w:t>
      </w:r>
    </w:p>
    <w:p w14:paraId="4ED31247">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根据合同约定，承包人认为有权得到追加付款和（或）延长工期的，应按以下程序向发包人提出索赔： </w:t>
      </w:r>
    </w:p>
    <w:p w14:paraId="0DAE02DF">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（1）承包人应在知道或应当知道索赔事件发生后 28 天内，向监理人递交索赔意向通知书，并说明发生索赔事件的事由。承包人未在前述 28 天内发出索赔意向通知书的，丧失要求追加付款和（或）延长工期的权利； </w:t>
      </w:r>
    </w:p>
    <w:p w14:paraId="3D58FB27">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（2）承包人应在发出索赔意向通知书后 28 天内，向监理人正式递交索赔通知书。索赔通知书应详细说明索赔理由以及要求追加的付款金额和（或）延长的工期，并附必要的记录和证明材料； </w:t>
      </w:r>
    </w:p>
    <w:p w14:paraId="1A70F89E">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（3）索赔事件具有连续影响的，承包人应按合理时间间隔继续递交延续索赔通知，说明连续影响的实际情况和记录，列出累计的追加付款金额和（或）工期延长天数； </w:t>
      </w:r>
    </w:p>
    <w:p w14:paraId="7E212D2F">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（4）在索赔事件影响结束后的 28 天内，承包人应向监理人递交最终索赔通知书，说明最终要求索赔的追加付款金额和（或）延长的工期，并附必要的记录和证明材料。 </w:t>
      </w:r>
    </w:p>
    <w:p w14:paraId="5F4839E7">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23.2 承包人索赔处理程序 </w:t>
      </w:r>
    </w:p>
    <w:p w14:paraId="609183FF">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（1）监理人收到承包人提交的索赔通知书后，应及时审查索赔通知书的内容、查验承包人的记录和证明材料，必要时监理人可要求承包人提交全部原始记录副本。 </w:t>
      </w:r>
    </w:p>
    <w:p w14:paraId="1A071455">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（2）监理人应按第 3.5 款商定或确定追加的付款和（或）延长的工期，并在收到上述索赔通知书或有关索赔的进一步证明材料后及时书面告知发包人，并在 42 天内，将发包人书面认可的索赔处理结果答复承包人。监理人在收到索赔报告或有关索赔的进一步证明材料后的 42 天内不予答复的，视为认可索赔。如果承包人提出的索赔要求未能遵守第 23.1（2）～（4）项的规定，则承包人只限于索赔由于监理人按当时记录予以核实的那部分款额和（或）工期延长天数。 </w:t>
      </w:r>
    </w:p>
    <w:p w14:paraId="45CEC7A2">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（3）承包人接受索赔处理结果的，发包人应在作出索赔处理结果答复后 28 天内完成赔付。承包人不接受索赔处理结果的，按第 24 条的约定办理。 </w:t>
      </w:r>
    </w:p>
    <w:p w14:paraId="728A861B">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23.3 承包人提出索赔的期限 </w:t>
      </w:r>
    </w:p>
    <w:p w14:paraId="2CF91374">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23.3.1 承包人按第 17.5 款的约定接受了竣工付款证书后，应被认为已无权再提出在合同工程接收证书颁发前所发生的任何索赔。 </w:t>
      </w:r>
    </w:p>
    <w:p w14:paraId="113F1261">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23.3.2 承包人按第 17.6 款的约定提交的最终结清申请单中，只限于提出工程接收证书颁发后发生的索赔。提出索赔的期限自接受最终结清证书时终止。 </w:t>
      </w:r>
    </w:p>
    <w:p w14:paraId="5A7ABF06">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23.4 发包人的索赔 </w:t>
      </w:r>
    </w:p>
    <w:p w14:paraId="381AD7E3">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23.4.1 发生索赔事件后，监理人应及时书面通知承包人，详细说明发包人有权得到的索赔金额和（或）延长缺陷责任期的细节和依据。发包人提出索赔的期限和要求与第 23.3 款的约定相同，延长缺陷责任期的通知应在缺陷责任期届满前发出。 </w:t>
      </w:r>
    </w:p>
    <w:p w14:paraId="3BE0C459">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23.4.2 监理人按第 3.5 款商定或确定发包人从承包人处得到赔付的金额和（或）缺陷责任期的延长期。承包人应付给发包人的金额可从拟支付给承包人的合同价款中扣除，或由承包人以其它方式支付给发包人。 </w:t>
      </w:r>
    </w:p>
    <w:p w14:paraId="7D6355A4">
      <w:pPr>
        <w:pStyle w:val="9"/>
        <w:keepNext w:val="0"/>
        <w:keepLines w:val="0"/>
        <w:pageBreakBefore w:val="0"/>
        <w:widowControl w:val="0"/>
        <w:tabs>
          <w:tab w:val="left" w:pos="2790"/>
        </w:tabs>
        <w:kinsoku/>
        <w:wordWrap/>
        <w:overflowPunct/>
        <w:topLinePunct w:val="0"/>
        <w:autoSpaceDE/>
        <w:autoSpaceDN/>
        <w:bidi w:val="0"/>
        <w:adjustRightInd/>
        <w:snapToGrid w:val="0"/>
        <w:spacing w:before="157" w:beforeLines="50" w:after="157" w:afterLines="50" w:line="400" w:lineRule="exact"/>
        <w:textAlignment w:val="auto"/>
        <w:outlineLvl w:val="2"/>
        <w:rPr>
          <w:rFonts w:hint="eastAsia" w:ascii="黑体" w:hAnsi="Times New Roman" w:eastAsia="黑体" w:cs="Times New Roman"/>
          <w:color w:val="auto"/>
          <w:sz w:val="28"/>
          <w:szCs w:val="28"/>
          <w:highlight w:val="none"/>
        </w:rPr>
      </w:pPr>
      <w:bookmarkStart w:id="679" w:name="_Toc4348"/>
      <w:r>
        <w:rPr>
          <w:rFonts w:hint="default" w:ascii="黑体" w:hAnsi="Times New Roman" w:eastAsia="黑体" w:cs="Times New Roman"/>
          <w:color w:val="auto"/>
          <w:sz w:val="28"/>
          <w:szCs w:val="28"/>
          <w:highlight w:val="none"/>
          <w:lang w:val="en-US" w:eastAsia="zh-CN"/>
        </w:rPr>
        <w:t>24</w:t>
      </w:r>
      <w:r>
        <w:rPr>
          <w:rFonts w:hint="eastAsia" w:ascii="黑体" w:hAnsi="Times New Roman" w:eastAsia="黑体" w:cs="Times New Roman"/>
          <w:color w:val="auto"/>
          <w:sz w:val="28"/>
          <w:szCs w:val="28"/>
          <w:highlight w:val="none"/>
          <w:lang w:val="en-US" w:eastAsia="zh-CN"/>
        </w:rPr>
        <w:t>．争议的解决</w:t>
      </w:r>
      <w:bookmarkEnd w:id="679"/>
      <w:r>
        <w:rPr>
          <w:rFonts w:hint="eastAsia" w:ascii="黑体" w:hAnsi="Times New Roman" w:eastAsia="黑体" w:cs="Times New Roman"/>
          <w:color w:val="auto"/>
          <w:sz w:val="28"/>
          <w:szCs w:val="28"/>
          <w:highlight w:val="none"/>
          <w:lang w:val="en-US" w:eastAsia="zh-CN"/>
        </w:rPr>
        <w:t xml:space="preserve"> </w:t>
      </w:r>
    </w:p>
    <w:p w14:paraId="37A55BC4">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24.1 争议的解决方式 </w:t>
      </w:r>
    </w:p>
    <w:p w14:paraId="63B482B0">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发包人和承包人在履行合同中发生争议的，可以友好协商解决或者提请争议评审组评审。合同当事人友好协商解决不成、不愿提请争议评审或者不接受争议评审组意见的，可在专用合同条款中约定下列一种方式解决。 </w:t>
      </w:r>
    </w:p>
    <w:p w14:paraId="558923A9">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（1）向约定的仲裁委员会申请仲裁； </w:t>
      </w:r>
    </w:p>
    <w:p w14:paraId="7EF37A51">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（2）向有管辖权的人民法院提起诉讼。 </w:t>
      </w:r>
    </w:p>
    <w:p w14:paraId="390D30FA">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24.2 友好解决 </w:t>
      </w:r>
    </w:p>
    <w:p w14:paraId="21B878FA">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在提请争议评审、仲裁或者诉讼前，以及在争议评审、仲裁或诉讼过程中，发包人和承包人均可共同努力友好协商解决争议，自行和解达成协议的经双方签字并盖章后作为合同补充文件，双方均应遵照执行。</w:t>
      </w:r>
    </w:p>
    <w:p w14:paraId="7C604A77">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24.3 争议评审 </w:t>
      </w:r>
    </w:p>
    <w:p w14:paraId="73582F20">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24.3.1 采用争议评审的，发包人和承包人应在开工日后的 28 天内或在争议发生后，协商成立争议评审组。争议评审组由有合同管理和工程实践经验的专家组成。 </w:t>
      </w:r>
    </w:p>
    <w:p w14:paraId="1ED51901">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争议评审组由 3 人或 5 人组成，专家聘请方法可由发包人和承包人共同协商确定，亦可请政府主管部门推荐或通过争议调解机构聘请，并经双方认同。争议评审组成员应与合同双方均无利害关系。争议评审组的各项费用由发包人和承包人平均分担。 </w:t>
      </w:r>
    </w:p>
    <w:p w14:paraId="2DCAE8D2">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24.3.2 合同双方的争议，应首先由申请人向争议评审组提交一份详细的评审申请报告，并附必要的文件、图纸和证明材料，申请人还应将上述报告的副本同时提交给被申请人和监理人。 </w:t>
      </w:r>
    </w:p>
    <w:p w14:paraId="07D7E68F">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24.3.3 被申请人在收到申请人评审申请报告副本后的 28 天内，向争议评审组提交一份答辩报告，并附证明材料。被申请人应将答辩报告的副本同时提交给申请人和监理人。 </w:t>
      </w:r>
    </w:p>
    <w:p w14:paraId="5A34743C">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24.3.4 除专用合同条款另有约定外，争议评审组在收到合同双方报告后的 14 天内，邀请双方代表和有关人员举行调查会，向双方调查争议细节；必要时争议评审组可要求双方进一步提供补充材料。 </w:t>
      </w:r>
    </w:p>
    <w:p w14:paraId="61169B59">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24.3.5 除专用合同条款另有约定外，在调查会结束后的 14 天内，争议评审组应在不受任何干扰的情况下进行独立、公正的评审，作出书面评审意见，并说明理由。在争议评审期间，争议双方暂按监理人的确定执行。 </w:t>
      </w:r>
    </w:p>
    <w:p w14:paraId="0E69F98B">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24.3.6 发包人和承包人接受评审意见的，由监理人根据评审意见拟定执行协议，经争议双方签字后作为合同的补充文件，并遵照执行。 </w:t>
      </w:r>
    </w:p>
    <w:p w14:paraId="32CB7A42">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24.3.7 发包人或承包人不接受评审意见，并要求提交仲裁或提起诉讼的，应在收到评审意见后的 14 天内将仲裁或起诉意向书面通知另一方，并抄送监理人，但在仲裁或诉讼结束前应暂按监理人的确定执行。 </w:t>
      </w:r>
    </w:p>
    <w:p w14:paraId="7432D270">
      <w:pPr>
        <w:pStyle w:val="9"/>
        <w:tabs>
          <w:tab w:val="left" w:pos="2790"/>
        </w:tabs>
        <w:snapToGrid w:val="0"/>
        <w:spacing w:line="400" w:lineRule="exact"/>
        <w:outlineLvl w:val="3"/>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24.4 仲裁 </w:t>
      </w:r>
    </w:p>
    <w:p w14:paraId="5C8DC085">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24.4.1 本款适用于采用仲裁方式最终解决争议的项目。 </w:t>
      </w:r>
    </w:p>
    <w:p w14:paraId="0F8B6BDC">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（1）对于未能友好解决或未能通过争议评审解决的争议，发包人或承包人任一方均有权提交给第 24.1 款约定的仲裁委员会仲裁。 </w:t>
      </w:r>
    </w:p>
    <w:p w14:paraId="70D6F71C">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2）仲裁可在交工之前或之后进行，但发包人、监理人和承包人各自的义务不得因在工程实施期间进行仲裁而有所改变。如果仲裁是在终止合同的情况下进行，则对合同工程应采取保护措施，措施费由败诉方承担。</w:t>
      </w:r>
    </w:p>
    <w:p w14:paraId="353ADF33">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（3）仲裁裁决是终局性的并对发包人和承包人双方具有约束力。 </w:t>
      </w:r>
    </w:p>
    <w:p w14:paraId="70D32F97">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（4）全部仲裁费用应由败诉方承担；或按仲裁委员会裁决的比例分担。 </w:t>
      </w:r>
    </w:p>
    <w:p w14:paraId="21ACF30A">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24.4.2 仲裁的执行。 </w:t>
      </w:r>
    </w:p>
    <w:p w14:paraId="12C9BEC7">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（1）任何一方不履行仲裁机构的裁决的，对方可以向有管辖权的人民法院申请执行。 </w:t>
      </w:r>
    </w:p>
    <w:p w14:paraId="771A1FB1">
      <w:pPr>
        <w:pStyle w:val="9"/>
        <w:tabs>
          <w:tab w:val="left" w:pos="2790"/>
        </w:tabs>
        <w:snapToGrid w:val="0"/>
        <w:spacing w:line="400" w:lineRule="exact"/>
        <w:ind w:firstLine="420" w:firstLineChars="200"/>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2）任何一方提出证据证明裁决有《中华人民共和国仲裁法》第五十八条规定情形之一的，可以向仲裁委员会所在地的中级人民法院申请撤销裁决。人民法院认定执行该裁决违背社会公共利益的，裁定不予执行。仲裁裁决被人民法院裁定不予执行的，当事人可以根据双方达成的书面仲裁协议重新申请仲裁，也可以向人民法院起诉。</w:t>
      </w:r>
    </w:p>
    <w:p w14:paraId="54297113">
      <w:pPr>
        <w:pStyle w:val="53"/>
        <w:spacing w:line="500" w:lineRule="exact"/>
        <w:jc w:val="center"/>
        <w:outlineLvl w:val="2"/>
        <w:rPr>
          <w:rFonts w:hint="eastAsia" w:ascii="黑体" w:hAnsi="黑体" w:eastAsia="黑体"/>
          <w:b w:val="0"/>
          <w:bCs w:val="0"/>
          <w:color w:val="auto"/>
          <w:sz w:val="28"/>
          <w:highlight w:val="none"/>
        </w:rPr>
      </w:pPr>
      <w:r>
        <w:rPr>
          <w:rFonts w:hint="eastAsia" w:ascii="宋体"/>
          <w:color w:val="auto"/>
          <w:highlight w:val="none"/>
        </w:rPr>
        <w:br w:type="page"/>
      </w:r>
      <w:bookmarkStart w:id="680" w:name="_Toc1955"/>
      <w:r>
        <w:rPr>
          <w:rFonts w:hint="eastAsia" w:ascii="黑体" w:hAnsi="黑体" w:eastAsia="黑体"/>
          <w:b w:val="0"/>
          <w:bCs w:val="0"/>
          <w:color w:val="auto"/>
          <w:sz w:val="28"/>
          <w:highlight w:val="none"/>
        </w:rPr>
        <w:t>B．项目专用合同条款</w:t>
      </w:r>
      <w:bookmarkEnd w:id="680"/>
    </w:p>
    <w:p w14:paraId="6801DB35">
      <w:pPr>
        <w:pStyle w:val="44"/>
        <w:keepNext/>
        <w:keepLines/>
        <w:spacing w:line="500" w:lineRule="exact"/>
        <w:jc w:val="center"/>
        <w:outlineLvl w:val="2"/>
        <w:rPr>
          <w:rFonts w:hint="eastAsia" w:ascii="宋体" w:hAnsi="Arial" w:eastAsia="黑体" w:cs="黑体"/>
          <w:b/>
          <w:bCs/>
          <w:color w:val="auto"/>
          <w:sz w:val="24"/>
          <w:szCs w:val="24"/>
          <w:highlight w:val="none"/>
        </w:rPr>
      </w:pPr>
      <w:r>
        <w:rPr>
          <w:rFonts w:ascii="黑体" w:hAnsi="黑体" w:eastAsia="黑体"/>
          <w:b/>
          <w:bCs/>
          <w:color w:val="auto"/>
          <w:sz w:val="24"/>
          <w:szCs w:val="24"/>
          <w:highlight w:val="none"/>
        </w:rPr>
        <w:t xml:space="preserve"> </w:t>
      </w:r>
      <w:bookmarkStart w:id="681" w:name="_Toc938"/>
      <w:r>
        <w:rPr>
          <w:rFonts w:hint="eastAsia" w:ascii="黑体" w:hAnsi="黑体" w:eastAsia="黑体"/>
          <w:b/>
          <w:bCs/>
          <w:color w:val="auto"/>
          <w:sz w:val="24"/>
          <w:szCs w:val="24"/>
          <w:highlight w:val="none"/>
        </w:rPr>
        <w:t>项目专用合同条款数据表</w:t>
      </w:r>
      <w:bookmarkEnd w:id="681"/>
    </w:p>
    <w:p w14:paraId="6A3D5EAC">
      <w:pPr>
        <w:pStyle w:val="44"/>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说明：本数据表是项目专用合同条款中适用于本项目的信息和数据的归纳与提示，是专用合同条款的组成部分。</w:t>
      </w:r>
    </w:p>
    <w:tbl>
      <w:tblPr>
        <w:tblStyle w:val="23"/>
        <w:tblW w:w="9052" w:type="dxa"/>
        <w:tblInd w:w="-175"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57" w:type="dxa"/>
          <w:left w:w="28" w:type="dxa"/>
          <w:bottom w:w="57" w:type="dxa"/>
          <w:right w:w="28" w:type="dxa"/>
        </w:tblCellMar>
      </w:tblPr>
      <w:tblGrid>
        <w:gridCol w:w="600"/>
        <w:gridCol w:w="1179"/>
        <w:gridCol w:w="7273"/>
      </w:tblGrid>
      <w:tr w14:paraId="68B41BF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28" w:type="dxa"/>
            <w:bottom w:w="57" w:type="dxa"/>
            <w:right w:w="28" w:type="dxa"/>
          </w:tblCellMar>
        </w:tblPrEx>
        <w:trPr>
          <w:trHeight w:val="407" w:hRule="atLeast"/>
        </w:trPr>
        <w:tc>
          <w:tcPr>
            <w:tcW w:w="600" w:type="dxa"/>
            <w:tcBorders>
              <w:tl2br w:val="nil"/>
              <w:tr2bl w:val="nil"/>
            </w:tcBorders>
            <w:noWrap w:val="0"/>
            <w:vAlign w:val="center"/>
          </w:tcPr>
          <w:p w14:paraId="3B77B08B">
            <w:pPr>
              <w:pStyle w:val="44"/>
              <w:spacing w:line="320" w:lineRule="exact"/>
              <w:jc w:val="center"/>
              <w:rPr>
                <w:rFonts w:ascii="宋体"/>
                <w:b/>
                <w:bCs/>
                <w:color w:val="auto"/>
                <w:highlight w:val="none"/>
              </w:rPr>
            </w:pPr>
            <w:r>
              <w:rPr>
                <w:rFonts w:hint="eastAsia" w:ascii="宋体"/>
                <w:b/>
                <w:bCs/>
                <w:color w:val="auto"/>
                <w:highlight w:val="none"/>
              </w:rPr>
              <w:t>序号</w:t>
            </w:r>
          </w:p>
        </w:tc>
        <w:tc>
          <w:tcPr>
            <w:tcW w:w="1179" w:type="dxa"/>
            <w:tcBorders>
              <w:tl2br w:val="nil"/>
              <w:tr2bl w:val="nil"/>
            </w:tcBorders>
            <w:noWrap w:val="0"/>
            <w:vAlign w:val="center"/>
          </w:tcPr>
          <w:p w14:paraId="78EDD8C2">
            <w:pPr>
              <w:pStyle w:val="44"/>
              <w:spacing w:line="320" w:lineRule="exact"/>
              <w:jc w:val="center"/>
              <w:rPr>
                <w:rFonts w:ascii="宋体"/>
                <w:b/>
                <w:bCs/>
                <w:color w:val="auto"/>
                <w:highlight w:val="none"/>
              </w:rPr>
            </w:pPr>
            <w:r>
              <w:rPr>
                <w:rFonts w:hint="eastAsia" w:ascii="宋体"/>
                <w:b/>
                <w:bCs/>
                <w:color w:val="auto"/>
                <w:highlight w:val="none"/>
              </w:rPr>
              <w:t>条目号</w:t>
            </w:r>
          </w:p>
        </w:tc>
        <w:tc>
          <w:tcPr>
            <w:tcW w:w="7273" w:type="dxa"/>
            <w:tcBorders>
              <w:tl2br w:val="nil"/>
              <w:tr2bl w:val="nil"/>
            </w:tcBorders>
            <w:noWrap w:val="0"/>
            <w:vAlign w:val="center"/>
          </w:tcPr>
          <w:p w14:paraId="4BC5BD97">
            <w:pPr>
              <w:pStyle w:val="44"/>
              <w:spacing w:line="320" w:lineRule="exact"/>
              <w:jc w:val="center"/>
              <w:rPr>
                <w:rFonts w:ascii="宋体"/>
                <w:b/>
                <w:bCs/>
                <w:color w:val="auto"/>
                <w:highlight w:val="none"/>
              </w:rPr>
            </w:pPr>
            <w:r>
              <w:rPr>
                <w:rFonts w:hint="eastAsia" w:ascii="宋体"/>
                <w:b/>
                <w:bCs/>
                <w:color w:val="auto"/>
                <w:highlight w:val="none"/>
              </w:rPr>
              <w:t>信息或数据</w:t>
            </w:r>
          </w:p>
        </w:tc>
      </w:tr>
      <w:tr w14:paraId="3078EEE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28" w:type="dxa"/>
            <w:bottom w:w="57" w:type="dxa"/>
            <w:right w:w="28" w:type="dxa"/>
          </w:tblCellMar>
        </w:tblPrEx>
        <w:trPr>
          <w:trHeight w:val="529" w:hRule="atLeast"/>
        </w:trPr>
        <w:tc>
          <w:tcPr>
            <w:tcW w:w="600" w:type="dxa"/>
            <w:tcBorders>
              <w:tl2br w:val="nil"/>
              <w:tr2bl w:val="nil"/>
            </w:tcBorders>
            <w:noWrap w:val="0"/>
            <w:vAlign w:val="center"/>
          </w:tcPr>
          <w:p w14:paraId="714CE4F4">
            <w:pPr>
              <w:pStyle w:val="44"/>
              <w:spacing w:line="320" w:lineRule="exact"/>
              <w:jc w:val="center"/>
              <w:rPr>
                <w:rFonts w:ascii="宋体"/>
                <w:color w:val="auto"/>
                <w:highlight w:val="none"/>
              </w:rPr>
            </w:pPr>
            <w:r>
              <w:rPr>
                <w:rFonts w:hint="eastAsia" w:ascii="宋体"/>
                <w:color w:val="auto"/>
                <w:highlight w:val="none"/>
              </w:rPr>
              <w:t>1</w:t>
            </w:r>
          </w:p>
        </w:tc>
        <w:tc>
          <w:tcPr>
            <w:tcW w:w="1179" w:type="dxa"/>
            <w:tcBorders>
              <w:tl2br w:val="nil"/>
              <w:tr2bl w:val="nil"/>
            </w:tcBorders>
            <w:noWrap w:val="0"/>
            <w:vAlign w:val="center"/>
          </w:tcPr>
          <w:p w14:paraId="5F254F54">
            <w:pPr>
              <w:pStyle w:val="44"/>
              <w:spacing w:line="320" w:lineRule="exact"/>
              <w:jc w:val="center"/>
              <w:rPr>
                <w:rFonts w:ascii="宋体"/>
                <w:color w:val="auto"/>
                <w:highlight w:val="none"/>
              </w:rPr>
            </w:pPr>
            <w:r>
              <w:rPr>
                <w:rFonts w:hint="eastAsia" w:ascii="宋体"/>
                <w:color w:val="auto"/>
                <w:highlight w:val="none"/>
              </w:rPr>
              <w:t>1.1.2.2</w:t>
            </w:r>
          </w:p>
        </w:tc>
        <w:tc>
          <w:tcPr>
            <w:tcW w:w="7273" w:type="dxa"/>
            <w:tcBorders>
              <w:tl2br w:val="nil"/>
              <w:tr2bl w:val="nil"/>
            </w:tcBorders>
            <w:noWrap w:val="0"/>
            <w:vAlign w:val="center"/>
          </w:tcPr>
          <w:p w14:paraId="30DFB479">
            <w:pPr>
              <w:pStyle w:val="44"/>
              <w:keepNext w:val="0"/>
              <w:keepLines w:val="0"/>
              <w:pageBreakBefore w:val="0"/>
              <w:widowControl w:val="0"/>
              <w:kinsoku/>
              <w:wordWrap/>
              <w:overflowPunct/>
              <w:topLinePunct w:val="0"/>
              <w:autoSpaceDE/>
              <w:autoSpaceDN/>
              <w:bidi w:val="0"/>
              <w:adjustRightInd/>
              <w:snapToGrid/>
              <w:spacing w:line="340" w:lineRule="exact"/>
              <w:textAlignment w:val="auto"/>
              <w:rPr>
                <w:color w:val="auto"/>
                <w:highlight w:val="none"/>
              </w:rPr>
            </w:pPr>
            <w:r>
              <w:rPr>
                <w:rFonts w:hint="eastAsia" w:ascii="宋体"/>
                <w:color w:val="auto"/>
                <w:highlight w:val="none"/>
              </w:rPr>
              <w:t>发包人：</w:t>
            </w:r>
            <w:r>
              <w:rPr>
                <w:rFonts w:hint="eastAsia" w:ascii="宋体" w:hAnsi="宋体"/>
                <w:color w:val="auto"/>
                <w:highlight w:val="none"/>
              </w:rPr>
              <w:t>新昌县公路与运输管理中心</w:t>
            </w:r>
          </w:p>
          <w:p w14:paraId="624387B1">
            <w:pPr>
              <w:pStyle w:val="44"/>
              <w:keepNext w:val="0"/>
              <w:keepLines w:val="0"/>
              <w:pageBreakBefore w:val="0"/>
              <w:widowControl w:val="0"/>
              <w:kinsoku/>
              <w:wordWrap/>
              <w:overflowPunct/>
              <w:topLinePunct w:val="0"/>
              <w:autoSpaceDE/>
              <w:autoSpaceDN/>
              <w:bidi w:val="0"/>
              <w:adjustRightInd/>
              <w:snapToGrid/>
              <w:spacing w:line="340" w:lineRule="exact"/>
              <w:textAlignment w:val="auto"/>
              <w:rPr>
                <w:rFonts w:ascii="宋体" w:eastAsia="宋体"/>
                <w:color w:val="auto"/>
                <w:highlight w:val="none"/>
              </w:rPr>
            </w:pPr>
            <w:r>
              <w:rPr>
                <w:rFonts w:hint="eastAsia" w:ascii="宋体"/>
                <w:color w:val="auto"/>
                <w:highlight w:val="none"/>
              </w:rPr>
              <w:t>地  址：</w:t>
            </w:r>
            <w:r>
              <w:rPr>
                <w:rFonts w:hint="eastAsia" w:ascii="宋体" w:hAnsi="宋体" w:eastAsia="宋体" w:cs="Times New Roman"/>
                <w:color w:val="auto"/>
                <w:highlight w:val="none"/>
              </w:rPr>
              <w:t>新昌县七星街道鼓山西路650号</w:t>
            </w:r>
          </w:p>
        </w:tc>
      </w:tr>
      <w:tr w14:paraId="3DA421C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28" w:type="dxa"/>
            <w:bottom w:w="57" w:type="dxa"/>
            <w:right w:w="28" w:type="dxa"/>
          </w:tblCellMar>
        </w:tblPrEx>
        <w:trPr>
          <w:trHeight w:val="495" w:hRule="atLeast"/>
        </w:trPr>
        <w:tc>
          <w:tcPr>
            <w:tcW w:w="600" w:type="dxa"/>
            <w:tcBorders>
              <w:tl2br w:val="nil"/>
              <w:tr2bl w:val="nil"/>
            </w:tcBorders>
            <w:noWrap w:val="0"/>
            <w:vAlign w:val="center"/>
          </w:tcPr>
          <w:p w14:paraId="596EDF73">
            <w:pPr>
              <w:pStyle w:val="44"/>
              <w:spacing w:line="320" w:lineRule="exact"/>
              <w:jc w:val="center"/>
              <w:rPr>
                <w:rFonts w:ascii="宋体"/>
                <w:color w:val="auto"/>
                <w:highlight w:val="none"/>
              </w:rPr>
            </w:pPr>
            <w:r>
              <w:rPr>
                <w:rFonts w:hint="eastAsia" w:ascii="宋体"/>
                <w:color w:val="auto"/>
                <w:highlight w:val="none"/>
              </w:rPr>
              <w:t>2</w:t>
            </w:r>
          </w:p>
        </w:tc>
        <w:tc>
          <w:tcPr>
            <w:tcW w:w="1179" w:type="dxa"/>
            <w:tcBorders>
              <w:tl2br w:val="nil"/>
              <w:tr2bl w:val="nil"/>
            </w:tcBorders>
            <w:noWrap w:val="0"/>
            <w:vAlign w:val="center"/>
          </w:tcPr>
          <w:p w14:paraId="7E0E8A5C">
            <w:pPr>
              <w:pStyle w:val="44"/>
              <w:spacing w:line="320" w:lineRule="exact"/>
              <w:jc w:val="center"/>
              <w:rPr>
                <w:rFonts w:ascii="宋体"/>
                <w:color w:val="auto"/>
                <w:highlight w:val="none"/>
              </w:rPr>
            </w:pPr>
            <w:r>
              <w:rPr>
                <w:rFonts w:hint="eastAsia" w:ascii="宋体"/>
                <w:color w:val="auto"/>
                <w:highlight w:val="none"/>
              </w:rPr>
              <w:t>1.1.2.6</w:t>
            </w:r>
          </w:p>
        </w:tc>
        <w:tc>
          <w:tcPr>
            <w:tcW w:w="7273" w:type="dxa"/>
            <w:tcBorders>
              <w:tl2br w:val="nil"/>
              <w:tr2bl w:val="nil"/>
            </w:tcBorders>
            <w:noWrap w:val="0"/>
            <w:vAlign w:val="center"/>
          </w:tcPr>
          <w:p w14:paraId="16A78861">
            <w:pPr>
              <w:pStyle w:val="44"/>
              <w:keepNext w:val="0"/>
              <w:keepLines w:val="0"/>
              <w:pageBreakBefore w:val="0"/>
              <w:widowControl w:val="0"/>
              <w:kinsoku/>
              <w:wordWrap/>
              <w:overflowPunct/>
              <w:topLinePunct w:val="0"/>
              <w:autoSpaceDE/>
              <w:autoSpaceDN/>
              <w:bidi w:val="0"/>
              <w:adjustRightInd/>
              <w:snapToGrid/>
              <w:spacing w:line="340" w:lineRule="exact"/>
              <w:textAlignment w:val="auto"/>
              <w:rPr>
                <w:rFonts w:ascii="宋体"/>
                <w:color w:val="auto"/>
                <w:highlight w:val="none"/>
              </w:rPr>
            </w:pPr>
            <w:r>
              <w:rPr>
                <w:rFonts w:hint="eastAsia" w:ascii="宋体"/>
                <w:color w:val="auto"/>
                <w:highlight w:val="none"/>
              </w:rPr>
              <w:t>监理人：签订合同后，通知承包人</w:t>
            </w:r>
          </w:p>
        </w:tc>
      </w:tr>
      <w:tr w14:paraId="6AB6EA3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28" w:type="dxa"/>
            <w:bottom w:w="57" w:type="dxa"/>
            <w:right w:w="28" w:type="dxa"/>
          </w:tblCellMar>
        </w:tblPrEx>
        <w:trPr>
          <w:trHeight w:val="495" w:hRule="atLeast"/>
        </w:trPr>
        <w:tc>
          <w:tcPr>
            <w:tcW w:w="600" w:type="dxa"/>
            <w:tcBorders>
              <w:tl2br w:val="nil"/>
              <w:tr2bl w:val="nil"/>
            </w:tcBorders>
            <w:noWrap w:val="0"/>
            <w:vAlign w:val="center"/>
          </w:tcPr>
          <w:p w14:paraId="7C712195">
            <w:pPr>
              <w:pStyle w:val="44"/>
              <w:spacing w:line="320" w:lineRule="exact"/>
              <w:jc w:val="center"/>
              <w:rPr>
                <w:rFonts w:ascii="宋体"/>
                <w:color w:val="auto"/>
                <w:highlight w:val="none"/>
              </w:rPr>
            </w:pPr>
            <w:r>
              <w:rPr>
                <w:rFonts w:hint="eastAsia" w:ascii="宋体"/>
                <w:color w:val="auto"/>
                <w:highlight w:val="none"/>
              </w:rPr>
              <w:t>3</w:t>
            </w:r>
          </w:p>
        </w:tc>
        <w:tc>
          <w:tcPr>
            <w:tcW w:w="1179" w:type="dxa"/>
            <w:tcBorders>
              <w:tl2br w:val="nil"/>
              <w:tr2bl w:val="nil"/>
            </w:tcBorders>
            <w:noWrap w:val="0"/>
            <w:vAlign w:val="center"/>
          </w:tcPr>
          <w:p w14:paraId="10D367A3">
            <w:pPr>
              <w:pStyle w:val="44"/>
              <w:spacing w:line="320" w:lineRule="exact"/>
              <w:jc w:val="center"/>
              <w:rPr>
                <w:rFonts w:ascii="宋体"/>
                <w:color w:val="auto"/>
                <w:highlight w:val="none"/>
              </w:rPr>
            </w:pPr>
            <w:r>
              <w:rPr>
                <w:rFonts w:hint="eastAsia" w:ascii="宋体"/>
                <w:color w:val="auto"/>
                <w:highlight w:val="none"/>
              </w:rPr>
              <w:t>1.1.4.5</w:t>
            </w:r>
          </w:p>
        </w:tc>
        <w:tc>
          <w:tcPr>
            <w:tcW w:w="7273" w:type="dxa"/>
            <w:tcBorders>
              <w:tl2br w:val="nil"/>
              <w:tr2bl w:val="nil"/>
            </w:tcBorders>
            <w:noWrap w:val="0"/>
            <w:vAlign w:val="center"/>
          </w:tcPr>
          <w:p w14:paraId="7982D8FB">
            <w:pPr>
              <w:pStyle w:val="44"/>
              <w:keepNext w:val="0"/>
              <w:keepLines w:val="0"/>
              <w:pageBreakBefore w:val="0"/>
              <w:widowControl w:val="0"/>
              <w:kinsoku/>
              <w:wordWrap/>
              <w:overflowPunct/>
              <w:topLinePunct w:val="0"/>
              <w:autoSpaceDE/>
              <w:autoSpaceDN/>
              <w:bidi w:val="0"/>
              <w:adjustRightInd/>
              <w:snapToGrid/>
              <w:spacing w:line="340" w:lineRule="exact"/>
              <w:textAlignment w:val="auto"/>
              <w:rPr>
                <w:rFonts w:ascii="宋体"/>
                <w:color w:val="auto"/>
                <w:highlight w:val="none"/>
              </w:rPr>
            </w:pPr>
            <w:r>
              <w:rPr>
                <w:rFonts w:hint="eastAsia" w:ascii="宋体"/>
                <w:color w:val="auto"/>
                <w:highlight w:val="none"/>
              </w:rPr>
              <w:t>缺陷责任期：</w:t>
            </w:r>
            <w:r>
              <w:rPr>
                <w:rFonts w:hint="eastAsia"/>
                <w:color w:val="auto"/>
                <w:highlight w:val="none"/>
              </w:rPr>
              <w:t>自实际交工日期（交工证书颁发之日）起计算</w:t>
            </w:r>
            <w:r>
              <w:rPr>
                <w:rFonts w:hint="eastAsia" w:eastAsia="宋体"/>
                <w:color w:val="auto"/>
                <w:highlight w:val="none"/>
              </w:rPr>
              <w:t>12</w:t>
            </w:r>
            <w:r>
              <w:rPr>
                <w:rFonts w:hint="eastAsia"/>
                <w:color w:val="auto"/>
                <w:highlight w:val="none"/>
              </w:rPr>
              <w:t>个月。</w:t>
            </w:r>
          </w:p>
        </w:tc>
      </w:tr>
      <w:tr w14:paraId="4102551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28" w:type="dxa"/>
            <w:bottom w:w="57" w:type="dxa"/>
            <w:right w:w="28" w:type="dxa"/>
          </w:tblCellMar>
        </w:tblPrEx>
        <w:trPr>
          <w:trHeight w:val="489" w:hRule="atLeast"/>
        </w:trPr>
        <w:tc>
          <w:tcPr>
            <w:tcW w:w="600" w:type="dxa"/>
            <w:tcBorders>
              <w:tl2br w:val="nil"/>
              <w:tr2bl w:val="nil"/>
            </w:tcBorders>
            <w:noWrap w:val="0"/>
            <w:vAlign w:val="center"/>
          </w:tcPr>
          <w:p w14:paraId="7D181026">
            <w:pPr>
              <w:pStyle w:val="44"/>
              <w:spacing w:line="320" w:lineRule="exact"/>
              <w:jc w:val="center"/>
              <w:rPr>
                <w:rFonts w:ascii="宋体"/>
                <w:color w:val="auto"/>
                <w:highlight w:val="none"/>
              </w:rPr>
            </w:pPr>
            <w:r>
              <w:rPr>
                <w:rFonts w:hint="eastAsia" w:ascii="宋体"/>
                <w:color w:val="auto"/>
                <w:highlight w:val="none"/>
              </w:rPr>
              <w:t>4</w:t>
            </w:r>
          </w:p>
        </w:tc>
        <w:tc>
          <w:tcPr>
            <w:tcW w:w="1179" w:type="dxa"/>
            <w:tcBorders>
              <w:tl2br w:val="nil"/>
              <w:tr2bl w:val="nil"/>
            </w:tcBorders>
            <w:noWrap w:val="0"/>
            <w:vAlign w:val="center"/>
          </w:tcPr>
          <w:p w14:paraId="30222B96">
            <w:pPr>
              <w:pStyle w:val="44"/>
              <w:spacing w:line="320" w:lineRule="exact"/>
              <w:jc w:val="center"/>
              <w:rPr>
                <w:rFonts w:ascii="宋体"/>
                <w:color w:val="auto"/>
                <w:highlight w:val="none"/>
              </w:rPr>
            </w:pPr>
            <w:r>
              <w:rPr>
                <w:rFonts w:hint="eastAsia" w:ascii="宋体"/>
                <w:color w:val="auto"/>
                <w:highlight w:val="none"/>
              </w:rPr>
              <w:t>1.6.3</w:t>
            </w:r>
          </w:p>
        </w:tc>
        <w:tc>
          <w:tcPr>
            <w:tcW w:w="7273" w:type="dxa"/>
            <w:tcBorders>
              <w:tl2br w:val="nil"/>
              <w:tr2bl w:val="nil"/>
            </w:tcBorders>
            <w:noWrap w:val="0"/>
            <w:vAlign w:val="center"/>
          </w:tcPr>
          <w:p w14:paraId="325494F4">
            <w:pPr>
              <w:pStyle w:val="44"/>
              <w:keepNext w:val="0"/>
              <w:keepLines w:val="0"/>
              <w:pageBreakBefore w:val="0"/>
              <w:widowControl w:val="0"/>
              <w:kinsoku/>
              <w:wordWrap/>
              <w:overflowPunct/>
              <w:topLinePunct w:val="0"/>
              <w:autoSpaceDE/>
              <w:autoSpaceDN/>
              <w:bidi w:val="0"/>
              <w:adjustRightInd/>
              <w:snapToGrid/>
              <w:spacing w:line="340" w:lineRule="exact"/>
              <w:textAlignment w:val="auto"/>
              <w:rPr>
                <w:rFonts w:ascii="宋体"/>
                <w:color w:val="auto"/>
                <w:highlight w:val="none"/>
              </w:rPr>
            </w:pPr>
            <w:r>
              <w:rPr>
                <w:rFonts w:hint="eastAsia" w:ascii="宋体"/>
                <w:color w:val="auto"/>
                <w:highlight w:val="none"/>
              </w:rPr>
              <w:t>图纸需要修改和补充的，应由监理人取得发包人同意后，在该工程或工程相应部位施工前</w:t>
            </w:r>
            <w:r>
              <w:rPr>
                <w:rFonts w:hint="eastAsia" w:ascii="宋体"/>
                <w:color w:val="auto"/>
                <w:highlight w:val="none"/>
                <w:u w:val="single"/>
              </w:rPr>
              <w:t>7</w:t>
            </w:r>
            <w:r>
              <w:rPr>
                <w:rFonts w:hint="eastAsia" w:ascii="宋体"/>
                <w:color w:val="auto"/>
                <w:highlight w:val="none"/>
              </w:rPr>
              <w:t>天内签发图纸修改图和补充图给承包人</w:t>
            </w:r>
          </w:p>
        </w:tc>
      </w:tr>
      <w:tr w14:paraId="1FF3FD6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28" w:type="dxa"/>
            <w:bottom w:w="57" w:type="dxa"/>
            <w:right w:w="28" w:type="dxa"/>
          </w:tblCellMar>
        </w:tblPrEx>
        <w:trPr>
          <w:trHeight w:val="679" w:hRule="atLeast"/>
        </w:trPr>
        <w:tc>
          <w:tcPr>
            <w:tcW w:w="600" w:type="dxa"/>
            <w:tcBorders>
              <w:tl2br w:val="nil"/>
              <w:tr2bl w:val="nil"/>
            </w:tcBorders>
            <w:noWrap w:val="0"/>
            <w:vAlign w:val="center"/>
          </w:tcPr>
          <w:p w14:paraId="6C7695FA">
            <w:pPr>
              <w:pStyle w:val="44"/>
              <w:spacing w:line="320" w:lineRule="exact"/>
              <w:jc w:val="center"/>
              <w:rPr>
                <w:rFonts w:ascii="宋体"/>
                <w:color w:val="auto"/>
                <w:highlight w:val="none"/>
              </w:rPr>
            </w:pPr>
            <w:r>
              <w:rPr>
                <w:rFonts w:hint="eastAsia" w:ascii="宋体"/>
                <w:color w:val="auto"/>
                <w:highlight w:val="none"/>
              </w:rPr>
              <w:t>5</w:t>
            </w:r>
          </w:p>
        </w:tc>
        <w:tc>
          <w:tcPr>
            <w:tcW w:w="1179" w:type="dxa"/>
            <w:tcBorders>
              <w:tl2br w:val="nil"/>
              <w:tr2bl w:val="nil"/>
            </w:tcBorders>
            <w:noWrap w:val="0"/>
            <w:vAlign w:val="center"/>
          </w:tcPr>
          <w:p w14:paraId="5FFC1F75">
            <w:pPr>
              <w:pStyle w:val="44"/>
              <w:spacing w:line="320" w:lineRule="exact"/>
              <w:jc w:val="center"/>
              <w:rPr>
                <w:rFonts w:ascii="宋体"/>
                <w:color w:val="auto"/>
                <w:highlight w:val="none"/>
              </w:rPr>
            </w:pPr>
            <w:r>
              <w:rPr>
                <w:rFonts w:hint="eastAsia" w:ascii="宋体"/>
                <w:color w:val="auto"/>
                <w:highlight w:val="none"/>
              </w:rPr>
              <w:t>3.1.1</w:t>
            </w:r>
          </w:p>
        </w:tc>
        <w:tc>
          <w:tcPr>
            <w:tcW w:w="7273" w:type="dxa"/>
            <w:tcBorders>
              <w:tl2br w:val="nil"/>
              <w:tr2bl w:val="nil"/>
            </w:tcBorders>
            <w:noWrap w:val="0"/>
            <w:vAlign w:val="center"/>
          </w:tcPr>
          <w:p w14:paraId="526BF4DF">
            <w:pPr>
              <w:pStyle w:val="44"/>
              <w:keepNext w:val="0"/>
              <w:keepLines w:val="0"/>
              <w:pageBreakBefore w:val="0"/>
              <w:widowControl w:val="0"/>
              <w:kinsoku/>
              <w:wordWrap/>
              <w:overflowPunct/>
              <w:topLinePunct w:val="0"/>
              <w:autoSpaceDE/>
              <w:autoSpaceDN/>
              <w:bidi w:val="0"/>
              <w:adjustRightInd/>
              <w:snapToGrid/>
              <w:spacing w:line="340" w:lineRule="exact"/>
              <w:textAlignment w:val="auto"/>
              <w:rPr>
                <w:rFonts w:ascii="宋体"/>
                <w:color w:val="auto"/>
                <w:highlight w:val="none"/>
              </w:rPr>
            </w:pPr>
            <w:r>
              <w:rPr>
                <w:rFonts w:hint="eastAsia" w:ascii="宋体"/>
                <w:color w:val="auto"/>
                <w:highlight w:val="none"/>
              </w:rPr>
              <w:t>监理人在行使下列权力前需要经发包人事先批准：</w:t>
            </w:r>
          </w:p>
          <w:p w14:paraId="33436B44">
            <w:pPr>
              <w:pStyle w:val="44"/>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eastAsia="宋体"/>
                <w:color w:val="auto"/>
                <w:highlight w:val="none"/>
              </w:rPr>
            </w:pPr>
            <w:r>
              <w:rPr>
                <w:rFonts w:ascii="宋体" w:cs="宋体"/>
                <w:color w:val="auto"/>
                <w:highlight w:val="none"/>
              </w:rPr>
              <w:t>(6)</w:t>
            </w:r>
            <w:r>
              <w:rPr>
                <w:rFonts w:hint="eastAsia" w:ascii="宋体" w:cs="宋体"/>
                <w:color w:val="auto"/>
                <w:spacing w:val="-3"/>
                <w:highlight w:val="none"/>
              </w:rPr>
              <w:t>根</w:t>
            </w:r>
            <w:r>
              <w:rPr>
                <w:rFonts w:hint="eastAsia" w:ascii="宋体" w:cs="宋体"/>
                <w:color w:val="auto"/>
                <w:highlight w:val="none"/>
              </w:rPr>
              <w:t>据第</w:t>
            </w:r>
            <w:r>
              <w:rPr>
                <w:rFonts w:ascii="宋体" w:cs="宋体"/>
                <w:color w:val="auto"/>
                <w:spacing w:val="-55"/>
                <w:highlight w:val="none"/>
              </w:rPr>
              <w:t xml:space="preserve"> </w:t>
            </w:r>
            <w:r>
              <w:rPr>
                <w:rFonts w:ascii="宋体" w:cs="宋体"/>
                <w:color w:val="auto"/>
                <w:highlight w:val="none"/>
              </w:rPr>
              <w:t>15.3</w:t>
            </w:r>
            <w:r>
              <w:rPr>
                <w:rFonts w:ascii="宋体" w:cs="宋体"/>
                <w:color w:val="auto"/>
                <w:spacing w:val="-55"/>
                <w:highlight w:val="none"/>
              </w:rPr>
              <w:t xml:space="preserve"> </w:t>
            </w:r>
            <w:r>
              <w:rPr>
                <w:rFonts w:hint="eastAsia" w:ascii="宋体" w:cs="宋体"/>
                <w:color w:val="auto"/>
                <w:highlight w:val="none"/>
              </w:rPr>
              <w:t>款</w:t>
            </w:r>
            <w:r>
              <w:rPr>
                <w:rFonts w:hint="eastAsia" w:ascii="宋体" w:cs="宋体"/>
                <w:color w:val="auto"/>
                <w:spacing w:val="-3"/>
                <w:highlight w:val="none"/>
              </w:rPr>
              <w:t>发</w:t>
            </w:r>
            <w:r>
              <w:rPr>
                <w:rFonts w:hint="eastAsia" w:ascii="宋体" w:cs="宋体"/>
                <w:color w:val="auto"/>
                <w:highlight w:val="none"/>
              </w:rPr>
              <w:t>出</w:t>
            </w:r>
            <w:r>
              <w:rPr>
                <w:rFonts w:hint="eastAsia" w:ascii="宋体" w:cs="宋体"/>
                <w:color w:val="auto"/>
                <w:spacing w:val="-3"/>
                <w:highlight w:val="none"/>
              </w:rPr>
              <w:t>的</w:t>
            </w:r>
            <w:r>
              <w:rPr>
                <w:rFonts w:hint="eastAsia" w:ascii="宋体" w:cs="宋体"/>
                <w:color w:val="auto"/>
                <w:highlight w:val="none"/>
              </w:rPr>
              <w:t>变更</w:t>
            </w:r>
            <w:r>
              <w:rPr>
                <w:rFonts w:hint="eastAsia" w:ascii="宋体" w:cs="宋体"/>
                <w:color w:val="auto"/>
                <w:spacing w:val="-3"/>
                <w:highlight w:val="none"/>
              </w:rPr>
              <w:t>指示</w:t>
            </w:r>
            <w:r>
              <w:rPr>
                <w:rFonts w:hint="eastAsia" w:ascii="宋体" w:cs="宋体"/>
                <w:color w:val="auto"/>
                <w:spacing w:val="-56"/>
                <w:highlight w:val="none"/>
              </w:rPr>
              <w:t>，</w:t>
            </w:r>
            <w:r>
              <w:rPr>
                <w:rFonts w:hint="eastAsia" w:ascii="宋体" w:cs="宋体"/>
                <w:color w:val="auto"/>
                <w:spacing w:val="-3"/>
                <w:highlight w:val="none"/>
              </w:rPr>
              <w:t>其</w:t>
            </w:r>
            <w:r>
              <w:rPr>
                <w:rFonts w:hint="eastAsia" w:ascii="宋体" w:cs="宋体"/>
                <w:color w:val="auto"/>
                <w:highlight w:val="none"/>
              </w:rPr>
              <w:t>单</w:t>
            </w:r>
            <w:r>
              <w:rPr>
                <w:rFonts w:hint="eastAsia" w:ascii="宋体" w:cs="宋体"/>
                <w:color w:val="auto"/>
                <w:spacing w:val="-3"/>
                <w:highlight w:val="none"/>
              </w:rPr>
              <w:t>项</w:t>
            </w:r>
            <w:r>
              <w:rPr>
                <w:rFonts w:hint="eastAsia" w:ascii="宋体" w:cs="宋体"/>
                <w:color w:val="auto"/>
                <w:highlight w:val="none"/>
              </w:rPr>
              <w:t>工</w:t>
            </w:r>
            <w:r>
              <w:rPr>
                <w:rFonts w:hint="eastAsia" w:ascii="宋体" w:cs="宋体"/>
                <w:color w:val="auto"/>
                <w:spacing w:val="-3"/>
                <w:highlight w:val="none"/>
              </w:rPr>
              <w:t>程变</w:t>
            </w:r>
            <w:r>
              <w:rPr>
                <w:rFonts w:hint="eastAsia" w:ascii="宋体" w:cs="宋体"/>
                <w:color w:val="auto"/>
                <w:highlight w:val="none"/>
              </w:rPr>
              <w:t>更涉</w:t>
            </w:r>
            <w:r>
              <w:rPr>
                <w:rFonts w:hint="eastAsia" w:ascii="宋体" w:cs="宋体"/>
                <w:color w:val="auto"/>
                <w:spacing w:val="-3"/>
                <w:highlight w:val="none"/>
              </w:rPr>
              <w:t>及</w:t>
            </w:r>
            <w:r>
              <w:rPr>
                <w:rFonts w:hint="eastAsia" w:ascii="宋体" w:cs="宋体"/>
                <w:color w:val="auto"/>
                <w:highlight w:val="none"/>
              </w:rPr>
              <w:t>的</w:t>
            </w:r>
            <w:r>
              <w:rPr>
                <w:rFonts w:hint="eastAsia" w:ascii="宋体" w:cs="宋体"/>
                <w:color w:val="auto"/>
                <w:spacing w:val="-3"/>
                <w:highlight w:val="none"/>
              </w:rPr>
              <w:t>金</w:t>
            </w:r>
            <w:r>
              <w:rPr>
                <w:rFonts w:hint="eastAsia" w:ascii="宋体" w:cs="宋体"/>
                <w:color w:val="auto"/>
                <w:highlight w:val="none"/>
              </w:rPr>
              <w:t>额</w:t>
            </w:r>
            <w:r>
              <w:rPr>
                <w:rFonts w:hint="eastAsia" w:ascii="宋体" w:cs="宋体"/>
                <w:color w:val="auto"/>
                <w:spacing w:val="-3"/>
                <w:highlight w:val="none"/>
              </w:rPr>
              <w:t>超</w:t>
            </w:r>
            <w:r>
              <w:rPr>
                <w:rFonts w:hint="eastAsia" w:ascii="宋体" w:cs="宋体"/>
                <w:color w:val="auto"/>
                <w:highlight w:val="none"/>
              </w:rPr>
              <w:t>过</w:t>
            </w:r>
            <w:r>
              <w:rPr>
                <w:rFonts w:hint="eastAsia" w:ascii="宋体" w:cs="宋体"/>
                <w:color w:val="auto"/>
                <w:spacing w:val="-3"/>
                <w:highlight w:val="none"/>
              </w:rPr>
              <w:t>了该单项</w:t>
            </w:r>
            <w:r>
              <w:rPr>
                <w:rFonts w:hint="eastAsia" w:ascii="宋体" w:cs="宋体"/>
                <w:color w:val="auto"/>
                <w:highlight w:val="none"/>
              </w:rPr>
              <w:t>工程</w:t>
            </w:r>
            <w:r>
              <w:rPr>
                <w:rFonts w:hint="eastAsia" w:ascii="宋体" w:cs="宋体"/>
                <w:color w:val="auto"/>
                <w:spacing w:val="-3"/>
                <w:highlight w:val="none"/>
              </w:rPr>
              <w:t>签</w:t>
            </w:r>
            <w:r>
              <w:rPr>
                <w:rFonts w:hint="eastAsia" w:ascii="宋体" w:cs="宋体"/>
                <w:color w:val="auto"/>
                <w:highlight w:val="none"/>
              </w:rPr>
              <w:t>约</w:t>
            </w:r>
            <w:r>
              <w:rPr>
                <w:rFonts w:hint="eastAsia" w:ascii="宋体" w:cs="宋体"/>
                <w:color w:val="auto"/>
                <w:spacing w:val="-3"/>
                <w:highlight w:val="none"/>
              </w:rPr>
              <w:t>时</w:t>
            </w:r>
            <w:r>
              <w:rPr>
                <w:rFonts w:hint="eastAsia" w:ascii="宋体" w:cs="宋体"/>
                <w:color w:val="auto"/>
                <w:highlight w:val="none"/>
              </w:rPr>
              <w:t>合</w:t>
            </w:r>
            <w:r>
              <w:rPr>
                <w:rFonts w:hint="eastAsia" w:ascii="宋体" w:cs="宋体"/>
                <w:color w:val="auto"/>
                <w:spacing w:val="-3"/>
                <w:highlight w:val="none"/>
              </w:rPr>
              <w:t>同</w:t>
            </w:r>
            <w:r>
              <w:rPr>
                <w:rFonts w:hint="eastAsia" w:ascii="宋体" w:cs="宋体"/>
                <w:color w:val="auto"/>
                <w:highlight w:val="none"/>
              </w:rPr>
              <w:t>价</w:t>
            </w:r>
            <w:r>
              <w:rPr>
                <w:rFonts w:hint="eastAsia" w:ascii="宋体" w:cs="宋体"/>
                <w:color w:val="auto"/>
                <w:spacing w:val="-3"/>
                <w:highlight w:val="none"/>
              </w:rPr>
              <w:t>的</w:t>
            </w:r>
            <w:r>
              <w:rPr>
                <w:rFonts w:ascii="宋体" w:cs="宋体"/>
                <w:color w:val="auto"/>
                <w:spacing w:val="-3"/>
                <w:highlight w:val="none"/>
                <w:u w:val="single"/>
              </w:rPr>
              <w:t xml:space="preserve"> / </w:t>
            </w:r>
            <w:r>
              <w:rPr>
                <w:rFonts w:hint="eastAsia" w:ascii="宋体" w:cs="宋体"/>
                <w:color w:val="auto"/>
                <w:highlight w:val="none"/>
              </w:rPr>
              <w:t>％或</w:t>
            </w:r>
            <w:r>
              <w:rPr>
                <w:rFonts w:hint="eastAsia" w:ascii="宋体" w:cs="宋体"/>
                <w:color w:val="auto"/>
                <w:spacing w:val="-3"/>
                <w:highlight w:val="none"/>
              </w:rPr>
              <w:t>累</w:t>
            </w:r>
            <w:r>
              <w:rPr>
                <w:rFonts w:hint="eastAsia" w:ascii="宋体" w:cs="宋体"/>
                <w:color w:val="auto"/>
                <w:highlight w:val="none"/>
              </w:rPr>
              <w:t>计</w:t>
            </w:r>
            <w:r>
              <w:rPr>
                <w:rFonts w:hint="eastAsia" w:ascii="宋体" w:cs="宋体"/>
                <w:color w:val="auto"/>
                <w:spacing w:val="-3"/>
                <w:highlight w:val="none"/>
              </w:rPr>
              <w:t>变</w:t>
            </w:r>
            <w:r>
              <w:rPr>
                <w:rFonts w:hint="eastAsia" w:ascii="宋体" w:cs="宋体"/>
                <w:color w:val="auto"/>
                <w:highlight w:val="none"/>
              </w:rPr>
              <w:t>更</w:t>
            </w:r>
            <w:r>
              <w:rPr>
                <w:rFonts w:hint="eastAsia" w:ascii="宋体" w:cs="宋体"/>
                <w:color w:val="auto"/>
                <w:spacing w:val="-3"/>
                <w:highlight w:val="none"/>
              </w:rPr>
              <w:t>超</w:t>
            </w:r>
            <w:r>
              <w:rPr>
                <w:rFonts w:hint="eastAsia" w:ascii="宋体" w:cs="宋体"/>
                <w:color w:val="auto"/>
                <w:highlight w:val="none"/>
              </w:rPr>
              <w:t>过</w:t>
            </w:r>
            <w:r>
              <w:rPr>
                <w:rFonts w:hint="eastAsia" w:ascii="宋体" w:cs="宋体"/>
                <w:color w:val="auto"/>
                <w:spacing w:val="-3"/>
                <w:highlight w:val="none"/>
              </w:rPr>
              <w:t>了</w:t>
            </w:r>
            <w:r>
              <w:rPr>
                <w:rFonts w:hint="eastAsia" w:ascii="宋体" w:cs="宋体"/>
                <w:color w:val="auto"/>
                <w:highlight w:val="none"/>
              </w:rPr>
              <w:t>签</w:t>
            </w:r>
            <w:r>
              <w:rPr>
                <w:rFonts w:hint="eastAsia" w:ascii="宋体" w:cs="宋体"/>
                <w:color w:val="auto"/>
                <w:spacing w:val="-3"/>
                <w:highlight w:val="none"/>
              </w:rPr>
              <w:t>约</w:t>
            </w:r>
            <w:r>
              <w:rPr>
                <w:rFonts w:hint="eastAsia" w:ascii="宋体" w:cs="宋体"/>
                <w:color w:val="auto"/>
                <w:highlight w:val="none"/>
              </w:rPr>
              <w:t>合同</w:t>
            </w:r>
            <w:r>
              <w:rPr>
                <w:rFonts w:hint="eastAsia" w:ascii="宋体" w:cs="宋体"/>
                <w:color w:val="auto"/>
                <w:spacing w:val="-3"/>
                <w:highlight w:val="none"/>
              </w:rPr>
              <w:t>价</w:t>
            </w:r>
            <w:r>
              <w:rPr>
                <w:rFonts w:hint="eastAsia" w:ascii="宋体" w:cs="宋体"/>
                <w:color w:val="auto"/>
                <w:highlight w:val="none"/>
              </w:rPr>
              <w:t>的</w:t>
            </w:r>
            <w:r>
              <w:rPr>
                <w:rFonts w:ascii="宋体" w:cs="宋体"/>
                <w:color w:val="auto"/>
                <w:highlight w:val="none"/>
                <w:u w:val="single"/>
              </w:rPr>
              <w:t xml:space="preserve"> / </w:t>
            </w:r>
            <w:r>
              <w:rPr>
                <w:rFonts w:hint="eastAsia" w:ascii="宋体" w:cs="宋体"/>
                <w:color w:val="auto"/>
                <w:highlight w:val="none"/>
              </w:rPr>
              <w:t>％。</w:t>
            </w:r>
          </w:p>
        </w:tc>
      </w:tr>
      <w:tr w14:paraId="5F351CD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28" w:type="dxa"/>
            <w:bottom w:w="57" w:type="dxa"/>
            <w:right w:w="28" w:type="dxa"/>
          </w:tblCellMar>
        </w:tblPrEx>
        <w:trPr>
          <w:trHeight w:val="687" w:hRule="atLeast"/>
        </w:trPr>
        <w:tc>
          <w:tcPr>
            <w:tcW w:w="600" w:type="dxa"/>
            <w:tcBorders>
              <w:tl2br w:val="nil"/>
              <w:tr2bl w:val="nil"/>
            </w:tcBorders>
            <w:noWrap w:val="0"/>
            <w:vAlign w:val="center"/>
          </w:tcPr>
          <w:p w14:paraId="26BC10DB">
            <w:pPr>
              <w:pStyle w:val="44"/>
              <w:spacing w:line="320" w:lineRule="exact"/>
              <w:jc w:val="center"/>
              <w:rPr>
                <w:rFonts w:ascii="宋体"/>
                <w:color w:val="auto"/>
                <w:highlight w:val="none"/>
              </w:rPr>
            </w:pPr>
            <w:r>
              <w:rPr>
                <w:rFonts w:hint="eastAsia" w:ascii="宋体"/>
                <w:color w:val="auto"/>
                <w:highlight w:val="none"/>
              </w:rPr>
              <w:t>6</w:t>
            </w:r>
          </w:p>
        </w:tc>
        <w:tc>
          <w:tcPr>
            <w:tcW w:w="1179" w:type="dxa"/>
            <w:tcBorders>
              <w:tl2br w:val="nil"/>
              <w:tr2bl w:val="nil"/>
            </w:tcBorders>
            <w:noWrap w:val="0"/>
            <w:vAlign w:val="center"/>
          </w:tcPr>
          <w:p w14:paraId="3CF27B21">
            <w:pPr>
              <w:pStyle w:val="44"/>
              <w:spacing w:line="320" w:lineRule="exact"/>
              <w:jc w:val="center"/>
              <w:rPr>
                <w:rFonts w:ascii="宋体"/>
                <w:color w:val="auto"/>
                <w:highlight w:val="none"/>
              </w:rPr>
            </w:pPr>
            <w:r>
              <w:rPr>
                <w:rFonts w:hint="eastAsia" w:ascii="宋体"/>
                <w:color w:val="auto"/>
                <w:highlight w:val="none"/>
              </w:rPr>
              <w:t>5.2.1</w:t>
            </w:r>
          </w:p>
        </w:tc>
        <w:tc>
          <w:tcPr>
            <w:tcW w:w="7273" w:type="dxa"/>
            <w:tcBorders>
              <w:tl2br w:val="nil"/>
              <w:tr2bl w:val="nil"/>
            </w:tcBorders>
            <w:noWrap w:val="0"/>
            <w:vAlign w:val="center"/>
          </w:tcPr>
          <w:p w14:paraId="021164BC">
            <w:pPr>
              <w:pStyle w:val="44"/>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eastAsia="宋体"/>
                <w:color w:val="auto"/>
                <w:highlight w:val="none"/>
                <w:u w:val="single"/>
                <w:lang w:val="en-US" w:eastAsia="zh-CN"/>
              </w:rPr>
            </w:pPr>
            <w:r>
              <w:rPr>
                <w:rFonts w:hint="eastAsia" w:ascii="宋体"/>
                <w:color w:val="auto"/>
                <w:highlight w:val="none"/>
              </w:rPr>
              <w:t>发包人是否提供材料：</w:t>
            </w:r>
            <w:r>
              <w:rPr>
                <w:rFonts w:hint="eastAsia" w:ascii="宋体" w:eastAsia="宋体"/>
                <w:color w:val="auto"/>
                <w:highlight w:val="none"/>
                <w:u w:val="single"/>
                <w:lang w:val="en-US" w:eastAsia="zh-CN"/>
              </w:rPr>
              <w:t xml:space="preserve"> </w:t>
            </w:r>
            <w:r>
              <w:rPr>
                <w:rFonts w:hint="eastAsia" w:ascii="宋体"/>
                <w:color w:val="auto"/>
                <w:highlight w:val="none"/>
                <w:u w:val="single"/>
              </w:rPr>
              <w:t>否</w:t>
            </w:r>
            <w:r>
              <w:rPr>
                <w:rFonts w:hint="eastAsia" w:ascii="宋体" w:eastAsia="宋体"/>
                <w:color w:val="auto"/>
                <w:highlight w:val="none"/>
                <w:u w:val="single"/>
                <w:lang w:val="en-US" w:eastAsia="zh-CN"/>
              </w:rPr>
              <w:t xml:space="preserve"> </w:t>
            </w:r>
          </w:p>
          <w:p w14:paraId="544AF957">
            <w:pPr>
              <w:pStyle w:val="44"/>
              <w:keepNext w:val="0"/>
              <w:keepLines w:val="0"/>
              <w:pageBreakBefore w:val="0"/>
              <w:widowControl w:val="0"/>
              <w:kinsoku/>
              <w:wordWrap/>
              <w:overflowPunct/>
              <w:topLinePunct w:val="0"/>
              <w:autoSpaceDE/>
              <w:autoSpaceDN/>
              <w:bidi w:val="0"/>
              <w:adjustRightInd/>
              <w:snapToGrid/>
              <w:spacing w:line="340" w:lineRule="exact"/>
              <w:textAlignment w:val="auto"/>
              <w:rPr>
                <w:rFonts w:hint="default" w:ascii="宋体" w:eastAsia="宋体"/>
                <w:color w:val="auto"/>
                <w:highlight w:val="none"/>
                <w:u w:val="single"/>
                <w:lang w:val="en-US" w:eastAsia="zh-CN"/>
              </w:rPr>
            </w:pPr>
            <w:r>
              <w:rPr>
                <w:rFonts w:hint="eastAsia" w:ascii="宋体" w:eastAsia="宋体"/>
                <w:color w:val="auto"/>
                <w:highlight w:val="none"/>
                <w:u w:val="none"/>
                <w:lang w:val="en-US" w:eastAsia="zh-CN"/>
              </w:rPr>
              <w:t>如发包人负责提供部分材料，相关规定如下：</w:t>
            </w:r>
            <w:r>
              <w:rPr>
                <w:rFonts w:hint="eastAsia" w:ascii="宋体" w:eastAsia="宋体"/>
                <w:color w:val="auto"/>
                <w:highlight w:val="none"/>
                <w:u w:val="single"/>
                <w:lang w:val="en-US" w:eastAsia="zh-CN"/>
              </w:rPr>
              <w:t xml:space="preserve"> / </w:t>
            </w:r>
          </w:p>
        </w:tc>
      </w:tr>
      <w:tr w14:paraId="39B8CA3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28" w:type="dxa"/>
            <w:bottom w:w="57" w:type="dxa"/>
            <w:right w:w="28" w:type="dxa"/>
          </w:tblCellMar>
        </w:tblPrEx>
        <w:trPr>
          <w:trHeight w:val="270" w:hRule="atLeast"/>
        </w:trPr>
        <w:tc>
          <w:tcPr>
            <w:tcW w:w="600" w:type="dxa"/>
            <w:tcBorders>
              <w:tl2br w:val="nil"/>
              <w:tr2bl w:val="nil"/>
            </w:tcBorders>
            <w:noWrap w:val="0"/>
            <w:vAlign w:val="center"/>
          </w:tcPr>
          <w:p w14:paraId="172EC546">
            <w:pPr>
              <w:pStyle w:val="44"/>
              <w:spacing w:line="320" w:lineRule="exact"/>
              <w:jc w:val="center"/>
              <w:rPr>
                <w:rFonts w:ascii="宋体"/>
                <w:color w:val="auto"/>
                <w:highlight w:val="none"/>
              </w:rPr>
            </w:pPr>
            <w:r>
              <w:rPr>
                <w:rFonts w:hint="eastAsia" w:ascii="宋体"/>
                <w:color w:val="auto"/>
                <w:highlight w:val="none"/>
              </w:rPr>
              <w:t>7</w:t>
            </w:r>
          </w:p>
        </w:tc>
        <w:tc>
          <w:tcPr>
            <w:tcW w:w="1179" w:type="dxa"/>
            <w:tcBorders>
              <w:tl2br w:val="nil"/>
              <w:tr2bl w:val="nil"/>
            </w:tcBorders>
            <w:noWrap w:val="0"/>
            <w:vAlign w:val="center"/>
          </w:tcPr>
          <w:p w14:paraId="7322D042">
            <w:pPr>
              <w:pStyle w:val="44"/>
              <w:spacing w:line="320" w:lineRule="exact"/>
              <w:jc w:val="center"/>
              <w:rPr>
                <w:rFonts w:ascii="宋体"/>
                <w:color w:val="auto"/>
                <w:highlight w:val="none"/>
              </w:rPr>
            </w:pPr>
            <w:r>
              <w:rPr>
                <w:rFonts w:hint="eastAsia" w:ascii="宋体"/>
                <w:color w:val="auto"/>
                <w:highlight w:val="none"/>
              </w:rPr>
              <w:t>6.2</w:t>
            </w:r>
          </w:p>
        </w:tc>
        <w:tc>
          <w:tcPr>
            <w:tcW w:w="7273" w:type="dxa"/>
            <w:tcBorders>
              <w:tl2br w:val="nil"/>
              <w:tr2bl w:val="nil"/>
            </w:tcBorders>
            <w:noWrap w:val="0"/>
            <w:vAlign w:val="center"/>
          </w:tcPr>
          <w:p w14:paraId="1429590C">
            <w:pPr>
              <w:pStyle w:val="44"/>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eastAsia="宋体"/>
                <w:color w:val="auto"/>
                <w:highlight w:val="none"/>
                <w:u w:val="single"/>
                <w:lang w:val="en-US" w:eastAsia="zh-CN"/>
              </w:rPr>
            </w:pPr>
            <w:r>
              <w:rPr>
                <w:rFonts w:hint="eastAsia" w:ascii="宋体"/>
                <w:color w:val="auto"/>
                <w:highlight w:val="none"/>
              </w:rPr>
              <w:t>发包人是否提供施工设备和临时设施：</w:t>
            </w:r>
            <w:r>
              <w:rPr>
                <w:rFonts w:hint="eastAsia" w:ascii="宋体" w:eastAsia="宋体"/>
                <w:color w:val="auto"/>
                <w:highlight w:val="none"/>
                <w:u w:val="single"/>
                <w:lang w:val="en-US" w:eastAsia="zh-CN"/>
              </w:rPr>
              <w:t xml:space="preserve"> </w:t>
            </w:r>
            <w:r>
              <w:rPr>
                <w:rFonts w:hint="eastAsia" w:ascii="宋体"/>
                <w:color w:val="auto"/>
                <w:highlight w:val="none"/>
                <w:u w:val="single"/>
              </w:rPr>
              <w:t>否</w:t>
            </w:r>
            <w:r>
              <w:rPr>
                <w:rFonts w:hint="eastAsia" w:ascii="宋体" w:eastAsia="宋体"/>
                <w:color w:val="auto"/>
                <w:highlight w:val="none"/>
                <w:u w:val="single"/>
                <w:lang w:val="en-US" w:eastAsia="zh-CN"/>
              </w:rPr>
              <w:t xml:space="preserve"> </w:t>
            </w:r>
          </w:p>
          <w:p w14:paraId="2346A762">
            <w:pPr>
              <w:pStyle w:val="44"/>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eastAsia="宋体"/>
                <w:color w:val="auto"/>
                <w:highlight w:val="none"/>
                <w:u w:val="single"/>
                <w:lang w:val="en-US" w:eastAsia="zh-CN"/>
              </w:rPr>
            </w:pPr>
            <w:r>
              <w:rPr>
                <w:rFonts w:hint="eastAsia" w:ascii="宋体" w:eastAsia="宋体"/>
                <w:color w:val="auto"/>
                <w:highlight w:val="none"/>
                <w:u w:val="none"/>
                <w:lang w:val="en-US" w:eastAsia="zh-CN"/>
              </w:rPr>
              <w:t>如发包人负责提供部分</w:t>
            </w:r>
            <w:r>
              <w:rPr>
                <w:rFonts w:hint="eastAsia" w:ascii="宋体"/>
                <w:color w:val="auto"/>
                <w:highlight w:val="none"/>
              </w:rPr>
              <w:t>施工设备和临时设施</w:t>
            </w:r>
            <w:r>
              <w:rPr>
                <w:rFonts w:hint="eastAsia" w:ascii="宋体" w:eastAsia="宋体"/>
                <w:color w:val="auto"/>
                <w:highlight w:val="none"/>
                <w:u w:val="none"/>
                <w:lang w:val="en-US" w:eastAsia="zh-CN"/>
              </w:rPr>
              <w:t>，相关规定如下：</w:t>
            </w:r>
            <w:r>
              <w:rPr>
                <w:rFonts w:hint="eastAsia" w:ascii="宋体" w:eastAsia="宋体"/>
                <w:color w:val="auto"/>
                <w:highlight w:val="none"/>
                <w:u w:val="single"/>
                <w:lang w:val="en-US" w:eastAsia="zh-CN"/>
              </w:rPr>
              <w:t xml:space="preserve"> / </w:t>
            </w:r>
          </w:p>
        </w:tc>
      </w:tr>
      <w:tr w14:paraId="3FC6EC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28" w:type="dxa"/>
            <w:bottom w:w="57" w:type="dxa"/>
            <w:right w:w="28" w:type="dxa"/>
          </w:tblCellMar>
        </w:tblPrEx>
        <w:trPr>
          <w:trHeight w:val="514" w:hRule="atLeast"/>
        </w:trPr>
        <w:tc>
          <w:tcPr>
            <w:tcW w:w="600" w:type="dxa"/>
            <w:tcBorders>
              <w:tl2br w:val="nil"/>
              <w:tr2bl w:val="nil"/>
            </w:tcBorders>
            <w:noWrap w:val="0"/>
            <w:vAlign w:val="center"/>
          </w:tcPr>
          <w:p w14:paraId="6E3F2597">
            <w:pPr>
              <w:pStyle w:val="44"/>
              <w:spacing w:line="320" w:lineRule="exact"/>
              <w:jc w:val="center"/>
              <w:rPr>
                <w:rFonts w:hint="eastAsia" w:ascii="宋体"/>
                <w:color w:val="auto"/>
                <w:highlight w:val="none"/>
              </w:rPr>
            </w:pPr>
            <w:r>
              <w:rPr>
                <w:rFonts w:hint="eastAsia" w:ascii="宋体"/>
                <w:color w:val="auto"/>
                <w:highlight w:val="none"/>
              </w:rPr>
              <w:t>8</w:t>
            </w:r>
          </w:p>
        </w:tc>
        <w:tc>
          <w:tcPr>
            <w:tcW w:w="1179" w:type="dxa"/>
            <w:tcBorders>
              <w:tl2br w:val="nil"/>
              <w:tr2bl w:val="nil"/>
            </w:tcBorders>
            <w:noWrap w:val="0"/>
            <w:vAlign w:val="center"/>
          </w:tcPr>
          <w:p w14:paraId="0B9FBE80">
            <w:pPr>
              <w:pStyle w:val="44"/>
              <w:spacing w:line="320" w:lineRule="exact"/>
              <w:jc w:val="center"/>
              <w:rPr>
                <w:rFonts w:hint="eastAsia" w:ascii="宋体" w:hAnsi="Times New Roman" w:eastAsia="Times New Roman" w:cs="Calibri"/>
                <w:color w:val="auto"/>
                <w:kern w:val="2"/>
                <w:sz w:val="21"/>
                <w:szCs w:val="21"/>
                <w:highlight w:val="none"/>
                <w:lang w:val="en-US" w:eastAsia="zh-CN" w:bidi="ar-SA"/>
              </w:rPr>
            </w:pPr>
            <w:r>
              <w:rPr>
                <w:rFonts w:hint="eastAsia" w:ascii="宋体"/>
                <w:color w:val="auto"/>
                <w:highlight w:val="none"/>
              </w:rPr>
              <w:t>11.5</w:t>
            </w:r>
          </w:p>
        </w:tc>
        <w:tc>
          <w:tcPr>
            <w:tcW w:w="7273" w:type="dxa"/>
            <w:tcBorders>
              <w:tl2br w:val="nil"/>
              <w:tr2bl w:val="nil"/>
            </w:tcBorders>
            <w:noWrap w:val="0"/>
            <w:vAlign w:val="center"/>
          </w:tcPr>
          <w:p w14:paraId="28419982">
            <w:pPr>
              <w:pStyle w:val="44"/>
              <w:keepNext w:val="0"/>
              <w:keepLines w:val="0"/>
              <w:pageBreakBefore w:val="0"/>
              <w:kinsoku/>
              <w:wordWrap/>
              <w:overflowPunct/>
              <w:topLinePunct w:val="0"/>
              <w:autoSpaceDE/>
              <w:autoSpaceDN/>
              <w:bidi w:val="0"/>
              <w:adjustRightInd/>
              <w:snapToGrid/>
              <w:spacing w:line="300" w:lineRule="exact"/>
              <w:textAlignment w:val="auto"/>
              <w:rPr>
                <w:rFonts w:hint="eastAsia" w:ascii="宋体" w:hAnsi="Times New Roman" w:eastAsia="Times New Roman" w:cs="Calibri"/>
                <w:color w:val="auto"/>
                <w:kern w:val="2"/>
                <w:sz w:val="21"/>
                <w:szCs w:val="21"/>
                <w:highlight w:val="none"/>
                <w:lang w:val="en-US" w:eastAsia="zh-CN" w:bidi="ar-SA"/>
              </w:rPr>
            </w:pPr>
            <w:r>
              <w:rPr>
                <w:color w:val="auto"/>
                <w:highlight w:val="none"/>
              </w:rPr>
              <w:t>逾期交工违约金：</w:t>
            </w:r>
            <w:r>
              <w:rPr>
                <w:rFonts w:hint="eastAsia"/>
                <w:color w:val="auto"/>
                <w:highlight w:val="none"/>
                <w:u w:val="single"/>
                <w:lang w:val="en-US" w:eastAsia="zh-CN"/>
              </w:rPr>
              <w:t>5</w:t>
            </w:r>
            <w:r>
              <w:rPr>
                <w:color w:val="auto"/>
                <w:highlight w:val="none"/>
                <w:u w:val="single"/>
              </w:rPr>
              <w:t>000</w:t>
            </w:r>
            <w:r>
              <w:rPr>
                <w:color w:val="auto"/>
                <w:highlight w:val="none"/>
              </w:rPr>
              <w:t>元∕天</w:t>
            </w:r>
            <w:r>
              <w:rPr>
                <w:rFonts w:hint="eastAsia"/>
                <w:color w:val="auto"/>
                <w:highlight w:val="none"/>
              </w:rPr>
              <w:t>。</w:t>
            </w:r>
          </w:p>
        </w:tc>
      </w:tr>
      <w:tr w14:paraId="0EE7009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28" w:type="dxa"/>
            <w:bottom w:w="57" w:type="dxa"/>
            <w:right w:w="28" w:type="dxa"/>
          </w:tblCellMar>
        </w:tblPrEx>
        <w:trPr>
          <w:trHeight w:val="457" w:hRule="atLeast"/>
        </w:trPr>
        <w:tc>
          <w:tcPr>
            <w:tcW w:w="600" w:type="dxa"/>
            <w:tcBorders>
              <w:tl2br w:val="nil"/>
              <w:tr2bl w:val="nil"/>
            </w:tcBorders>
            <w:noWrap w:val="0"/>
            <w:vAlign w:val="center"/>
          </w:tcPr>
          <w:p w14:paraId="30234DBF">
            <w:pPr>
              <w:pStyle w:val="44"/>
              <w:spacing w:line="320" w:lineRule="exact"/>
              <w:jc w:val="center"/>
              <w:rPr>
                <w:rFonts w:ascii="宋体"/>
                <w:color w:val="auto"/>
                <w:highlight w:val="none"/>
              </w:rPr>
            </w:pPr>
            <w:r>
              <w:rPr>
                <w:rFonts w:hint="eastAsia" w:ascii="宋体"/>
                <w:color w:val="auto"/>
                <w:highlight w:val="none"/>
              </w:rPr>
              <w:t>9</w:t>
            </w:r>
          </w:p>
        </w:tc>
        <w:tc>
          <w:tcPr>
            <w:tcW w:w="1179" w:type="dxa"/>
            <w:tcBorders>
              <w:tl2br w:val="nil"/>
              <w:tr2bl w:val="nil"/>
            </w:tcBorders>
            <w:noWrap w:val="0"/>
            <w:vAlign w:val="center"/>
          </w:tcPr>
          <w:p w14:paraId="338B3AE8">
            <w:pPr>
              <w:pStyle w:val="44"/>
              <w:spacing w:line="320" w:lineRule="exact"/>
              <w:jc w:val="center"/>
              <w:rPr>
                <w:rFonts w:ascii="宋体" w:hAnsi="Times New Roman" w:eastAsia="Times New Roman" w:cs="Calibri"/>
                <w:color w:val="auto"/>
                <w:kern w:val="2"/>
                <w:sz w:val="21"/>
                <w:szCs w:val="21"/>
                <w:highlight w:val="none"/>
                <w:lang w:val="en-US" w:eastAsia="zh-CN" w:bidi="ar-SA"/>
              </w:rPr>
            </w:pPr>
            <w:r>
              <w:rPr>
                <w:rFonts w:hint="eastAsia" w:ascii="宋体"/>
                <w:color w:val="auto"/>
                <w:highlight w:val="none"/>
              </w:rPr>
              <w:t>11.5</w:t>
            </w:r>
          </w:p>
        </w:tc>
        <w:tc>
          <w:tcPr>
            <w:tcW w:w="7273" w:type="dxa"/>
            <w:tcBorders>
              <w:tl2br w:val="nil"/>
              <w:tr2bl w:val="nil"/>
            </w:tcBorders>
            <w:noWrap w:val="0"/>
            <w:vAlign w:val="center"/>
          </w:tcPr>
          <w:p w14:paraId="6390F5C4">
            <w:pPr>
              <w:pStyle w:val="44"/>
              <w:keepNext w:val="0"/>
              <w:keepLines w:val="0"/>
              <w:pageBreakBefore w:val="0"/>
              <w:kinsoku/>
              <w:wordWrap/>
              <w:overflowPunct/>
              <w:topLinePunct w:val="0"/>
              <w:autoSpaceDE/>
              <w:autoSpaceDN/>
              <w:bidi w:val="0"/>
              <w:adjustRightInd/>
              <w:snapToGrid/>
              <w:spacing w:line="300" w:lineRule="exact"/>
              <w:textAlignment w:val="auto"/>
              <w:rPr>
                <w:rFonts w:hint="eastAsia" w:ascii="宋体" w:hAnsi="Times New Roman" w:eastAsia="宋体" w:cs="Calibri"/>
                <w:color w:val="auto"/>
                <w:kern w:val="2"/>
                <w:sz w:val="21"/>
                <w:szCs w:val="21"/>
                <w:highlight w:val="none"/>
                <w:lang w:val="en-US" w:eastAsia="zh-CN" w:bidi="ar-SA"/>
              </w:rPr>
            </w:pPr>
            <w:r>
              <w:rPr>
                <w:rFonts w:hint="eastAsia" w:ascii="宋体"/>
                <w:color w:val="auto"/>
                <w:highlight w:val="none"/>
              </w:rPr>
              <w:t>逾期交工违约金限额：</w:t>
            </w:r>
            <w:r>
              <w:rPr>
                <w:color w:val="auto"/>
                <w:highlight w:val="none"/>
                <w:u w:val="single"/>
              </w:rPr>
              <w:t xml:space="preserve"> 10 </w:t>
            </w:r>
            <w:r>
              <w:rPr>
                <w:color w:val="auto"/>
                <w:highlight w:val="none"/>
              </w:rPr>
              <w:t>%签约合同价</w:t>
            </w:r>
            <w:r>
              <w:rPr>
                <w:rFonts w:hint="eastAsia"/>
                <w:color w:val="auto"/>
                <w:highlight w:val="none"/>
              </w:rPr>
              <w:t>。</w:t>
            </w:r>
          </w:p>
        </w:tc>
      </w:tr>
      <w:tr w14:paraId="24241C5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28" w:type="dxa"/>
            <w:bottom w:w="57" w:type="dxa"/>
            <w:right w:w="28" w:type="dxa"/>
          </w:tblCellMar>
        </w:tblPrEx>
        <w:trPr>
          <w:trHeight w:val="512" w:hRule="atLeast"/>
        </w:trPr>
        <w:tc>
          <w:tcPr>
            <w:tcW w:w="600" w:type="dxa"/>
            <w:tcBorders>
              <w:tl2br w:val="nil"/>
              <w:tr2bl w:val="nil"/>
            </w:tcBorders>
            <w:noWrap w:val="0"/>
            <w:vAlign w:val="center"/>
          </w:tcPr>
          <w:p w14:paraId="38224264">
            <w:pPr>
              <w:pStyle w:val="44"/>
              <w:spacing w:line="320" w:lineRule="exact"/>
              <w:jc w:val="center"/>
              <w:rPr>
                <w:rFonts w:ascii="宋体"/>
                <w:color w:val="auto"/>
                <w:highlight w:val="none"/>
              </w:rPr>
            </w:pPr>
            <w:r>
              <w:rPr>
                <w:rFonts w:hint="eastAsia" w:ascii="宋体"/>
                <w:color w:val="auto"/>
                <w:highlight w:val="none"/>
              </w:rPr>
              <w:t>10</w:t>
            </w:r>
          </w:p>
        </w:tc>
        <w:tc>
          <w:tcPr>
            <w:tcW w:w="1179" w:type="dxa"/>
            <w:tcBorders>
              <w:tl2br w:val="nil"/>
              <w:tr2bl w:val="nil"/>
            </w:tcBorders>
            <w:noWrap w:val="0"/>
            <w:vAlign w:val="center"/>
          </w:tcPr>
          <w:p w14:paraId="32752D75">
            <w:pPr>
              <w:pStyle w:val="44"/>
              <w:spacing w:line="320" w:lineRule="exact"/>
              <w:jc w:val="center"/>
              <w:rPr>
                <w:rFonts w:ascii="宋体" w:hAnsi="Times New Roman" w:eastAsia="Times New Roman" w:cs="Calibri"/>
                <w:color w:val="auto"/>
                <w:kern w:val="2"/>
                <w:sz w:val="21"/>
                <w:szCs w:val="21"/>
                <w:highlight w:val="none"/>
                <w:lang w:val="en-US" w:eastAsia="zh-CN" w:bidi="ar-SA"/>
              </w:rPr>
            </w:pPr>
            <w:r>
              <w:rPr>
                <w:rFonts w:hint="eastAsia" w:ascii="宋体"/>
                <w:color w:val="auto"/>
                <w:highlight w:val="none"/>
              </w:rPr>
              <w:t>11.6</w:t>
            </w:r>
          </w:p>
        </w:tc>
        <w:tc>
          <w:tcPr>
            <w:tcW w:w="7273" w:type="dxa"/>
            <w:tcBorders>
              <w:tl2br w:val="nil"/>
              <w:tr2bl w:val="nil"/>
            </w:tcBorders>
            <w:noWrap w:val="0"/>
            <w:vAlign w:val="center"/>
          </w:tcPr>
          <w:p w14:paraId="6C365108">
            <w:pPr>
              <w:pStyle w:val="44"/>
              <w:keepNext w:val="0"/>
              <w:keepLines w:val="0"/>
              <w:pageBreakBefore w:val="0"/>
              <w:tabs>
                <w:tab w:val="left" w:pos="2790"/>
              </w:tabs>
              <w:kinsoku/>
              <w:wordWrap/>
              <w:overflowPunct/>
              <w:topLinePunct w:val="0"/>
              <w:autoSpaceDE/>
              <w:autoSpaceDN/>
              <w:bidi w:val="0"/>
              <w:adjustRightInd/>
              <w:snapToGrid/>
              <w:spacing w:line="300" w:lineRule="exact"/>
              <w:textAlignment w:val="auto"/>
              <w:rPr>
                <w:rFonts w:hint="eastAsia" w:ascii="宋体" w:hAnsi="Times New Roman" w:eastAsia="宋体" w:cs="Calibri"/>
                <w:color w:val="auto"/>
                <w:kern w:val="2"/>
                <w:sz w:val="21"/>
                <w:szCs w:val="21"/>
                <w:highlight w:val="none"/>
                <w:lang w:val="en-US" w:eastAsia="zh-CN" w:bidi="ar-SA"/>
              </w:rPr>
            </w:pPr>
            <w:r>
              <w:rPr>
                <w:rFonts w:hint="eastAsia" w:ascii="宋体"/>
                <w:color w:val="auto"/>
                <w:highlight w:val="none"/>
              </w:rPr>
              <w:t>提前交工的奖金：本项目不适用。</w:t>
            </w:r>
          </w:p>
        </w:tc>
      </w:tr>
      <w:tr w14:paraId="4E8455D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28" w:type="dxa"/>
            <w:bottom w:w="57" w:type="dxa"/>
            <w:right w:w="28" w:type="dxa"/>
          </w:tblCellMar>
        </w:tblPrEx>
        <w:trPr>
          <w:trHeight w:val="516" w:hRule="atLeast"/>
        </w:trPr>
        <w:tc>
          <w:tcPr>
            <w:tcW w:w="600" w:type="dxa"/>
            <w:tcBorders>
              <w:tl2br w:val="nil"/>
              <w:tr2bl w:val="nil"/>
            </w:tcBorders>
            <w:noWrap w:val="0"/>
            <w:vAlign w:val="center"/>
          </w:tcPr>
          <w:p w14:paraId="577203C7">
            <w:pPr>
              <w:pStyle w:val="44"/>
              <w:spacing w:line="320" w:lineRule="exact"/>
              <w:jc w:val="center"/>
              <w:rPr>
                <w:rFonts w:ascii="宋体"/>
                <w:color w:val="auto"/>
                <w:highlight w:val="none"/>
              </w:rPr>
            </w:pPr>
            <w:r>
              <w:rPr>
                <w:rFonts w:hint="eastAsia" w:ascii="宋体"/>
                <w:color w:val="auto"/>
                <w:highlight w:val="none"/>
              </w:rPr>
              <w:t>11</w:t>
            </w:r>
          </w:p>
        </w:tc>
        <w:tc>
          <w:tcPr>
            <w:tcW w:w="1179" w:type="dxa"/>
            <w:tcBorders>
              <w:tl2br w:val="nil"/>
              <w:tr2bl w:val="nil"/>
            </w:tcBorders>
            <w:noWrap w:val="0"/>
            <w:vAlign w:val="center"/>
          </w:tcPr>
          <w:p w14:paraId="5ECD0C9B">
            <w:pPr>
              <w:pStyle w:val="44"/>
              <w:spacing w:line="320" w:lineRule="exact"/>
              <w:jc w:val="center"/>
              <w:rPr>
                <w:rFonts w:ascii="宋体" w:hAnsi="Times New Roman" w:eastAsia="Times New Roman" w:cs="Calibri"/>
                <w:color w:val="auto"/>
                <w:kern w:val="2"/>
                <w:sz w:val="21"/>
                <w:szCs w:val="21"/>
                <w:highlight w:val="none"/>
                <w:lang w:val="en-US" w:eastAsia="zh-CN" w:bidi="ar-SA"/>
              </w:rPr>
            </w:pPr>
            <w:r>
              <w:rPr>
                <w:rFonts w:hint="eastAsia" w:ascii="宋体"/>
                <w:color w:val="auto"/>
                <w:highlight w:val="none"/>
              </w:rPr>
              <w:t>11.6</w:t>
            </w:r>
          </w:p>
        </w:tc>
        <w:tc>
          <w:tcPr>
            <w:tcW w:w="7273" w:type="dxa"/>
            <w:tcBorders>
              <w:tl2br w:val="nil"/>
              <w:tr2bl w:val="nil"/>
            </w:tcBorders>
            <w:noWrap w:val="0"/>
            <w:vAlign w:val="center"/>
          </w:tcPr>
          <w:p w14:paraId="49B5A643">
            <w:pPr>
              <w:pStyle w:val="44"/>
              <w:keepNext w:val="0"/>
              <w:keepLines w:val="0"/>
              <w:pageBreakBefore w:val="0"/>
              <w:tabs>
                <w:tab w:val="left" w:pos="2790"/>
              </w:tabs>
              <w:kinsoku/>
              <w:wordWrap/>
              <w:overflowPunct/>
              <w:topLinePunct w:val="0"/>
              <w:autoSpaceDE/>
              <w:autoSpaceDN/>
              <w:bidi w:val="0"/>
              <w:adjustRightInd/>
              <w:snapToGrid/>
              <w:spacing w:line="300" w:lineRule="exact"/>
              <w:textAlignment w:val="auto"/>
              <w:rPr>
                <w:rFonts w:hint="eastAsia" w:ascii="宋体" w:hAnsi="Times New Roman" w:eastAsia="宋体" w:cs="Calibri"/>
                <w:color w:val="auto"/>
                <w:kern w:val="2"/>
                <w:sz w:val="21"/>
                <w:szCs w:val="21"/>
                <w:highlight w:val="none"/>
                <w:lang w:val="en-US" w:eastAsia="zh-CN" w:bidi="ar-SA"/>
              </w:rPr>
            </w:pPr>
            <w:r>
              <w:rPr>
                <w:rFonts w:hint="eastAsia" w:ascii="宋体"/>
                <w:color w:val="auto"/>
                <w:highlight w:val="none"/>
              </w:rPr>
              <w:t>提前交工的奖金限额：本项目不适用。</w:t>
            </w:r>
          </w:p>
        </w:tc>
      </w:tr>
      <w:tr w14:paraId="1C8A299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28" w:type="dxa"/>
            <w:bottom w:w="57" w:type="dxa"/>
            <w:right w:w="28" w:type="dxa"/>
          </w:tblCellMar>
        </w:tblPrEx>
        <w:trPr>
          <w:trHeight w:val="496" w:hRule="atLeast"/>
        </w:trPr>
        <w:tc>
          <w:tcPr>
            <w:tcW w:w="600" w:type="dxa"/>
            <w:tcBorders>
              <w:tl2br w:val="nil"/>
              <w:tr2bl w:val="nil"/>
            </w:tcBorders>
            <w:noWrap w:val="0"/>
            <w:vAlign w:val="center"/>
          </w:tcPr>
          <w:p w14:paraId="19503185">
            <w:pPr>
              <w:pStyle w:val="44"/>
              <w:spacing w:line="320" w:lineRule="exact"/>
              <w:jc w:val="center"/>
              <w:rPr>
                <w:rFonts w:ascii="宋体"/>
                <w:color w:val="auto"/>
                <w:highlight w:val="none"/>
              </w:rPr>
            </w:pPr>
            <w:r>
              <w:rPr>
                <w:rFonts w:hint="eastAsia" w:ascii="宋体"/>
                <w:color w:val="auto"/>
                <w:highlight w:val="none"/>
              </w:rPr>
              <w:t>12</w:t>
            </w:r>
          </w:p>
        </w:tc>
        <w:tc>
          <w:tcPr>
            <w:tcW w:w="1179" w:type="dxa"/>
            <w:tcBorders>
              <w:tl2br w:val="nil"/>
              <w:tr2bl w:val="nil"/>
            </w:tcBorders>
            <w:noWrap w:val="0"/>
            <w:vAlign w:val="center"/>
          </w:tcPr>
          <w:p w14:paraId="5A0AB75C">
            <w:pPr>
              <w:pStyle w:val="44"/>
              <w:spacing w:line="320" w:lineRule="exact"/>
              <w:jc w:val="center"/>
              <w:rPr>
                <w:rFonts w:hint="default" w:ascii="宋体" w:eastAsia="宋体"/>
                <w:color w:val="auto"/>
                <w:highlight w:val="none"/>
                <w:lang w:val="en-US" w:eastAsia="zh-CN"/>
              </w:rPr>
            </w:pPr>
            <w:r>
              <w:rPr>
                <w:rFonts w:hint="eastAsia" w:ascii="宋体" w:eastAsia="宋体"/>
                <w:color w:val="auto"/>
                <w:highlight w:val="none"/>
                <w:lang w:val="en-US" w:eastAsia="zh-CN"/>
              </w:rPr>
              <w:t>16.1</w:t>
            </w:r>
          </w:p>
        </w:tc>
        <w:tc>
          <w:tcPr>
            <w:tcW w:w="7273" w:type="dxa"/>
            <w:tcBorders>
              <w:tl2br w:val="nil"/>
              <w:tr2bl w:val="nil"/>
            </w:tcBorders>
            <w:noWrap w:val="0"/>
            <w:vAlign w:val="center"/>
          </w:tcPr>
          <w:p w14:paraId="7838D3A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auto"/>
              <w:rPr>
                <w:rFonts w:hint="eastAsia" w:ascii="宋体" w:hAnsi="Times New Roman" w:eastAsia="Times New Roman" w:cs="Calibri"/>
                <w:color w:val="auto"/>
                <w:kern w:val="2"/>
                <w:sz w:val="21"/>
                <w:szCs w:val="21"/>
                <w:highlight w:val="none"/>
                <w:lang w:val="en-US" w:eastAsia="zh-CN" w:bidi="ar-SA"/>
              </w:rPr>
            </w:pPr>
            <w:r>
              <w:rPr>
                <w:rFonts w:hint="eastAsia" w:ascii="宋体" w:hAnsi="Times New Roman" w:eastAsia="Times New Roman" w:cs="Calibri"/>
                <w:color w:val="auto"/>
                <w:kern w:val="2"/>
                <w:sz w:val="21"/>
                <w:szCs w:val="21"/>
                <w:highlight w:val="none"/>
                <w:lang w:val="en-US" w:eastAsia="zh-CN" w:bidi="ar-SA"/>
              </w:rPr>
              <w:t>□ 因物价波动引起的价格调整按照第 16.1.1 项或第 16.1.2 项约定的原则处理</w:t>
            </w:r>
          </w:p>
          <w:p w14:paraId="3B9A295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auto"/>
              <w:rPr>
                <w:rFonts w:hint="eastAsia" w:ascii="宋体" w:hAnsi="Times New Roman" w:eastAsia="Times New Roman" w:cs="Calibri"/>
                <w:color w:val="auto"/>
                <w:kern w:val="2"/>
                <w:sz w:val="21"/>
                <w:szCs w:val="21"/>
                <w:highlight w:val="none"/>
                <w:lang w:val="en-US" w:eastAsia="zh-CN" w:bidi="ar-SA"/>
              </w:rPr>
            </w:pPr>
            <w:r>
              <w:rPr>
                <w:rFonts w:hint="eastAsia" w:ascii="宋体" w:hAnsi="Times New Roman" w:eastAsia="Times New Roman" w:cs="Calibri"/>
                <w:color w:val="auto"/>
                <w:kern w:val="2"/>
                <w:sz w:val="21"/>
                <w:szCs w:val="21"/>
                <w:highlight w:val="none"/>
                <w:lang w:val="en-US" w:eastAsia="zh-CN" w:bidi="ar-SA"/>
              </w:rPr>
              <w:t xml:space="preserve">若按第 16.1.1 项的约定采用价格调整公式进行调价，每半年或一年按价格调整公式进行一次调整 </w:t>
            </w:r>
          </w:p>
          <w:p w14:paraId="5E414A3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auto"/>
              <w:rPr>
                <w:rFonts w:hint="eastAsia" w:ascii="宋体" w:eastAsia="宋体"/>
                <w:color w:val="auto"/>
                <w:highlight w:val="none"/>
              </w:rPr>
            </w:pPr>
            <w:r>
              <w:rPr>
                <w:rFonts w:hint="eastAsia" w:ascii="宋体" w:hAnsi="Times New Roman" w:eastAsia="Times New Roman" w:cs="Calibri"/>
                <w:color w:val="auto"/>
                <w:kern w:val="2"/>
                <w:sz w:val="21"/>
                <w:szCs w:val="21"/>
                <w:highlight w:val="none"/>
                <w:lang w:val="en-US" w:eastAsia="zh-CN" w:bidi="ar-SA"/>
              </w:rPr>
              <w:t>☑ 合同期内不调价</w:t>
            </w:r>
          </w:p>
        </w:tc>
      </w:tr>
      <w:tr w14:paraId="5F284C7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28" w:type="dxa"/>
            <w:bottom w:w="57" w:type="dxa"/>
            <w:right w:w="28" w:type="dxa"/>
          </w:tblCellMar>
        </w:tblPrEx>
        <w:trPr>
          <w:trHeight w:val="511" w:hRule="atLeast"/>
        </w:trPr>
        <w:tc>
          <w:tcPr>
            <w:tcW w:w="600" w:type="dxa"/>
            <w:tcBorders>
              <w:tl2br w:val="nil"/>
              <w:tr2bl w:val="nil"/>
            </w:tcBorders>
            <w:noWrap w:val="0"/>
            <w:vAlign w:val="center"/>
          </w:tcPr>
          <w:p w14:paraId="4AB31E6C">
            <w:pPr>
              <w:pStyle w:val="44"/>
              <w:spacing w:line="320" w:lineRule="exact"/>
              <w:jc w:val="center"/>
              <w:rPr>
                <w:rFonts w:ascii="宋体" w:hAnsi="宋体"/>
                <w:color w:val="auto"/>
                <w:highlight w:val="none"/>
              </w:rPr>
            </w:pPr>
            <w:r>
              <w:rPr>
                <w:rFonts w:hint="eastAsia" w:ascii="宋体" w:hAnsi="宋体"/>
                <w:color w:val="auto"/>
                <w:highlight w:val="none"/>
              </w:rPr>
              <w:t>13</w:t>
            </w:r>
          </w:p>
        </w:tc>
        <w:tc>
          <w:tcPr>
            <w:tcW w:w="1179" w:type="dxa"/>
            <w:tcBorders>
              <w:tl2br w:val="nil"/>
              <w:tr2bl w:val="nil"/>
            </w:tcBorders>
            <w:noWrap w:val="0"/>
            <w:vAlign w:val="center"/>
          </w:tcPr>
          <w:p w14:paraId="0133451A">
            <w:pPr>
              <w:pStyle w:val="44"/>
              <w:spacing w:line="320" w:lineRule="exact"/>
              <w:jc w:val="center"/>
              <w:rPr>
                <w:rFonts w:ascii="宋体" w:hAnsi="Times New Roman" w:eastAsia="Times New Roman" w:cs="Calibri"/>
                <w:color w:val="auto"/>
                <w:kern w:val="2"/>
                <w:sz w:val="21"/>
                <w:szCs w:val="21"/>
                <w:highlight w:val="none"/>
                <w:lang w:val="en-US" w:eastAsia="zh-CN" w:bidi="ar-SA"/>
              </w:rPr>
            </w:pPr>
            <w:r>
              <w:rPr>
                <w:rFonts w:hint="eastAsia" w:ascii="宋体"/>
                <w:color w:val="auto"/>
                <w:highlight w:val="none"/>
              </w:rPr>
              <w:t>17.2.1</w:t>
            </w:r>
          </w:p>
        </w:tc>
        <w:tc>
          <w:tcPr>
            <w:tcW w:w="7273" w:type="dxa"/>
            <w:tcBorders>
              <w:tl2br w:val="nil"/>
              <w:tr2bl w:val="nil"/>
            </w:tcBorders>
            <w:noWrap w:val="0"/>
            <w:vAlign w:val="center"/>
          </w:tcPr>
          <w:p w14:paraId="63E54379">
            <w:pPr>
              <w:pStyle w:val="44"/>
              <w:keepNext w:val="0"/>
              <w:keepLines w:val="0"/>
              <w:pageBreakBefore w:val="0"/>
              <w:kinsoku/>
              <w:wordWrap/>
              <w:overflowPunct/>
              <w:topLinePunct w:val="0"/>
              <w:autoSpaceDE/>
              <w:autoSpaceDN/>
              <w:bidi w:val="0"/>
              <w:adjustRightInd/>
              <w:snapToGrid/>
              <w:spacing w:line="300" w:lineRule="exact"/>
              <w:textAlignment w:val="auto"/>
              <w:rPr>
                <w:rFonts w:ascii="宋体" w:hAnsi="Times New Roman" w:eastAsia="Times New Roman" w:cs="Calibri"/>
                <w:color w:val="auto"/>
                <w:kern w:val="2"/>
                <w:sz w:val="21"/>
                <w:szCs w:val="21"/>
                <w:highlight w:val="none"/>
                <w:lang w:val="en-US" w:eastAsia="zh-CN" w:bidi="ar-SA"/>
              </w:rPr>
            </w:pPr>
            <w:r>
              <w:rPr>
                <w:rFonts w:hint="eastAsia" w:ascii="宋体"/>
                <w:color w:val="auto"/>
                <w:highlight w:val="none"/>
              </w:rPr>
              <w:t>开工预付款金额：</w:t>
            </w:r>
            <w:r>
              <w:rPr>
                <w:rFonts w:hint="eastAsia" w:ascii="宋体"/>
                <w:color w:val="auto"/>
                <w:highlight w:val="none"/>
                <w:u w:val="single"/>
              </w:rPr>
              <w:t>10</w:t>
            </w:r>
            <w:r>
              <w:rPr>
                <w:rFonts w:hint="eastAsia" w:ascii="宋体"/>
                <w:color w:val="auto"/>
                <w:highlight w:val="none"/>
                <w:u w:val="none"/>
              </w:rPr>
              <w:t>％签</w:t>
            </w:r>
            <w:r>
              <w:rPr>
                <w:rFonts w:hint="eastAsia" w:ascii="宋体"/>
                <w:color w:val="auto"/>
                <w:highlight w:val="none"/>
              </w:rPr>
              <w:t>约合同价</w:t>
            </w:r>
          </w:p>
        </w:tc>
      </w:tr>
      <w:tr w14:paraId="416D9EE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28" w:type="dxa"/>
            <w:bottom w:w="57" w:type="dxa"/>
            <w:right w:w="28" w:type="dxa"/>
          </w:tblCellMar>
        </w:tblPrEx>
        <w:trPr>
          <w:trHeight w:val="452" w:hRule="atLeast"/>
        </w:trPr>
        <w:tc>
          <w:tcPr>
            <w:tcW w:w="600" w:type="dxa"/>
            <w:tcBorders>
              <w:tl2br w:val="nil"/>
              <w:tr2bl w:val="nil"/>
            </w:tcBorders>
            <w:noWrap w:val="0"/>
            <w:vAlign w:val="center"/>
          </w:tcPr>
          <w:p w14:paraId="18B5E519">
            <w:pPr>
              <w:pStyle w:val="44"/>
              <w:spacing w:line="320" w:lineRule="exact"/>
              <w:jc w:val="center"/>
              <w:rPr>
                <w:rFonts w:ascii="宋体"/>
                <w:color w:val="auto"/>
                <w:highlight w:val="none"/>
              </w:rPr>
            </w:pPr>
            <w:r>
              <w:rPr>
                <w:rFonts w:hint="eastAsia" w:ascii="宋体"/>
                <w:color w:val="auto"/>
                <w:highlight w:val="none"/>
              </w:rPr>
              <w:t>14</w:t>
            </w:r>
          </w:p>
        </w:tc>
        <w:tc>
          <w:tcPr>
            <w:tcW w:w="1179" w:type="dxa"/>
            <w:tcBorders>
              <w:tl2br w:val="nil"/>
              <w:tr2bl w:val="nil"/>
            </w:tcBorders>
            <w:noWrap w:val="0"/>
            <w:vAlign w:val="center"/>
          </w:tcPr>
          <w:p w14:paraId="6785A768">
            <w:pPr>
              <w:pStyle w:val="44"/>
              <w:spacing w:line="320" w:lineRule="exact"/>
              <w:jc w:val="center"/>
              <w:rPr>
                <w:rFonts w:ascii="宋体" w:hAnsi="Times New Roman" w:eastAsia="Times New Roman" w:cs="Calibri"/>
                <w:color w:val="auto"/>
                <w:kern w:val="2"/>
                <w:sz w:val="21"/>
                <w:szCs w:val="21"/>
                <w:highlight w:val="none"/>
                <w:lang w:val="en-US" w:eastAsia="zh-CN" w:bidi="ar-SA"/>
              </w:rPr>
            </w:pPr>
            <w:r>
              <w:rPr>
                <w:rFonts w:hint="eastAsia" w:ascii="宋体"/>
                <w:color w:val="auto"/>
                <w:highlight w:val="none"/>
              </w:rPr>
              <w:t>17.2.1</w:t>
            </w:r>
          </w:p>
        </w:tc>
        <w:tc>
          <w:tcPr>
            <w:tcW w:w="7273" w:type="dxa"/>
            <w:tcBorders>
              <w:tl2br w:val="nil"/>
              <w:tr2bl w:val="nil"/>
            </w:tcBorders>
            <w:noWrap w:val="0"/>
            <w:vAlign w:val="center"/>
          </w:tcPr>
          <w:p w14:paraId="1E55E0C8">
            <w:pPr>
              <w:pStyle w:val="44"/>
              <w:keepNext w:val="0"/>
              <w:keepLines w:val="0"/>
              <w:pageBreakBefore w:val="0"/>
              <w:kinsoku/>
              <w:wordWrap/>
              <w:overflowPunct/>
              <w:topLinePunct w:val="0"/>
              <w:autoSpaceDE/>
              <w:autoSpaceDN/>
              <w:bidi w:val="0"/>
              <w:adjustRightInd/>
              <w:snapToGrid/>
              <w:spacing w:line="300" w:lineRule="exact"/>
              <w:textAlignment w:val="auto"/>
              <w:rPr>
                <w:rFonts w:ascii="宋体" w:hAnsi="Times New Roman" w:eastAsia="宋体" w:cs="Calibri"/>
                <w:color w:val="auto"/>
                <w:kern w:val="2"/>
                <w:sz w:val="21"/>
                <w:szCs w:val="21"/>
                <w:highlight w:val="none"/>
                <w:lang w:val="en-US" w:eastAsia="zh-CN" w:bidi="ar-SA"/>
              </w:rPr>
            </w:pPr>
            <w:r>
              <w:rPr>
                <w:rFonts w:hint="eastAsia" w:ascii="宋体" w:hAnsi="宋体"/>
                <w:color w:val="auto"/>
                <w:highlight w:val="none"/>
              </w:rPr>
              <w:t>材料预付款比例：</w:t>
            </w:r>
            <w:r>
              <w:rPr>
                <w:rFonts w:hint="eastAsia" w:cs="Times New Roman"/>
                <w:color w:val="auto"/>
                <w:szCs w:val="22"/>
                <w:highlight w:val="none"/>
                <w:u w:val="single"/>
                <w:lang w:bidi="ar"/>
              </w:rPr>
              <w:t>本项目不支付材料预付款</w:t>
            </w:r>
          </w:p>
        </w:tc>
      </w:tr>
      <w:tr w14:paraId="18AA9C9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28" w:type="dxa"/>
            <w:bottom w:w="57" w:type="dxa"/>
            <w:right w:w="28" w:type="dxa"/>
          </w:tblCellMar>
        </w:tblPrEx>
        <w:trPr>
          <w:trHeight w:val="536" w:hRule="atLeast"/>
        </w:trPr>
        <w:tc>
          <w:tcPr>
            <w:tcW w:w="600" w:type="dxa"/>
            <w:tcBorders>
              <w:tl2br w:val="nil"/>
              <w:tr2bl w:val="nil"/>
            </w:tcBorders>
            <w:noWrap w:val="0"/>
            <w:vAlign w:val="center"/>
          </w:tcPr>
          <w:p w14:paraId="7E1AABF2">
            <w:pPr>
              <w:pStyle w:val="44"/>
              <w:spacing w:line="320" w:lineRule="exact"/>
              <w:jc w:val="center"/>
              <w:rPr>
                <w:rFonts w:hint="default" w:ascii="宋体" w:eastAsia="宋体"/>
                <w:color w:val="auto"/>
                <w:highlight w:val="none"/>
                <w:lang w:val="en-US" w:eastAsia="zh-CN"/>
              </w:rPr>
            </w:pPr>
            <w:r>
              <w:rPr>
                <w:rFonts w:hint="eastAsia" w:ascii="宋体" w:eastAsia="宋体"/>
                <w:color w:val="auto"/>
                <w:highlight w:val="none"/>
                <w:lang w:val="en-US" w:eastAsia="zh-CN"/>
              </w:rPr>
              <w:t>15</w:t>
            </w:r>
          </w:p>
        </w:tc>
        <w:tc>
          <w:tcPr>
            <w:tcW w:w="1179" w:type="dxa"/>
            <w:tcBorders>
              <w:tl2br w:val="nil"/>
              <w:tr2bl w:val="nil"/>
            </w:tcBorders>
            <w:noWrap w:val="0"/>
            <w:vAlign w:val="center"/>
          </w:tcPr>
          <w:p w14:paraId="02A2EFBB">
            <w:pPr>
              <w:pStyle w:val="44"/>
              <w:spacing w:line="320" w:lineRule="exact"/>
              <w:jc w:val="center"/>
              <w:rPr>
                <w:rFonts w:hint="eastAsia" w:ascii="宋体"/>
                <w:color w:val="auto"/>
                <w:highlight w:val="none"/>
              </w:rPr>
            </w:pPr>
            <w:r>
              <w:rPr>
                <w:rFonts w:hint="eastAsia" w:ascii="宋体"/>
                <w:color w:val="auto"/>
                <w:highlight w:val="none"/>
              </w:rPr>
              <w:t>17.3.2</w:t>
            </w:r>
          </w:p>
        </w:tc>
        <w:tc>
          <w:tcPr>
            <w:tcW w:w="7273" w:type="dxa"/>
            <w:tcBorders>
              <w:tl2br w:val="nil"/>
              <w:tr2bl w:val="nil"/>
            </w:tcBorders>
            <w:noWrap w:val="0"/>
            <w:vAlign w:val="center"/>
          </w:tcPr>
          <w:p w14:paraId="258F2D18">
            <w:pPr>
              <w:pStyle w:val="44"/>
              <w:spacing w:line="320" w:lineRule="exact"/>
              <w:rPr>
                <w:rFonts w:hint="eastAsia" w:ascii="宋体" w:hAnsi="宋体"/>
                <w:color w:val="auto"/>
                <w:highlight w:val="none"/>
              </w:rPr>
            </w:pPr>
            <w:r>
              <w:rPr>
                <w:rFonts w:hint="eastAsia" w:ascii="宋体"/>
                <w:color w:val="auto"/>
                <w:highlight w:val="none"/>
              </w:rPr>
              <w:t>承包人在每个付款周期末向监理人提交进度付款申请单的份数：</w:t>
            </w:r>
            <w:r>
              <w:rPr>
                <w:rFonts w:hint="eastAsia" w:ascii="宋体"/>
                <w:color w:val="auto"/>
                <w:highlight w:val="none"/>
                <w:u w:val="single"/>
              </w:rPr>
              <w:t>6</w:t>
            </w:r>
            <w:r>
              <w:rPr>
                <w:rFonts w:hint="eastAsia" w:ascii="宋体"/>
                <w:color w:val="auto"/>
                <w:highlight w:val="none"/>
              </w:rPr>
              <w:t>份</w:t>
            </w:r>
          </w:p>
        </w:tc>
      </w:tr>
    </w:tbl>
    <w:p w14:paraId="079066C8">
      <w:pPr>
        <w:pStyle w:val="44"/>
        <w:spacing w:line="420" w:lineRule="exact"/>
        <w:jc w:val="right"/>
        <w:rPr>
          <w:rFonts w:hint="eastAsia" w:ascii="宋体"/>
          <w:color w:val="auto"/>
          <w:highlight w:val="none"/>
        </w:rPr>
      </w:pPr>
      <w:r>
        <w:rPr>
          <w:rFonts w:hint="eastAsia" w:ascii="宋体"/>
          <w:color w:val="auto"/>
          <w:sz w:val="24"/>
          <w:szCs w:val="24"/>
          <w:highlight w:val="none"/>
        </w:rPr>
        <w:br w:type="page"/>
      </w:r>
      <w:r>
        <w:rPr>
          <w:rFonts w:hint="eastAsia" w:ascii="宋体" w:hAnsi="宋体"/>
          <w:color w:val="auto"/>
          <w:highlight w:val="none"/>
        </w:rPr>
        <w:t>续上表</w:t>
      </w:r>
    </w:p>
    <w:tbl>
      <w:tblPr>
        <w:tblStyle w:val="23"/>
        <w:tblW w:w="9022" w:type="dxa"/>
        <w:tblInd w:w="-282"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28" w:type="dxa"/>
          <w:left w:w="28" w:type="dxa"/>
          <w:bottom w:w="28" w:type="dxa"/>
          <w:right w:w="28" w:type="dxa"/>
        </w:tblCellMar>
      </w:tblPr>
      <w:tblGrid>
        <w:gridCol w:w="675"/>
        <w:gridCol w:w="1200"/>
        <w:gridCol w:w="7147"/>
      </w:tblGrid>
      <w:tr w14:paraId="410120B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397" w:hRule="atLeast"/>
        </w:trPr>
        <w:tc>
          <w:tcPr>
            <w:tcW w:w="675" w:type="dxa"/>
            <w:tcBorders>
              <w:tl2br w:val="nil"/>
              <w:tr2bl w:val="nil"/>
            </w:tcBorders>
            <w:noWrap w:val="0"/>
            <w:vAlign w:val="center"/>
          </w:tcPr>
          <w:p w14:paraId="4FD0A1DF">
            <w:pPr>
              <w:pStyle w:val="44"/>
              <w:spacing w:line="320" w:lineRule="exact"/>
              <w:jc w:val="center"/>
              <w:rPr>
                <w:rFonts w:ascii="宋体"/>
                <w:b/>
                <w:bCs/>
                <w:color w:val="auto"/>
                <w:highlight w:val="none"/>
              </w:rPr>
            </w:pPr>
            <w:r>
              <w:rPr>
                <w:rFonts w:hint="eastAsia" w:ascii="宋体"/>
                <w:b/>
                <w:bCs/>
                <w:color w:val="auto"/>
                <w:highlight w:val="none"/>
              </w:rPr>
              <w:t>序号</w:t>
            </w:r>
          </w:p>
        </w:tc>
        <w:tc>
          <w:tcPr>
            <w:tcW w:w="1200" w:type="dxa"/>
            <w:tcBorders>
              <w:tl2br w:val="nil"/>
              <w:tr2bl w:val="nil"/>
            </w:tcBorders>
            <w:noWrap w:val="0"/>
            <w:vAlign w:val="center"/>
          </w:tcPr>
          <w:p w14:paraId="76B8E529">
            <w:pPr>
              <w:pStyle w:val="44"/>
              <w:spacing w:line="320" w:lineRule="exact"/>
              <w:jc w:val="center"/>
              <w:rPr>
                <w:rFonts w:ascii="宋体"/>
                <w:b/>
                <w:bCs/>
                <w:color w:val="auto"/>
                <w:highlight w:val="none"/>
              </w:rPr>
            </w:pPr>
            <w:r>
              <w:rPr>
                <w:rFonts w:hint="eastAsia" w:ascii="宋体"/>
                <w:b/>
                <w:bCs/>
                <w:color w:val="auto"/>
                <w:highlight w:val="none"/>
              </w:rPr>
              <w:t>条目号</w:t>
            </w:r>
          </w:p>
        </w:tc>
        <w:tc>
          <w:tcPr>
            <w:tcW w:w="7147" w:type="dxa"/>
            <w:tcBorders>
              <w:tl2br w:val="nil"/>
              <w:tr2bl w:val="nil"/>
            </w:tcBorders>
            <w:noWrap w:val="0"/>
            <w:vAlign w:val="center"/>
          </w:tcPr>
          <w:p w14:paraId="63A88A02">
            <w:pPr>
              <w:pStyle w:val="44"/>
              <w:spacing w:line="320" w:lineRule="exact"/>
              <w:jc w:val="center"/>
              <w:rPr>
                <w:rFonts w:ascii="宋体"/>
                <w:b/>
                <w:bCs/>
                <w:color w:val="auto"/>
                <w:highlight w:val="none"/>
              </w:rPr>
            </w:pPr>
            <w:r>
              <w:rPr>
                <w:rFonts w:hint="eastAsia" w:ascii="宋体"/>
                <w:b/>
                <w:bCs/>
                <w:color w:val="auto"/>
                <w:highlight w:val="none"/>
              </w:rPr>
              <w:t>信息或数据</w:t>
            </w:r>
          </w:p>
        </w:tc>
      </w:tr>
      <w:tr w14:paraId="1E28EFB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28" w:type="dxa"/>
            <w:left w:w="28" w:type="dxa"/>
            <w:bottom w:w="28" w:type="dxa"/>
            <w:right w:w="28" w:type="dxa"/>
          </w:tblCellMar>
        </w:tblPrEx>
        <w:trPr>
          <w:trHeight w:val="490" w:hRule="atLeast"/>
        </w:trPr>
        <w:tc>
          <w:tcPr>
            <w:tcW w:w="675" w:type="dxa"/>
            <w:tcBorders>
              <w:tl2br w:val="nil"/>
              <w:tr2bl w:val="nil"/>
            </w:tcBorders>
            <w:noWrap w:val="0"/>
            <w:vAlign w:val="center"/>
          </w:tcPr>
          <w:p w14:paraId="0DD271E3">
            <w:pPr>
              <w:pStyle w:val="44"/>
              <w:spacing w:line="320" w:lineRule="exact"/>
              <w:jc w:val="center"/>
              <w:rPr>
                <w:rFonts w:hint="eastAsia" w:ascii="宋体" w:hAnsi="Times New Roman" w:eastAsia="Times New Roman" w:cs="Calibri"/>
                <w:color w:val="auto"/>
                <w:kern w:val="2"/>
                <w:sz w:val="21"/>
                <w:szCs w:val="21"/>
                <w:highlight w:val="none"/>
                <w:lang w:val="en-US" w:eastAsia="zh-CN" w:bidi="ar-SA"/>
              </w:rPr>
            </w:pPr>
            <w:r>
              <w:rPr>
                <w:rFonts w:hint="eastAsia" w:ascii="宋体"/>
                <w:color w:val="auto"/>
                <w:highlight w:val="none"/>
              </w:rPr>
              <w:t>16</w:t>
            </w:r>
          </w:p>
        </w:tc>
        <w:tc>
          <w:tcPr>
            <w:tcW w:w="1200" w:type="dxa"/>
            <w:tcBorders>
              <w:tl2br w:val="nil"/>
              <w:tr2bl w:val="nil"/>
            </w:tcBorders>
            <w:noWrap w:val="0"/>
            <w:vAlign w:val="center"/>
          </w:tcPr>
          <w:p w14:paraId="2B21BC97">
            <w:pPr>
              <w:pStyle w:val="44"/>
              <w:spacing w:line="320" w:lineRule="exact"/>
              <w:jc w:val="center"/>
              <w:rPr>
                <w:rFonts w:hint="eastAsia" w:ascii="宋体" w:hAnsi="Times New Roman" w:eastAsia="Times New Roman" w:cs="Calibri"/>
                <w:color w:val="auto"/>
                <w:kern w:val="2"/>
                <w:sz w:val="21"/>
                <w:szCs w:val="21"/>
                <w:highlight w:val="none"/>
                <w:lang w:val="en-US" w:eastAsia="zh-CN" w:bidi="ar-SA"/>
              </w:rPr>
            </w:pPr>
            <w:r>
              <w:rPr>
                <w:rFonts w:hint="eastAsia" w:ascii="宋体"/>
                <w:color w:val="auto"/>
                <w:highlight w:val="none"/>
              </w:rPr>
              <w:t>17.3.3(</w:t>
            </w:r>
            <w:r>
              <w:rPr>
                <w:rFonts w:hint="eastAsia" w:ascii="宋体" w:eastAsia="宋体"/>
                <w:color w:val="auto"/>
                <w:highlight w:val="none"/>
                <w:lang w:val="en-US" w:eastAsia="zh-CN"/>
              </w:rPr>
              <w:t>2</w:t>
            </w:r>
            <w:r>
              <w:rPr>
                <w:rFonts w:hint="eastAsia" w:ascii="宋体"/>
                <w:color w:val="auto"/>
                <w:highlight w:val="none"/>
              </w:rPr>
              <w:t>)</w:t>
            </w:r>
          </w:p>
        </w:tc>
        <w:tc>
          <w:tcPr>
            <w:tcW w:w="7147" w:type="dxa"/>
            <w:tcBorders>
              <w:tl2br w:val="nil"/>
              <w:tr2bl w:val="nil"/>
            </w:tcBorders>
            <w:noWrap w:val="0"/>
            <w:vAlign w:val="center"/>
          </w:tcPr>
          <w:p w14:paraId="05E7E454">
            <w:pPr>
              <w:pStyle w:val="44"/>
              <w:spacing w:line="320" w:lineRule="exact"/>
              <w:rPr>
                <w:rFonts w:hint="default" w:ascii="宋体" w:hAnsi="Times New Roman" w:eastAsia="宋体" w:cs="Calibri"/>
                <w:color w:val="auto"/>
                <w:kern w:val="2"/>
                <w:sz w:val="21"/>
                <w:szCs w:val="21"/>
                <w:highlight w:val="none"/>
                <w:lang w:val="en-US" w:eastAsia="zh-CN" w:bidi="ar-SA"/>
              </w:rPr>
            </w:pPr>
            <w:r>
              <w:rPr>
                <w:rFonts w:hint="eastAsia" w:ascii="宋体"/>
                <w:color w:val="auto"/>
                <w:highlight w:val="none"/>
              </w:rPr>
              <w:t>进度付款证书最低限额：</w:t>
            </w:r>
            <w:r>
              <w:rPr>
                <w:rFonts w:hint="eastAsia" w:ascii="宋体"/>
                <w:color w:val="auto"/>
                <w:highlight w:val="none"/>
                <w:u w:val="single"/>
                <w:lang w:val="en-US" w:eastAsia="zh-CN"/>
              </w:rPr>
              <w:t>150万元</w:t>
            </w:r>
          </w:p>
        </w:tc>
      </w:tr>
      <w:tr w14:paraId="2EE83A1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28" w:type="dxa"/>
            <w:left w:w="28" w:type="dxa"/>
            <w:bottom w:w="28" w:type="dxa"/>
            <w:right w:w="28" w:type="dxa"/>
          </w:tblCellMar>
        </w:tblPrEx>
        <w:trPr>
          <w:trHeight w:val="490" w:hRule="atLeast"/>
        </w:trPr>
        <w:tc>
          <w:tcPr>
            <w:tcW w:w="675" w:type="dxa"/>
            <w:tcBorders>
              <w:tl2br w:val="nil"/>
              <w:tr2bl w:val="nil"/>
            </w:tcBorders>
            <w:noWrap w:val="0"/>
            <w:vAlign w:val="center"/>
          </w:tcPr>
          <w:p w14:paraId="0D94AF78">
            <w:pPr>
              <w:pStyle w:val="44"/>
              <w:spacing w:line="320" w:lineRule="exact"/>
              <w:jc w:val="center"/>
              <w:rPr>
                <w:rFonts w:ascii="宋体" w:hAnsi="Times New Roman" w:eastAsia="Times New Roman" w:cs="Calibri"/>
                <w:color w:val="auto"/>
                <w:kern w:val="2"/>
                <w:sz w:val="21"/>
                <w:szCs w:val="21"/>
                <w:highlight w:val="none"/>
                <w:lang w:val="en-US" w:eastAsia="zh-CN" w:bidi="ar-SA"/>
              </w:rPr>
            </w:pPr>
            <w:r>
              <w:rPr>
                <w:rFonts w:hint="eastAsia" w:ascii="宋体"/>
                <w:color w:val="auto"/>
                <w:highlight w:val="none"/>
              </w:rPr>
              <w:t>17</w:t>
            </w:r>
          </w:p>
        </w:tc>
        <w:tc>
          <w:tcPr>
            <w:tcW w:w="1200" w:type="dxa"/>
            <w:tcBorders>
              <w:tl2br w:val="nil"/>
              <w:tr2bl w:val="nil"/>
            </w:tcBorders>
            <w:noWrap w:val="0"/>
            <w:vAlign w:val="center"/>
          </w:tcPr>
          <w:p w14:paraId="76371DA9">
            <w:pPr>
              <w:pStyle w:val="44"/>
              <w:spacing w:line="320" w:lineRule="exact"/>
              <w:jc w:val="center"/>
              <w:rPr>
                <w:rFonts w:ascii="宋体" w:hAnsi="Times New Roman" w:eastAsia="Times New Roman" w:cs="Calibri"/>
                <w:color w:val="auto"/>
                <w:kern w:val="2"/>
                <w:sz w:val="21"/>
                <w:szCs w:val="21"/>
                <w:highlight w:val="none"/>
                <w:lang w:val="en-US" w:eastAsia="zh-CN" w:bidi="ar-SA"/>
              </w:rPr>
            </w:pPr>
            <w:r>
              <w:rPr>
                <w:rFonts w:hint="eastAsia" w:ascii="宋体"/>
                <w:color w:val="auto"/>
                <w:highlight w:val="none"/>
              </w:rPr>
              <w:t>17.3.3(</w:t>
            </w:r>
            <w:r>
              <w:rPr>
                <w:rFonts w:hint="eastAsia" w:ascii="宋体" w:eastAsia="宋体"/>
                <w:color w:val="auto"/>
                <w:highlight w:val="none"/>
                <w:lang w:val="en-US" w:eastAsia="zh-CN"/>
              </w:rPr>
              <w:t>3</w:t>
            </w:r>
            <w:r>
              <w:rPr>
                <w:rFonts w:hint="eastAsia" w:ascii="宋体"/>
                <w:color w:val="auto"/>
                <w:highlight w:val="none"/>
              </w:rPr>
              <w:t>)</w:t>
            </w:r>
          </w:p>
        </w:tc>
        <w:tc>
          <w:tcPr>
            <w:tcW w:w="7147" w:type="dxa"/>
            <w:tcBorders>
              <w:tl2br w:val="nil"/>
              <w:tr2bl w:val="nil"/>
            </w:tcBorders>
            <w:noWrap w:val="0"/>
            <w:vAlign w:val="center"/>
          </w:tcPr>
          <w:p w14:paraId="732691FA">
            <w:pPr>
              <w:pStyle w:val="44"/>
              <w:spacing w:line="320" w:lineRule="exact"/>
              <w:rPr>
                <w:rFonts w:hint="eastAsia" w:ascii="宋体" w:hAnsi="Times New Roman" w:eastAsia="宋体" w:cs="Calibri"/>
                <w:color w:val="auto"/>
                <w:kern w:val="2"/>
                <w:sz w:val="21"/>
                <w:szCs w:val="21"/>
                <w:highlight w:val="none"/>
                <w:lang w:val="en-US" w:eastAsia="zh-CN" w:bidi="ar-SA"/>
              </w:rPr>
            </w:pPr>
            <w:r>
              <w:rPr>
                <w:rFonts w:hint="eastAsia" w:ascii="宋体"/>
                <w:color w:val="auto"/>
                <w:highlight w:val="none"/>
              </w:rPr>
              <w:t>逾期付款违约金的利率：</w:t>
            </w:r>
            <w:r>
              <w:rPr>
                <w:rFonts w:hint="eastAsia" w:ascii="宋体" w:hAnsi="宋体"/>
                <w:color w:val="auto"/>
                <w:szCs w:val="22"/>
                <w:highlight w:val="none"/>
                <w:shd w:val="clear" w:color="auto" w:fill="FFFFFF"/>
              </w:rPr>
              <w:t>全国银行间同业拆借中心公布的一年期贷款市场报价利率LPR（不计复利）</w:t>
            </w:r>
            <w:r>
              <w:rPr>
                <w:rFonts w:hint="eastAsia" w:ascii="宋体" w:hAnsi="宋体" w:eastAsia="宋体"/>
                <w:color w:val="auto"/>
                <w:szCs w:val="22"/>
                <w:highlight w:val="none"/>
                <w:shd w:val="clear" w:color="auto" w:fill="FFFFFF"/>
                <w:lang w:val="en-US" w:eastAsia="zh-CN"/>
              </w:rPr>
              <w:t>加手续费</w:t>
            </w:r>
            <w:r>
              <w:rPr>
                <w:rFonts w:hint="eastAsia" w:ascii="宋体" w:hAnsi="宋体"/>
                <w:color w:val="auto"/>
                <w:szCs w:val="22"/>
                <w:highlight w:val="none"/>
                <w:shd w:val="clear" w:color="auto" w:fill="FFFFFF"/>
              </w:rPr>
              <w:t>。</w:t>
            </w:r>
          </w:p>
        </w:tc>
      </w:tr>
      <w:tr w14:paraId="0074DAC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28" w:type="dxa"/>
            <w:left w:w="28" w:type="dxa"/>
            <w:bottom w:w="28" w:type="dxa"/>
            <w:right w:w="28" w:type="dxa"/>
          </w:tblCellMar>
        </w:tblPrEx>
        <w:trPr>
          <w:trHeight w:val="490" w:hRule="atLeast"/>
        </w:trPr>
        <w:tc>
          <w:tcPr>
            <w:tcW w:w="675" w:type="dxa"/>
            <w:tcBorders>
              <w:tl2br w:val="nil"/>
              <w:tr2bl w:val="nil"/>
            </w:tcBorders>
            <w:noWrap w:val="0"/>
            <w:vAlign w:val="center"/>
          </w:tcPr>
          <w:p w14:paraId="2BF1232D">
            <w:pPr>
              <w:pStyle w:val="44"/>
              <w:spacing w:line="320" w:lineRule="exact"/>
              <w:jc w:val="center"/>
              <w:rPr>
                <w:rFonts w:ascii="宋体" w:hAnsi="Times New Roman" w:eastAsia="Times New Roman" w:cs="Calibri"/>
                <w:color w:val="auto"/>
                <w:kern w:val="2"/>
                <w:sz w:val="21"/>
                <w:szCs w:val="21"/>
                <w:highlight w:val="none"/>
                <w:lang w:val="en-US" w:eastAsia="zh-CN" w:bidi="ar-SA"/>
              </w:rPr>
            </w:pPr>
            <w:r>
              <w:rPr>
                <w:rFonts w:hint="eastAsia" w:ascii="宋体"/>
                <w:color w:val="auto"/>
                <w:highlight w:val="none"/>
              </w:rPr>
              <w:t>18</w:t>
            </w:r>
          </w:p>
        </w:tc>
        <w:tc>
          <w:tcPr>
            <w:tcW w:w="1200" w:type="dxa"/>
            <w:tcBorders>
              <w:tl2br w:val="nil"/>
              <w:tr2bl w:val="nil"/>
            </w:tcBorders>
            <w:noWrap w:val="0"/>
            <w:vAlign w:val="center"/>
          </w:tcPr>
          <w:p w14:paraId="284A0AFA">
            <w:pPr>
              <w:pStyle w:val="54"/>
              <w:kinsoku w:val="0"/>
              <w:overflowPunct w:val="0"/>
              <w:spacing w:before="14"/>
              <w:ind w:left="200" w:leftChars="0"/>
              <w:rPr>
                <w:rFonts w:hint="eastAsia" w:ascii="宋体" w:hAnsi="Times New Roman" w:eastAsia="Times New Roman"/>
                <w:color w:val="auto"/>
                <w:kern w:val="2"/>
                <w:sz w:val="21"/>
                <w:szCs w:val="22"/>
                <w:highlight w:val="none"/>
              </w:rPr>
            </w:pPr>
            <w:r>
              <w:rPr>
                <w:rFonts w:ascii="宋体" w:cs="宋体"/>
                <w:color w:val="auto"/>
                <w:szCs w:val="21"/>
                <w:highlight w:val="none"/>
              </w:rPr>
              <w:t>17.4.1</w:t>
            </w:r>
          </w:p>
        </w:tc>
        <w:tc>
          <w:tcPr>
            <w:tcW w:w="7147" w:type="dxa"/>
            <w:tcBorders>
              <w:tl2br w:val="nil"/>
              <w:tr2bl w:val="nil"/>
            </w:tcBorders>
            <w:noWrap w:val="0"/>
            <w:vAlign w:val="center"/>
          </w:tcPr>
          <w:p w14:paraId="656B4443">
            <w:pPr>
              <w:keepNext w:val="0"/>
              <w:keepLines w:val="0"/>
              <w:widowControl/>
              <w:suppressLineNumbers w:val="0"/>
              <w:jc w:val="left"/>
              <w:rPr>
                <w:rFonts w:hint="eastAsia" w:ascii="宋体" w:hAnsi="Times New Roman" w:eastAsia="Times New Roman" w:cs="Calibri"/>
                <w:color w:val="auto"/>
                <w:kern w:val="2"/>
                <w:sz w:val="21"/>
                <w:szCs w:val="21"/>
                <w:highlight w:val="none"/>
                <w:lang w:val="en-US" w:eastAsia="zh-CN" w:bidi="ar-SA"/>
              </w:rPr>
            </w:pPr>
            <w:r>
              <w:rPr>
                <w:rFonts w:hint="eastAsia" w:ascii="宋体" w:hAnsi="Times New Roman" w:eastAsia="Times New Roman" w:cs="Calibri"/>
                <w:color w:val="auto"/>
                <w:kern w:val="2"/>
                <w:sz w:val="21"/>
                <w:szCs w:val="21"/>
                <w:highlight w:val="none"/>
                <w:lang w:val="en-US" w:eastAsia="zh-CN" w:bidi="ar-SA"/>
              </w:rPr>
              <w:t>☑提交质量保证金，质量保证金金额：1.5％合同价格，允许发包人直接在工程进度款中扣除或采用工程保函（包括银行保函、保险机构保证保险保单和融资性担保公司保函）形式。对于信用等级为 AA 级的承包人，质量保证金减免额度为</w:t>
            </w:r>
            <w:r>
              <w:rPr>
                <w:rFonts w:hint="eastAsia" w:ascii="宋体" w:hAnsi="Times New Roman" w:eastAsia="Times New Roman" w:cs="Calibri"/>
                <w:color w:val="auto"/>
                <w:kern w:val="2"/>
                <w:sz w:val="21"/>
                <w:szCs w:val="21"/>
                <w:highlight w:val="none"/>
                <w:u w:val="single"/>
                <w:lang w:val="en-US" w:eastAsia="zh-CN" w:bidi="ar-SA"/>
              </w:rPr>
              <w:t xml:space="preserve"> / </w:t>
            </w:r>
            <w:r>
              <w:rPr>
                <w:rFonts w:hint="eastAsia" w:ascii="宋体" w:hAnsi="Times New Roman" w:eastAsia="Times New Roman" w:cs="Calibri"/>
                <w:color w:val="auto"/>
                <w:kern w:val="2"/>
                <w:sz w:val="21"/>
                <w:szCs w:val="21"/>
                <w:highlight w:val="none"/>
                <w:lang w:val="en-US" w:eastAsia="zh-CN" w:bidi="ar-SA"/>
              </w:rPr>
              <w:t>元，质量保证金提前</w:t>
            </w:r>
            <w:r>
              <w:rPr>
                <w:rFonts w:hint="eastAsia" w:ascii="宋体" w:hAnsi="Times New Roman" w:eastAsia="Times New Roman" w:cs="Calibri"/>
                <w:color w:val="auto"/>
                <w:kern w:val="2"/>
                <w:sz w:val="21"/>
                <w:szCs w:val="21"/>
                <w:highlight w:val="none"/>
                <w:u w:val="single"/>
                <w:lang w:val="en-US" w:eastAsia="zh-CN" w:bidi="ar-SA"/>
              </w:rPr>
              <w:t xml:space="preserve"> / </w:t>
            </w:r>
            <w:r>
              <w:rPr>
                <w:rFonts w:hint="eastAsia" w:ascii="宋体" w:hAnsi="Times New Roman" w:eastAsia="Times New Roman" w:cs="Calibri"/>
                <w:color w:val="auto"/>
                <w:kern w:val="2"/>
                <w:sz w:val="21"/>
                <w:szCs w:val="21"/>
                <w:highlight w:val="none"/>
                <w:lang w:val="en-US" w:eastAsia="zh-CN" w:bidi="ar-SA"/>
              </w:rPr>
              <w:t xml:space="preserve">月返还。 </w:t>
            </w:r>
          </w:p>
          <w:p w14:paraId="4943795A">
            <w:pPr>
              <w:keepNext w:val="0"/>
              <w:keepLines w:val="0"/>
              <w:widowControl/>
              <w:suppressLineNumbers w:val="0"/>
              <w:jc w:val="left"/>
              <w:rPr>
                <w:rFonts w:hint="eastAsia" w:ascii="宋体" w:hAnsi="Times New Roman" w:eastAsia="Times New Roman" w:cs="Calibri"/>
                <w:color w:val="auto"/>
                <w:kern w:val="2"/>
                <w:sz w:val="21"/>
                <w:szCs w:val="21"/>
                <w:highlight w:val="none"/>
                <w:lang w:val="en-US" w:eastAsia="zh-CN" w:bidi="ar-SA"/>
              </w:rPr>
            </w:pPr>
            <w:r>
              <w:rPr>
                <w:rFonts w:hint="eastAsia" w:ascii="宋体" w:hAnsi="Times New Roman" w:eastAsia="Times New Roman" w:cs="Calibri"/>
                <w:color w:val="auto"/>
                <w:kern w:val="2"/>
                <w:sz w:val="21"/>
                <w:szCs w:val="21"/>
                <w:highlight w:val="none"/>
                <w:lang w:val="en-US" w:eastAsia="zh-CN" w:bidi="ar-SA"/>
              </w:rPr>
              <w:t xml:space="preserve">质量保证金是否计付利息：□是，利息的计算方式：_____________ </w:t>
            </w:r>
          </w:p>
          <w:p w14:paraId="7F8E09EF">
            <w:pPr>
              <w:keepNext w:val="0"/>
              <w:keepLines w:val="0"/>
              <w:widowControl/>
              <w:suppressLineNumbers w:val="0"/>
              <w:ind w:firstLine="2520" w:firstLineChars="1200"/>
              <w:jc w:val="left"/>
              <w:rPr>
                <w:rFonts w:hint="eastAsia" w:ascii="宋体" w:hAnsi="Times New Roman" w:eastAsia="Times New Roman" w:cs="Calibri"/>
                <w:color w:val="auto"/>
                <w:kern w:val="2"/>
                <w:sz w:val="21"/>
                <w:szCs w:val="21"/>
                <w:highlight w:val="none"/>
                <w:lang w:val="en-US" w:eastAsia="zh-CN" w:bidi="ar-SA"/>
              </w:rPr>
            </w:pPr>
            <w:r>
              <w:rPr>
                <w:rFonts w:hint="eastAsia" w:ascii="宋体" w:hAnsi="Times New Roman" w:eastAsia="Times New Roman" w:cs="Calibri"/>
                <w:color w:val="auto"/>
                <w:kern w:val="2"/>
                <w:sz w:val="21"/>
                <w:szCs w:val="21"/>
                <w:highlight w:val="none"/>
                <w:lang w:val="en-US" w:eastAsia="zh-CN" w:bidi="ar-SA"/>
              </w:rPr>
              <w:t xml:space="preserve">☑否 </w:t>
            </w:r>
          </w:p>
          <w:p w14:paraId="5E4B3B6E">
            <w:pPr>
              <w:keepNext w:val="0"/>
              <w:keepLines w:val="0"/>
              <w:widowControl/>
              <w:suppressLineNumbers w:val="0"/>
              <w:jc w:val="left"/>
              <w:rPr>
                <w:rFonts w:hint="eastAsia" w:ascii="宋体" w:hAnsi="Times New Roman" w:eastAsia="Times New Roman" w:cs="Calibri"/>
                <w:color w:val="auto"/>
                <w:kern w:val="2"/>
                <w:sz w:val="21"/>
                <w:szCs w:val="21"/>
                <w:highlight w:val="none"/>
                <w:lang w:val="en-US" w:eastAsia="zh-CN" w:bidi="ar-SA"/>
              </w:rPr>
            </w:pPr>
            <w:r>
              <w:rPr>
                <w:rFonts w:hint="eastAsia" w:ascii="宋体" w:hAnsi="Times New Roman" w:eastAsia="Times New Roman" w:cs="Calibri"/>
                <w:color w:val="auto"/>
                <w:kern w:val="2"/>
                <w:sz w:val="21"/>
                <w:szCs w:val="21"/>
                <w:highlight w:val="none"/>
                <w:lang w:val="en-US" w:eastAsia="zh-CN" w:bidi="ar-SA"/>
              </w:rPr>
              <w:t xml:space="preserve">□不提交 </w:t>
            </w:r>
          </w:p>
          <w:p w14:paraId="471E3B2E">
            <w:pPr>
              <w:keepNext w:val="0"/>
              <w:keepLines w:val="0"/>
              <w:widowControl/>
              <w:suppressLineNumbers w:val="0"/>
              <w:jc w:val="left"/>
              <w:rPr>
                <w:rFonts w:ascii="宋体" w:eastAsia="宋体"/>
                <w:color w:val="auto"/>
                <w:highlight w:val="none"/>
              </w:rPr>
            </w:pPr>
            <w:r>
              <w:rPr>
                <w:rFonts w:hint="eastAsia" w:ascii="宋体" w:hAnsi="Times New Roman" w:eastAsia="Times New Roman" w:cs="Calibri"/>
                <w:color w:val="auto"/>
                <w:kern w:val="2"/>
                <w:sz w:val="21"/>
                <w:szCs w:val="21"/>
                <w:highlight w:val="none"/>
                <w:lang w:val="en-US" w:eastAsia="zh-CN" w:bidi="ar-SA"/>
              </w:rPr>
              <w:t>在工程项目交工前，承包人已经提供履约担保的，发包人不得同时预留工程质量保证金。</w:t>
            </w:r>
          </w:p>
        </w:tc>
      </w:tr>
      <w:tr w14:paraId="4ABF3A4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28" w:type="dxa"/>
            <w:left w:w="28" w:type="dxa"/>
            <w:bottom w:w="28" w:type="dxa"/>
            <w:right w:w="28" w:type="dxa"/>
          </w:tblCellMar>
        </w:tblPrEx>
        <w:trPr>
          <w:trHeight w:val="540" w:hRule="atLeast"/>
        </w:trPr>
        <w:tc>
          <w:tcPr>
            <w:tcW w:w="675" w:type="dxa"/>
            <w:tcBorders>
              <w:tl2br w:val="nil"/>
              <w:tr2bl w:val="nil"/>
            </w:tcBorders>
            <w:noWrap w:val="0"/>
            <w:vAlign w:val="center"/>
          </w:tcPr>
          <w:p w14:paraId="57D0913C">
            <w:pPr>
              <w:pStyle w:val="44"/>
              <w:spacing w:line="320" w:lineRule="exact"/>
              <w:jc w:val="center"/>
              <w:rPr>
                <w:rFonts w:ascii="宋体"/>
                <w:color w:val="auto"/>
                <w:highlight w:val="none"/>
              </w:rPr>
            </w:pPr>
            <w:r>
              <w:rPr>
                <w:rFonts w:hint="eastAsia" w:ascii="宋体"/>
                <w:color w:val="auto"/>
                <w:highlight w:val="none"/>
              </w:rPr>
              <w:t>19</w:t>
            </w:r>
          </w:p>
        </w:tc>
        <w:tc>
          <w:tcPr>
            <w:tcW w:w="1200" w:type="dxa"/>
            <w:tcBorders>
              <w:tl2br w:val="nil"/>
              <w:tr2bl w:val="nil"/>
            </w:tcBorders>
            <w:noWrap w:val="0"/>
            <w:vAlign w:val="center"/>
          </w:tcPr>
          <w:p w14:paraId="44FCD650">
            <w:pPr>
              <w:pStyle w:val="44"/>
              <w:spacing w:line="320" w:lineRule="exact"/>
              <w:jc w:val="center"/>
              <w:rPr>
                <w:rFonts w:ascii="宋体" w:hAnsi="Times New Roman" w:eastAsia="Times New Roman" w:cs="Calibri"/>
                <w:color w:val="auto"/>
                <w:kern w:val="2"/>
                <w:sz w:val="21"/>
                <w:szCs w:val="21"/>
                <w:highlight w:val="none"/>
                <w:lang w:val="en-US" w:eastAsia="zh-CN" w:bidi="ar-SA"/>
              </w:rPr>
            </w:pPr>
            <w:r>
              <w:rPr>
                <w:rFonts w:hint="eastAsia" w:ascii="宋体"/>
                <w:color w:val="auto"/>
                <w:highlight w:val="none"/>
              </w:rPr>
              <w:t>17.5.1</w:t>
            </w:r>
          </w:p>
        </w:tc>
        <w:tc>
          <w:tcPr>
            <w:tcW w:w="7147" w:type="dxa"/>
            <w:tcBorders>
              <w:tl2br w:val="nil"/>
              <w:tr2bl w:val="nil"/>
            </w:tcBorders>
            <w:noWrap w:val="0"/>
            <w:vAlign w:val="center"/>
          </w:tcPr>
          <w:p w14:paraId="16588665">
            <w:pPr>
              <w:pStyle w:val="44"/>
              <w:spacing w:line="320" w:lineRule="exact"/>
              <w:rPr>
                <w:rFonts w:ascii="宋体" w:hAnsi="Times New Roman" w:eastAsia="Times New Roman" w:cs="Calibri"/>
                <w:color w:val="auto"/>
                <w:kern w:val="2"/>
                <w:sz w:val="21"/>
                <w:szCs w:val="21"/>
                <w:highlight w:val="none"/>
                <w:lang w:val="en-US" w:eastAsia="zh-CN" w:bidi="ar-SA"/>
              </w:rPr>
            </w:pPr>
            <w:r>
              <w:rPr>
                <w:rFonts w:hint="eastAsia" w:ascii="宋体"/>
                <w:color w:val="auto"/>
                <w:highlight w:val="none"/>
              </w:rPr>
              <w:t>承包人向监理人提交交工付款申请单(包括相关证明材料)的份数：</w:t>
            </w:r>
            <w:r>
              <w:rPr>
                <w:rFonts w:hint="eastAsia" w:ascii="宋体"/>
                <w:color w:val="auto"/>
                <w:highlight w:val="none"/>
                <w:u w:val="single"/>
              </w:rPr>
              <w:t>6</w:t>
            </w:r>
            <w:r>
              <w:rPr>
                <w:rFonts w:hint="eastAsia" w:ascii="宋体"/>
                <w:color w:val="auto"/>
                <w:highlight w:val="none"/>
              </w:rPr>
              <w:t>份</w:t>
            </w:r>
          </w:p>
        </w:tc>
      </w:tr>
      <w:tr w14:paraId="5BF6ED7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28" w:type="dxa"/>
            <w:left w:w="28" w:type="dxa"/>
            <w:bottom w:w="28" w:type="dxa"/>
            <w:right w:w="28" w:type="dxa"/>
          </w:tblCellMar>
        </w:tblPrEx>
        <w:trPr>
          <w:trHeight w:val="540" w:hRule="atLeast"/>
        </w:trPr>
        <w:tc>
          <w:tcPr>
            <w:tcW w:w="675" w:type="dxa"/>
            <w:tcBorders>
              <w:tl2br w:val="nil"/>
              <w:tr2bl w:val="nil"/>
            </w:tcBorders>
            <w:noWrap w:val="0"/>
            <w:vAlign w:val="center"/>
          </w:tcPr>
          <w:p w14:paraId="6AAC52E1">
            <w:pPr>
              <w:pStyle w:val="44"/>
              <w:spacing w:line="320" w:lineRule="exact"/>
              <w:jc w:val="center"/>
              <w:rPr>
                <w:rFonts w:hint="eastAsia" w:ascii="宋体"/>
                <w:color w:val="auto"/>
                <w:highlight w:val="none"/>
              </w:rPr>
            </w:pPr>
            <w:r>
              <w:rPr>
                <w:rFonts w:hint="eastAsia" w:ascii="宋体"/>
                <w:color w:val="auto"/>
                <w:highlight w:val="none"/>
              </w:rPr>
              <w:t>20</w:t>
            </w:r>
          </w:p>
        </w:tc>
        <w:tc>
          <w:tcPr>
            <w:tcW w:w="1200" w:type="dxa"/>
            <w:tcBorders>
              <w:tl2br w:val="nil"/>
              <w:tr2bl w:val="nil"/>
            </w:tcBorders>
            <w:noWrap w:val="0"/>
            <w:vAlign w:val="center"/>
          </w:tcPr>
          <w:p w14:paraId="041740C0">
            <w:pPr>
              <w:pStyle w:val="44"/>
              <w:spacing w:line="320" w:lineRule="exact"/>
              <w:jc w:val="center"/>
              <w:rPr>
                <w:rFonts w:ascii="宋体" w:hAnsi="Times New Roman" w:eastAsia="Times New Roman" w:cs="Calibri"/>
                <w:color w:val="auto"/>
                <w:kern w:val="2"/>
                <w:sz w:val="21"/>
                <w:szCs w:val="21"/>
                <w:highlight w:val="none"/>
                <w:lang w:val="en-US" w:eastAsia="zh-CN" w:bidi="ar-SA"/>
              </w:rPr>
            </w:pPr>
            <w:r>
              <w:rPr>
                <w:rFonts w:hint="eastAsia" w:ascii="宋体"/>
                <w:color w:val="auto"/>
                <w:highlight w:val="none"/>
              </w:rPr>
              <w:t>17.6.1</w:t>
            </w:r>
          </w:p>
        </w:tc>
        <w:tc>
          <w:tcPr>
            <w:tcW w:w="7147" w:type="dxa"/>
            <w:tcBorders>
              <w:tl2br w:val="nil"/>
              <w:tr2bl w:val="nil"/>
            </w:tcBorders>
            <w:noWrap w:val="0"/>
            <w:vAlign w:val="center"/>
          </w:tcPr>
          <w:p w14:paraId="62024C18">
            <w:pPr>
              <w:pStyle w:val="44"/>
              <w:spacing w:line="320" w:lineRule="exact"/>
              <w:rPr>
                <w:rFonts w:hint="eastAsia" w:ascii="宋体" w:hAnsi="Times New Roman" w:eastAsia="Times New Roman" w:cs="Calibri"/>
                <w:color w:val="auto"/>
                <w:kern w:val="2"/>
                <w:sz w:val="21"/>
                <w:szCs w:val="21"/>
                <w:highlight w:val="none"/>
                <w:lang w:val="en-US" w:eastAsia="zh-CN" w:bidi="ar-SA"/>
              </w:rPr>
            </w:pPr>
            <w:r>
              <w:rPr>
                <w:rFonts w:hint="eastAsia" w:ascii="宋体"/>
                <w:color w:val="auto"/>
                <w:highlight w:val="none"/>
              </w:rPr>
              <w:t>承包人向监理人提交最终结清申请单(包括相关证明材料)的份数：</w:t>
            </w:r>
            <w:r>
              <w:rPr>
                <w:rFonts w:hint="eastAsia" w:ascii="宋体"/>
                <w:color w:val="auto"/>
                <w:highlight w:val="none"/>
                <w:u w:val="single"/>
              </w:rPr>
              <w:t>6</w:t>
            </w:r>
            <w:r>
              <w:rPr>
                <w:rFonts w:hint="eastAsia" w:ascii="宋体"/>
                <w:color w:val="auto"/>
                <w:highlight w:val="none"/>
              </w:rPr>
              <w:t>份</w:t>
            </w:r>
          </w:p>
        </w:tc>
      </w:tr>
      <w:tr w14:paraId="545F843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28" w:type="dxa"/>
            <w:left w:w="28" w:type="dxa"/>
            <w:bottom w:w="28" w:type="dxa"/>
            <w:right w:w="28" w:type="dxa"/>
          </w:tblCellMar>
        </w:tblPrEx>
        <w:trPr>
          <w:trHeight w:val="540" w:hRule="atLeast"/>
        </w:trPr>
        <w:tc>
          <w:tcPr>
            <w:tcW w:w="675" w:type="dxa"/>
            <w:tcBorders>
              <w:tl2br w:val="nil"/>
              <w:tr2bl w:val="nil"/>
            </w:tcBorders>
            <w:noWrap w:val="0"/>
            <w:vAlign w:val="center"/>
          </w:tcPr>
          <w:p w14:paraId="4E2B5C17">
            <w:pPr>
              <w:pStyle w:val="44"/>
              <w:spacing w:line="320" w:lineRule="exact"/>
              <w:jc w:val="center"/>
              <w:rPr>
                <w:rFonts w:hint="eastAsia" w:ascii="宋体"/>
                <w:color w:val="auto"/>
                <w:highlight w:val="none"/>
              </w:rPr>
            </w:pPr>
            <w:r>
              <w:rPr>
                <w:rFonts w:hint="eastAsia" w:ascii="宋体"/>
                <w:color w:val="auto"/>
                <w:highlight w:val="none"/>
              </w:rPr>
              <w:t>21</w:t>
            </w:r>
          </w:p>
        </w:tc>
        <w:tc>
          <w:tcPr>
            <w:tcW w:w="1200" w:type="dxa"/>
            <w:tcBorders>
              <w:tl2br w:val="nil"/>
              <w:tr2bl w:val="nil"/>
            </w:tcBorders>
            <w:noWrap w:val="0"/>
            <w:vAlign w:val="center"/>
          </w:tcPr>
          <w:p w14:paraId="27DEC79E">
            <w:pPr>
              <w:pStyle w:val="44"/>
              <w:spacing w:line="320" w:lineRule="exact"/>
              <w:jc w:val="center"/>
              <w:rPr>
                <w:rFonts w:hint="eastAsia" w:ascii="宋体" w:hAnsi="Times New Roman" w:eastAsia="Times New Roman" w:cs="Calibri"/>
                <w:color w:val="auto"/>
                <w:kern w:val="2"/>
                <w:sz w:val="21"/>
                <w:szCs w:val="21"/>
                <w:highlight w:val="none"/>
                <w:lang w:val="en-US" w:eastAsia="zh-CN" w:bidi="ar-SA"/>
              </w:rPr>
            </w:pPr>
            <w:r>
              <w:rPr>
                <w:rFonts w:hint="eastAsia" w:ascii="宋体"/>
                <w:color w:val="auto"/>
                <w:highlight w:val="none"/>
              </w:rPr>
              <w:t>18.2</w:t>
            </w:r>
          </w:p>
        </w:tc>
        <w:tc>
          <w:tcPr>
            <w:tcW w:w="7147" w:type="dxa"/>
            <w:tcBorders>
              <w:tl2br w:val="nil"/>
              <w:tr2bl w:val="nil"/>
            </w:tcBorders>
            <w:noWrap w:val="0"/>
            <w:vAlign w:val="center"/>
          </w:tcPr>
          <w:p w14:paraId="07C5A2E0">
            <w:pPr>
              <w:pStyle w:val="44"/>
              <w:spacing w:line="320" w:lineRule="exact"/>
              <w:rPr>
                <w:rFonts w:hint="eastAsia" w:ascii="宋体" w:hAnsi="Times New Roman" w:eastAsia="宋体" w:cs="Calibri"/>
                <w:color w:val="auto"/>
                <w:kern w:val="2"/>
                <w:sz w:val="21"/>
                <w:szCs w:val="21"/>
                <w:highlight w:val="none"/>
                <w:lang w:val="en-US" w:eastAsia="zh-CN" w:bidi="ar-SA"/>
              </w:rPr>
            </w:pPr>
            <w:r>
              <w:rPr>
                <w:rFonts w:hint="eastAsia" w:ascii="宋体"/>
                <w:color w:val="auto"/>
                <w:highlight w:val="none"/>
              </w:rPr>
              <w:t>竣工资料的份数：</w:t>
            </w:r>
            <w:r>
              <w:rPr>
                <w:rFonts w:hint="eastAsia" w:ascii="宋体" w:eastAsia="宋体"/>
                <w:color w:val="auto"/>
                <w:highlight w:val="none"/>
                <w:lang w:val="en-US" w:eastAsia="zh-CN"/>
              </w:rPr>
              <w:t>纸质文件</w:t>
            </w:r>
            <w:r>
              <w:rPr>
                <w:rFonts w:hint="eastAsia" w:ascii="宋体"/>
                <w:color w:val="auto"/>
                <w:highlight w:val="none"/>
                <w:u w:val="single"/>
              </w:rPr>
              <w:t>6</w:t>
            </w:r>
            <w:r>
              <w:rPr>
                <w:rFonts w:hint="eastAsia" w:ascii="宋体"/>
                <w:color w:val="auto"/>
                <w:highlight w:val="none"/>
              </w:rPr>
              <w:t>份，电子稿</w:t>
            </w:r>
            <w:r>
              <w:rPr>
                <w:rFonts w:hint="eastAsia" w:ascii="宋体"/>
                <w:color w:val="auto"/>
                <w:highlight w:val="none"/>
                <w:u w:val="single"/>
              </w:rPr>
              <w:t>1</w:t>
            </w:r>
            <w:r>
              <w:rPr>
                <w:rFonts w:hint="eastAsia" w:ascii="宋体"/>
                <w:color w:val="auto"/>
                <w:highlight w:val="none"/>
              </w:rPr>
              <w:t>份。</w:t>
            </w:r>
          </w:p>
        </w:tc>
      </w:tr>
      <w:tr w14:paraId="569343E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28" w:type="dxa"/>
            <w:left w:w="28" w:type="dxa"/>
            <w:bottom w:w="28" w:type="dxa"/>
            <w:right w:w="28" w:type="dxa"/>
          </w:tblCellMar>
        </w:tblPrEx>
        <w:trPr>
          <w:trHeight w:val="540" w:hRule="atLeast"/>
        </w:trPr>
        <w:tc>
          <w:tcPr>
            <w:tcW w:w="675" w:type="dxa"/>
            <w:tcBorders>
              <w:tl2br w:val="nil"/>
              <w:tr2bl w:val="nil"/>
            </w:tcBorders>
            <w:noWrap w:val="0"/>
            <w:vAlign w:val="center"/>
          </w:tcPr>
          <w:p w14:paraId="483A3881">
            <w:pPr>
              <w:pStyle w:val="44"/>
              <w:spacing w:line="320" w:lineRule="exact"/>
              <w:jc w:val="center"/>
              <w:rPr>
                <w:rFonts w:hint="eastAsia" w:ascii="宋体"/>
                <w:color w:val="auto"/>
                <w:highlight w:val="none"/>
              </w:rPr>
            </w:pPr>
            <w:r>
              <w:rPr>
                <w:rFonts w:hint="eastAsia" w:ascii="宋体"/>
                <w:color w:val="auto"/>
                <w:highlight w:val="none"/>
              </w:rPr>
              <w:t>22</w:t>
            </w:r>
          </w:p>
        </w:tc>
        <w:tc>
          <w:tcPr>
            <w:tcW w:w="1200" w:type="dxa"/>
            <w:tcBorders>
              <w:tl2br w:val="nil"/>
              <w:tr2bl w:val="nil"/>
            </w:tcBorders>
            <w:noWrap w:val="0"/>
            <w:vAlign w:val="center"/>
          </w:tcPr>
          <w:p w14:paraId="10B5879A">
            <w:pPr>
              <w:pStyle w:val="44"/>
              <w:spacing w:line="320" w:lineRule="exact"/>
              <w:jc w:val="center"/>
              <w:rPr>
                <w:rFonts w:hint="eastAsia" w:ascii="宋体" w:hAnsi="Times New Roman" w:eastAsia="Times New Roman" w:cs="Calibri"/>
                <w:color w:val="auto"/>
                <w:kern w:val="2"/>
                <w:sz w:val="21"/>
                <w:szCs w:val="21"/>
                <w:highlight w:val="none"/>
                <w:lang w:val="en-US" w:eastAsia="zh-CN" w:bidi="ar-SA"/>
              </w:rPr>
            </w:pPr>
            <w:r>
              <w:rPr>
                <w:rFonts w:hint="eastAsia" w:ascii="宋体"/>
                <w:color w:val="auto"/>
                <w:highlight w:val="none"/>
              </w:rPr>
              <w:t>19.7</w:t>
            </w:r>
          </w:p>
        </w:tc>
        <w:tc>
          <w:tcPr>
            <w:tcW w:w="7147" w:type="dxa"/>
            <w:tcBorders>
              <w:tl2br w:val="nil"/>
              <w:tr2bl w:val="nil"/>
            </w:tcBorders>
            <w:noWrap w:val="0"/>
            <w:vAlign w:val="center"/>
          </w:tcPr>
          <w:p w14:paraId="6EB0D4FC">
            <w:pPr>
              <w:pStyle w:val="44"/>
              <w:spacing w:line="320" w:lineRule="exact"/>
              <w:rPr>
                <w:rFonts w:hint="eastAsia" w:ascii="宋体" w:hAnsi="Times New Roman" w:eastAsia="Times New Roman" w:cs="Calibri"/>
                <w:color w:val="auto"/>
                <w:kern w:val="2"/>
                <w:sz w:val="21"/>
                <w:szCs w:val="21"/>
                <w:highlight w:val="none"/>
                <w:lang w:val="en-US" w:eastAsia="zh-CN" w:bidi="ar-SA"/>
              </w:rPr>
            </w:pPr>
            <w:r>
              <w:rPr>
                <w:rFonts w:hint="eastAsia" w:ascii="宋体"/>
                <w:color w:val="auto"/>
                <w:highlight w:val="none"/>
              </w:rPr>
              <w:t>保修期：自实际交工日期（交工证书颁发之日）起计算</w:t>
            </w:r>
            <w:r>
              <w:rPr>
                <w:rFonts w:hint="eastAsia" w:ascii="宋体"/>
                <w:color w:val="auto"/>
                <w:highlight w:val="none"/>
                <w:u w:val="single"/>
              </w:rPr>
              <w:t>12</w:t>
            </w:r>
            <w:r>
              <w:rPr>
                <w:rFonts w:hint="eastAsia" w:ascii="宋体"/>
                <w:color w:val="auto"/>
                <w:highlight w:val="none"/>
              </w:rPr>
              <w:t>个月。</w:t>
            </w:r>
          </w:p>
        </w:tc>
      </w:tr>
      <w:tr w14:paraId="5A90175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28" w:type="dxa"/>
            <w:left w:w="28" w:type="dxa"/>
            <w:bottom w:w="28" w:type="dxa"/>
            <w:right w:w="28" w:type="dxa"/>
          </w:tblCellMar>
        </w:tblPrEx>
        <w:trPr>
          <w:trHeight w:val="540" w:hRule="atLeast"/>
        </w:trPr>
        <w:tc>
          <w:tcPr>
            <w:tcW w:w="675" w:type="dxa"/>
            <w:tcBorders>
              <w:tl2br w:val="nil"/>
              <w:tr2bl w:val="nil"/>
            </w:tcBorders>
            <w:noWrap w:val="0"/>
            <w:vAlign w:val="center"/>
          </w:tcPr>
          <w:p w14:paraId="5D191F3F">
            <w:pPr>
              <w:pStyle w:val="44"/>
              <w:spacing w:line="320" w:lineRule="exact"/>
              <w:jc w:val="center"/>
              <w:rPr>
                <w:rFonts w:ascii="宋体"/>
                <w:color w:val="auto"/>
                <w:highlight w:val="none"/>
              </w:rPr>
            </w:pPr>
            <w:r>
              <w:rPr>
                <w:rFonts w:hint="eastAsia" w:ascii="宋体"/>
                <w:color w:val="auto"/>
                <w:highlight w:val="none"/>
              </w:rPr>
              <w:t>23</w:t>
            </w:r>
          </w:p>
        </w:tc>
        <w:tc>
          <w:tcPr>
            <w:tcW w:w="1200" w:type="dxa"/>
            <w:tcBorders>
              <w:tl2br w:val="nil"/>
              <w:tr2bl w:val="nil"/>
            </w:tcBorders>
            <w:noWrap w:val="0"/>
            <w:vAlign w:val="center"/>
          </w:tcPr>
          <w:p w14:paraId="0F70DDDF">
            <w:pPr>
              <w:pStyle w:val="44"/>
              <w:spacing w:line="320" w:lineRule="exact"/>
              <w:jc w:val="center"/>
              <w:rPr>
                <w:rFonts w:ascii="宋体" w:hAnsi="Times New Roman" w:eastAsia="Times New Roman" w:cs="Calibri"/>
                <w:color w:val="auto"/>
                <w:kern w:val="2"/>
                <w:sz w:val="21"/>
                <w:szCs w:val="21"/>
                <w:highlight w:val="none"/>
                <w:lang w:val="en-US" w:eastAsia="zh-CN" w:bidi="ar-SA"/>
              </w:rPr>
            </w:pPr>
            <w:r>
              <w:rPr>
                <w:rFonts w:hint="eastAsia" w:ascii="宋体"/>
                <w:color w:val="auto"/>
                <w:highlight w:val="none"/>
              </w:rPr>
              <w:t>20.1</w:t>
            </w:r>
          </w:p>
        </w:tc>
        <w:tc>
          <w:tcPr>
            <w:tcW w:w="7147" w:type="dxa"/>
            <w:tcBorders>
              <w:tl2br w:val="nil"/>
              <w:tr2bl w:val="nil"/>
            </w:tcBorders>
            <w:noWrap w:val="0"/>
            <w:vAlign w:val="center"/>
          </w:tcPr>
          <w:p w14:paraId="677A45FF">
            <w:pPr>
              <w:pStyle w:val="44"/>
              <w:spacing w:line="320" w:lineRule="exact"/>
              <w:rPr>
                <w:rFonts w:hint="eastAsia" w:ascii="宋体" w:hAnsi="Times New Roman" w:eastAsia="Times New Roman" w:cs="Calibri"/>
                <w:color w:val="auto"/>
                <w:kern w:val="2"/>
                <w:sz w:val="21"/>
                <w:szCs w:val="21"/>
                <w:highlight w:val="none"/>
                <w:lang w:val="en-US" w:eastAsia="zh-CN" w:bidi="ar-SA"/>
              </w:rPr>
            </w:pPr>
            <w:r>
              <w:rPr>
                <w:rFonts w:hint="eastAsia" w:ascii="宋体"/>
                <w:color w:val="auto"/>
                <w:highlight w:val="none"/>
              </w:rPr>
              <w:t>建筑工程一切险的保险费率：</w:t>
            </w:r>
            <w:r>
              <w:rPr>
                <w:rFonts w:hint="eastAsia" w:ascii="宋体"/>
                <w:color w:val="auto"/>
                <w:highlight w:val="none"/>
                <w:u w:val="single"/>
              </w:rPr>
              <w:t>3</w:t>
            </w:r>
            <w:r>
              <w:rPr>
                <w:rFonts w:hint="eastAsia" w:ascii="宋体"/>
                <w:color w:val="auto"/>
                <w:highlight w:val="none"/>
              </w:rPr>
              <w:t>‰</w:t>
            </w:r>
          </w:p>
        </w:tc>
      </w:tr>
      <w:tr w14:paraId="14BFBD0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28" w:type="dxa"/>
            <w:left w:w="28" w:type="dxa"/>
            <w:bottom w:w="28" w:type="dxa"/>
            <w:right w:w="28" w:type="dxa"/>
          </w:tblCellMar>
        </w:tblPrEx>
        <w:trPr>
          <w:trHeight w:val="496" w:hRule="atLeast"/>
        </w:trPr>
        <w:tc>
          <w:tcPr>
            <w:tcW w:w="675" w:type="dxa"/>
            <w:tcBorders>
              <w:tl2br w:val="nil"/>
              <w:tr2bl w:val="nil"/>
            </w:tcBorders>
            <w:noWrap w:val="0"/>
            <w:vAlign w:val="center"/>
          </w:tcPr>
          <w:p w14:paraId="716ABBC2">
            <w:pPr>
              <w:pStyle w:val="44"/>
              <w:spacing w:line="320" w:lineRule="exact"/>
              <w:jc w:val="center"/>
              <w:rPr>
                <w:rFonts w:ascii="宋体"/>
                <w:color w:val="auto"/>
                <w:highlight w:val="none"/>
              </w:rPr>
            </w:pPr>
            <w:r>
              <w:rPr>
                <w:rFonts w:hint="eastAsia" w:ascii="宋体"/>
                <w:color w:val="auto"/>
                <w:highlight w:val="none"/>
              </w:rPr>
              <w:t>24</w:t>
            </w:r>
          </w:p>
        </w:tc>
        <w:tc>
          <w:tcPr>
            <w:tcW w:w="1200" w:type="dxa"/>
            <w:tcBorders>
              <w:tl2br w:val="nil"/>
              <w:tr2bl w:val="nil"/>
            </w:tcBorders>
            <w:noWrap w:val="0"/>
            <w:vAlign w:val="center"/>
          </w:tcPr>
          <w:p w14:paraId="6D3EC977">
            <w:pPr>
              <w:pStyle w:val="44"/>
              <w:spacing w:line="320" w:lineRule="exact"/>
              <w:jc w:val="center"/>
              <w:rPr>
                <w:rFonts w:hint="eastAsia" w:ascii="宋体" w:hAnsi="Times New Roman" w:eastAsia="Times New Roman" w:cs="Calibri"/>
                <w:color w:val="auto"/>
                <w:kern w:val="2"/>
                <w:sz w:val="21"/>
                <w:szCs w:val="21"/>
                <w:highlight w:val="none"/>
                <w:lang w:val="en-US" w:eastAsia="zh-CN" w:bidi="ar-SA"/>
              </w:rPr>
            </w:pPr>
            <w:r>
              <w:rPr>
                <w:rFonts w:hint="eastAsia" w:ascii="宋体"/>
                <w:color w:val="auto"/>
                <w:highlight w:val="none"/>
              </w:rPr>
              <w:t>20.4.2</w:t>
            </w:r>
          </w:p>
        </w:tc>
        <w:tc>
          <w:tcPr>
            <w:tcW w:w="7147" w:type="dxa"/>
            <w:tcBorders>
              <w:tl2br w:val="nil"/>
              <w:tr2bl w:val="nil"/>
            </w:tcBorders>
            <w:noWrap w:val="0"/>
            <w:vAlign w:val="center"/>
          </w:tcPr>
          <w:p w14:paraId="449F3F99">
            <w:pPr>
              <w:pStyle w:val="70"/>
              <w:keepNext w:val="0"/>
              <w:keepLines w:val="0"/>
              <w:pageBreakBefore w:val="0"/>
              <w:widowControl w:val="0"/>
              <w:tabs>
                <w:tab w:val="left" w:pos="2790"/>
              </w:tabs>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Cs w:val="21"/>
                <w:highlight w:val="none"/>
                <w:lang w:val="en-US" w:eastAsia="zh-CN"/>
              </w:rPr>
              <w:t>第三者责任险的最低投保额</w:t>
            </w:r>
            <w:r>
              <w:rPr>
                <w:rFonts w:hint="eastAsia" w:ascii="Times New Roman" w:hAnsi="Times New Roman" w:eastAsia="宋体" w:cs="Times New Roman"/>
                <w:color w:val="auto"/>
                <w:szCs w:val="21"/>
                <w:highlight w:val="none"/>
                <w:lang w:val="en-US" w:eastAsia="zh-CN"/>
              </w:rPr>
              <w:t>：</w:t>
            </w:r>
            <w:r>
              <w:rPr>
                <w:rFonts w:hint="eastAsia" w:ascii="Times New Roman" w:hAnsi="Times New Roman" w:eastAsia="宋体" w:cs="Times New Roman"/>
                <w:color w:val="auto"/>
                <w:szCs w:val="21"/>
                <w:highlight w:val="none"/>
                <w:u w:val="single"/>
                <w:lang w:val="en-US" w:eastAsia="zh-CN"/>
              </w:rPr>
              <w:t>1</w:t>
            </w:r>
            <w:r>
              <w:rPr>
                <w:rFonts w:hint="default" w:ascii="Times New Roman" w:hAnsi="Times New Roman" w:eastAsia="宋体" w:cs="Times New Roman"/>
                <w:color w:val="auto"/>
                <w:szCs w:val="21"/>
                <w:highlight w:val="none"/>
                <w:u w:val="single"/>
                <w:lang w:val="en-US" w:eastAsia="zh-CN"/>
              </w:rPr>
              <w:t>00</w:t>
            </w:r>
            <w:r>
              <w:rPr>
                <w:rFonts w:hint="default" w:ascii="Times New Roman" w:hAnsi="Times New Roman" w:eastAsia="宋体" w:cs="Times New Roman"/>
                <w:color w:val="auto"/>
                <w:szCs w:val="21"/>
                <w:highlight w:val="none"/>
                <w:lang w:val="en-US" w:eastAsia="zh-CN"/>
              </w:rPr>
              <w:t>万元，事故免赔次数不限</w:t>
            </w:r>
            <w:r>
              <w:rPr>
                <w:rFonts w:hint="eastAsia" w:ascii="Times New Roman" w:hAnsi="Times New Roman" w:eastAsia="宋体" w:cs="Times New Roman"/>
                <w:color w:val="auto"/>
                <w:szCs w:val="21"/>
                <w:highlight w:val="none"/>
                <w:lang w:val="en-US" w:eastAsia="zh-CN"/>
              </w:rPr>
              <w:t>（不计免赔额），保险金额已包含在安全生产责任保险中</w:t>
            </w:r>
          </w:p>
        </w:tc>
      </w:tr>
      <w:tr w14:paraId="356B170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28" w:type="dxa"/>
            <w:left w:w="28" w:type="dxa"/>
            <w:bottom w:w="28" w:type="dxa"/>
            <w:right w:w="28" w:type="dxa"/>
          </w:tblCellMar>
        </w:tblPrEx>
        <w:trPr>
          <w:trHeight w:val="496" w:hRule="atLeast"/>
        </w:trPr>
        <w:tc>
          <w:tcPr>
            <w:tcW w:w="675" w:type="dxa"/>
            <w:tcBorders>
              <w:tl2br w:val="nil"/>
              <w:tr2bl w:val="nil"/>
            </w:tcBorders>
            <w:noWrap w:val="0"/>
            <w:vAlign w:val="center"/>
          </w:tcPr>
          <w:p w14:paraId="49BE2E69">
            <w:pPr>
              <w:pStyle w:val="44"/>
              <w:spacing w:line="320" w:lineRule="exact"/>
              <w:jc w:val="center"/>
              <w:rPr>
                <w:rFonts w:ascii="宋体"/>
                <w:color w:val="auto"/>
                <w:highlight w:val="none"/>
              </w:rPr>
            </w:pPr>
            <w:r>
              <w:rPr>
                <w:rFonts w:hint="eastAsia" w:ascii="宋体"/>
                <w:color w:val="auto"/>
                <w:highlight w:val="none"/>
              </w:rPr>
              <w:t>25</w:t>
            </w:r>
          </w:p>
        </w:tc>
        <w:tc>
          <w:tcPr>
            <w:tcW w:w="1200" w:type="dxa"/>
            <w:tcBorders>
              <w:tl2br w:val="nil"/>
              <w:tr2bl w:val="nil"/>
            </w:tcBorders>
            <w:noWrap w:val="0"/>
            <w:vAlign w:val="center"/>
          </w:tcPr>
          <w:p w14:paraId="5AF8B055">
            <w:pPr>
              <w:pStyle w:val="44"/>
              <w:spacing w:line="320" w:lineRule="exact"/>
              <w:jc w:val="center"/>
              <w:rPr>
                <w:rFonts w:hint="default" w:ascii="宋体" w:hAnsi="Times New Roman" w:eastAsia="Times New Roman" w:cs="Calibri"/>
                <w:color w:val="auto"/>
                <w:kern w:val="2"/>
                <w:sz w:val="21"/>
                <w:szCs w:val="21"/>
                <w:highlight w:val="none"/>
                <w:lang w:val="en-US" w:eastAsia="zh-CN" w:bidi="ar-SA"/>
              </w:rPr>
            </w:pPr>
            <w:r>
              <w:rPr>
                <w:rFonts w:hint="eastAsia" w:ascii="宋体" w:cs="Calibri"/>
                <w:color w:val="auto"/>
                <w:kern w:val="2"/>
                <w:sz w:val="21"/>
                <w:szCs w:val="21"/>
                <w:highlight w:val="none"/>
                <w:lang w:val="en-US" w:eastAsia="zh-CN" w:bidi="ar-SA"/>
              </w:rPr>
              <w:t>20.5</w:t>
            </w:r>
          </w:p>
        </w:tc>
        <w:tc>
          <w:tcPr>
            <w:tcW w:w="7147" w:type="dxa"/>
            <w:tcBorders>
              <w:tl2br w:val="nil"/>
              <w:tr2bl w:val="nil"/>
            </w:tcBorders>
            <w:noWrap w:val="0"/>
            <w:vAlign w:val="center"/>
          </w:tcPr>
          <w:p w14:paraId="788BFA86">
            <w:pPr>
              <w:pStyle w:val="70"/>
              <w:keepNext w:val="0"/>
              <w:keepLines w:val="0"/>
              <w:pageBreakBefore w:val="0"/>
              <w:widowControl w:val="0"/>
              <w:tabs>
                <w:tab w:val="left" w:pos="2790"/>
              </w:tabs>
              <w:kinsoku/>
              <w:wordWrap/>
              <w:overflowPunct/>
              <w:topLinePunct w:val="0"/>
              <w:autoSpaceDE/>
              <w:autoSpaceDN/>
              <w:bidi w:val="0"/>
              <w:adjustRightInd/>
              <w:snapToGrid/>
              <w:spacing w:line="360" w:lineRule="exact"/>
              <w:textAlignment w:val="auto"/>
              <w:rPr>
                <w:rFonts w:hint="eastAsia"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Cs w:val="21"/>
                <w:highlight w:val="none"/>
                <w:lang w:val="en-US" w:eastAsia="zh-CN"/>
              </w:rPr>
              <w:t>安全生产责任</w:t>
            </w:r>
            <w:r>
              <w:rPr>
                <w:rFonts w:hint="eastAsia" w:ascii="Times New Roman" w:hAnsi="Times New Roman" w:eastAsia="宋体" w:cs="Times New Roman"/>
                <w:color w:val="auto"/>
                <w:szCs w:val="21"/>
                <w:highlight w:val="none"/>
                <w:lang w:val="en-US" w:eastAsia="zh-CN"/>
              </w:rPr>
              <w:t>保险</w:t>
            </w:r>
            <w:r>
              <w:rPr>
                <w:rFonts w:hint="default" w:ascii="Times New Roman" w:hAnsi="Times New Roman" w:eastAsia="宋体" w:cs="Times New Roman"/>
                <w:color w:val="auto"/>
                <w:szCs w:val="21"/>
                <w:highlight w:val="none"/>
                <w:lang w:val="en-US" w:eastAsia="zh-CN"/>
              </w:rPr>
              <w:t>的</w:t>
            </w:r>
            <w:r>
              <w:rPr>
                <w:rFonts w:hint="default" w:ascii="Times New Roman" w:hAnsi="Times New Roman" w:eastAsia="宋体" w:cs="Times New Roman"/>
                <w:color w:val="auto"/>
                <w:szCs w:val="21"/>
                <w:highlight w:val="none"/>
              </w:rPr>
              <w:t>保险费率</w:t>
            </w:r>
            <w:r>
              <w:rPr>
                <w:rFonts w:hint="default" w:ascii="Times New Roman" w:hAnsi="Times New Roman" w:eastAsia="宋体" w:cs="Times New Roman"/>
                <w:color w:val="auto"/>
                <w:szCs w:val="21"/>
                <w:highlight w:val="none"/>
                <w:u w:val="none"/>
              </w:rPr>
              <w:t>：</w:t>
            </w:r>
            <w:r>
              <w:rPr>
                <w:rFonts w:hint="eastAsia" w:ascii="Times New Roman" w:hAnsi="Times New Roman" w:eastAsia="宋体" w:cs="Times New Roman"/>
                <w:color w:val="auto"/>
                <w:szCs w:val="21"/>
                <w:highlight w:val="none"/>
                <w:u w:val="single"/>
                <w:lang w:val="en-US" w:eastAsia="zh-CN"/>
              </w:rPr>
              <w:t>2.5</w:t>
            </w:r>
            <w:r>
              <w:rPr>
                <w:rFonts w:hint="eastAsia" w:ascii="宋体"/>
                <w:color w:val="auto"/>
                <w:highlight w:val="none"/>
              </w:rPr>
              <w:t>‰</w:t>
            </w:r>
            <w:r>
              <w:rPr>
                <w:rFonts w:hint="default" w:ascii="Times New Roman" w:hAnsi="Times New Roman" w:eastAsia="宋体" w:cs="Times New Roman"/>
                <w:color w:val="auto"/>
                <w:szCs w:val="21"/>
                <w:highlight w:val="none"/>
              </w:rPr>
              <w:t>。</w:t>
            </w:r>
          </w:p>
        </w:tc>
      </w:tr>
      <w:tr w14:paraId="18D2B76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28" w:type="dxa"/>
            <w:left w:w="28" w:type="dxa"/>
            <w:bottom w:w="28" w:type="dxa"/>
            <w:right w:w="28" w:type="dxa"/>
          </w:tblCellMar>
        </w:tblPrEx>
        <w:trPr>
          <w:trHeight w:val="90" w:hRule="atLeast"/>
        </w:trPr>
        <w:tc>
          <w:tcPr>
            <w:tcW w:w="675" w:type="dxa"/>
            <w:tcBorders>
              <w:tl2br w:val="nil"/>
              <w:tr2bl w:val="nil"/>
            </w:tcBorders>
            <w:noWrap w:val="0"/>
            <w:vAlign w:val="center"/>
          </w:tcPr>
          <w:p w14:paraId="20B041CE">
            <w:pPr>
              <w:pStyle w:val="44"/>
              <w:spacing w:line="320" w:lineRule="exact"/>
              <w:jc w:val="center"/>
              <w:rPr>
                <w:rFonts w:hint="default" w:ascii="宋体" w:eastAsia="宋体"/>
                <w:color w:val="auto"/>
                <w:highlight w:val="none"/>
                <w:lang w:val="en-US" w:eastAsia="zh-CN"/>
              </w:rPr>
            </w:pPr>
            <w:r>
              <w:rPr>
                <w:rFonts w:hint="eastAsia" w:ascii="宋体" w:eastAsia="宋体"/>
                <w:color w:val="auto"/>
                <w:highlight w:val="none"/>
                <w:lang w:val="en-US" w:eastAsia="zh-CN"/>
              </w:rPr>
              <w:t>26</w:t>
            </w:r>
          </w:p>
        </w:tc>
        <w:tc>
          <w:tcPr>
            <w:tcW w:w="1200" w:type="dxa"/>
            <w:tcBorders>
              <w:tl2br w:val="nil"/>
              <w:tr2bl w:val="nil"/>
            </w:tcBorders>
            <w:noWrap w:val="0"/>
            <w:vAlign w:val="center"/>
          </w:tcPr>
          <w:p w14:paraId="2ACB3714">
            <w:pPr>
              <w:pStyle w:val="44"/>
              <w:spacing w:line="320" w:lineRule="exact"/>
              <w:jc w:val="center"/>
              <w:rPr>
                <w:rFonts w:ascii="宋体"/>
                <w:color w:val="auto"/>
                <w:highlight w:val="none"/>
              </w:rPr>
            </w:pPr>
            <w:r>
              <w:rPr>
                <w:rFonts w:hint="eastAsia" w:ascii="宋体"/>
                <w:color w:val="auto"/>
                <w:highlight w:val="none"/>
              </w:rPr>
              <w:t>24.1</w:t>
            </w:r>
          </w:p>
        </w:tc>
        <w:tc>
          <w:tcPr>
            <w:tcW w:w="7147" w:type="dxa"/>
            <w:tcBorders>
              <w:tl2br w:val="nil"/>
              <w:tr2bl w:val="nil"/>
            </w:tcBorders>
            <w:noWrap w:val="0"/>
            <w:vAlign w:val="center"/>
          </w:tcPr>
          <w:p w14:paraId="7CF8B35B">
            <w:pPr>
              <w:pStyle w:val="44"/>
              <w:spacing w:line="320" w:lineRule="exact"/>
              <w:rPr>
                <w:rFonts w:hint="eastAsia" w:ascii="宋体" w:eastAsia="宋体"/>
                <w:color w:val="auto"/>
                <w:highlight w:val="none"/>
              </w:rPr>
            </w:pPr>
            <w:r>
              <w:rPr>
                <w:rFonts w:hint="eastAsia" w:ascii="宋体"/>
                <w:color w:val="auto"/>
                <w:highlight w:val="none"/>
              </w:rPr>
              <w:t>争议的最终解决方式：</w:t>
            </w:r>
            <w:r>
              <w:rPr>
                <w:rFonts w:hint="eastAsia" w:ascii="宋体"/>
                <w:color w:val="auto"/>
                <w:highlight w:val="none"/>
                <w:u w:val="single"/>
              </w:rPr>
              <w:t>诉讼</w:t>
            </w:r>
          </w:p>
          <w:p w14:paraId="6BCBF1AD">
            <w:pPr>
              <w:pStyle w:val="44"/>
              <w:spacing w:line="320" w:lineRule="exact"/>
              <w:rPr>
                <w:rFonts w:ascii="宋体" w:eastAsia="宋体"/>
                <w:color w:val="auto"/>
                <w:highlight w:val="none"/>
              </w:rPr>
            </w:pPr>
            <w:r>
              <w:rPr>
                <w:rFonts w:hint="eastAsia" w:ascii="宋体"/>
                <w:color w:val="auto"/>
                <w:highlight w:val="none"/>
              </w:rPr>
              <w:t>诉讼单位名称：</w:t>
            </w:r>
            <w:r>
              <w:rPr>
                <w:rFonts w:hint="eastAsia" w:ascii="宋体"/>
                <w:color w:val="auto"/>
                <w:highlight w:val="none"/>
                <w:u w:val="single"/>
              </w:rPr>
              <w:t>新昌县人民法院</w:t>
            </w:r>
          </w:p>
        </w:tc>
      </w:tr>
    </w:tbl>
    <w:p w14:paraId="4B985B24">
      <w:pPr>
        <w:pStyle w:val="44"/>
        <w:keepNext/>
        <w:keepLines/>
        <w:spacing w:before="260" w:after="260" w:line="416" w:lineRule="auto"/>
        <w:jc w:val="center"/>
        <w:outlineLvl w:val="2"/>
        <w:rPr>
          <w:rFonts w:hint="eastAsia" w:ascii="宋体" w:hAnsi="宋体"/>
          <w:b/>
          <w:bCs/>
          <w:color w:val="auto"/>
          <w:sz w:val="32"/>
          <w:szCs w:val="32"/>
          <w:highlight w:val="none"/>
        </w:rPr>
      </w:pPr>
      <w:r>
        <w:rPr>
          <w:rFonts w:hint="eastAsia" w:ascii="宋体"/>
          <w:color w:val="auto"/>
          <w:highlight w:val="none"/>
        </w:rPr>
        <w:br w:type="page"/>
      </w:r>
      <w:bookmarkStart w:id="682" w:name="_Toc27797"/>
      <w:r>
        <w:rPr>
          <w:rFonts w:hint="eastAsia" w:ascii="宋体" w:hAnsi="宋体"/>
          <w:b/>
          <w:bCs/>
          <w:color w:val="auto"/>
          <w:sz w:val="32"/>
          <w:szCs w:val="32"/>
          <w:highlight w:val="none"/>
        </w:rPr>
        <w:t>项目专用合同条款</w:t>
      </w:r>
      <w:bookmarkEnd w:id="682"/>
    </w:p>
    <w:p w14:paraId="43F8ED66">
      <w:pPr>
        <w:pStyle w:val="44"/>
        <w:spacing w:line="420" w:lineRule="exact"/>
        <w:rPr>
          <w:rFonts w:hint="eastAsia" w:ascii="宋体" w:hAnsi="宋体"/>
          <w:color w:val="auto"/>
          <w:highlight w:val="none"/>
        </w:rPr>
      </w:pPr>
      <w:r>
        <w:rPr>
          <w:rFonts w:hint="eastAsia" w:ascii="宋体" w:hAnsi="宋体"/>
          <w:color w:val="auto"/>
          <w:highlight w:val="none"/>
        </w:rPr>
        <w:t>说明：本</w:t>
      </w:r>
      <w:r>
        <w:rPr>
          <w:rFonts w:hint="eastAsia" w:ascii="宋体" w:hAnsi="宋体" w:eastAsia="宋体"/>
          <w:color w:val="auto"/>
          <w:highlight w:val="none"/>
          <w:lang w:val="en-US" w:eastAsia="zh-CN"/>
        </w:rPr>
        <w:t>部分所列的</w:t>
      </w:r>
      <w:r>
        <w:rPr>
          <w:rFonts w:hint="eastAsia" w:ascii="宋体" w:hAnsi="宋体"/>
          <w:color w:val="auto"/>
          <w:highlight w:val="none"/>
        </w:rPr>
        <w:t>项目专用合同条款根据本项目的特点和实际需要，是对“通用合同条款”、“</w:t>
      </w:r>
      <w:r>
        <w:rPr>
          <w:rFonts w:hint="eastAsia" w:ascii="宋体" w:hAnsi="宋体" w:eastAsia="宋体"/>
          <w:color w:val="auto"/>
          <w:highlight w:val="none"/>
          <w:lang w:val="en-US" w:eastAsia="zh-CN"/>
        </w:rPr>
        <w:t>养护</w:t>
      </w:r>
      <w:r>
        <w:rPr>
          <w:rFonts w:hint="eastAsia" w:ascii="宋体" w:hAnsi="宋体"/>
          <w:color w:val="auto"/>
          <w:highlight w:val="none"/>
        </w:rPr>
        <w:t>工程专用合同条款”的补充、细化和约定，应对照“通用合同条款”、</w:t>
      </w:r>
      <w:r>
        <w:rPr>
          <w:rFonts w:hint="eastAsia" w:ascii="宋体" w:hAnsi="宋体" w:eastAsia="宋体"/>
          <w:color w:val="auto"/>
          <w:highlight w:val="none"/>
          <w:lang w:val="en-US" w:eastAsia="zh-CN"/>
        </w:rPr>
        <w:t>养护</w:t>
      </w:r>
      <w:r>
        <w:rPr>
          <w:rFonts w:hint="eastAsia" w:ascii="宋体" w:hAnsi="宋体"/>
          <w:color w:val="auto"/>
          <w:highlight w:val="none"/>
        </w:rPr>
        <w:t>工程专用合同条款”中同一编号的条款一起阅读和理解。</w:t>
      </w:r>
    </w:p>
    <w:p w14:paraId="0586EAAF">
      <w:pPr>
        <w:pStyle w:val="44"/>
        <w:spacing w:line="420" w:lineRule="exact"/>
        <w:rPr>
          <w:rFonts w:hint="eastAsia" w:ascii="宋体" w:hAnsi="宋体"/>
          <w:color w:val="auto"/>
          <w:highlight w:val="none"/>
        </w:rPr>
      </w:pPr>
      <w:r>
        <w:rPr>
          <w:rFonts w:hint="eastAsia" w:ascii="宋体" w:hAnsi="宋体"/>
          <w:color w:val="auto"/>
          <w:highlight w:val="none"/>
        </w:rPr>
        <w:t xml:space="preserve"> </w:t>
      </w:r>
    </w:p>
    <w:p w14:paraId="56BA7011">
      <w:pPr>
        <w:pStyle w:val="44"/>
        <w:spacing w:line="400" w:lineRule="exact"/>
        <w:outlineLvl w:val="2"/>
        <w:rPr>
          <w:rFonts w:hint="eastAsia" w:ascii="宋体" w:hAnsi="宋体"/>
          <w:color w:val="auto"/>
          <w:sz w:val="28"/>
          <w:szCs w:val="28"/>
          <w:highlight w:val="none"/>
        </w:rPr>
      </w:pPr>
      <w:bookmarkStart w:id="683" w:name="_Toc25603"/>
      <w:r>
        <w:rPr>
          <w:rFonts w:hint="eastAsia" w:ascii="宋体" w:hAnsi="宋体"/>
          <w:color w:val="auto"/>
          <w:sz w:val="28"/>
          <w:szCs w:val="28"/>
          <w:highlight w:val="none"/>
        </w:rPr>
        <w:t>1. 一般约定</w:t>
      </w:r>
      <w:bookmarkEnd w:id="683"/>
    </w:p>
    <w:p w14:paraId="70BD6FE3">
      <w:pPr>
        <w:pStyle w:val="44"/>
        <w:spacing w:line="400" w:lineRule="exact"/>
        <w:outlineLvl w:val="3"/>
        <w:rPr>
          <w:rFonts w:hint="eastAsia" w:ascii="宋体" w:hAnsi="宋体"/>
          <w:color w:val="auto"/>
          <w:highlight w:val="none"/>
        </w:rPr>
      </w:pPr>
      <w:r>
        <w:rPr>
          <w:rFonts w:hint="eastAsia" w:ascii="宋体" w:hAnsi="宋体"/>
          <w:color w:val="auto"/>
          <w:highlight w:val="none"/>
        </w:rPr>
        <w:t>1.1  词语定义</w:t>
      </w:r>
    </w:p>
    <w:p w14:paraId="15E7E579">
      <w:pPr>
        <w:pStyle w:val="44"/>
        <w:spacing w:line="400" w:lineRule="exact"/>
        <w:ind w:firstLine="420" w:firstLineChars="200"/>
        <w:rPr>
          <w:rFonts w:hint="eastAsia" w:ascii="宋体" w:hAnsi="宋体"/>
          <w:color w:val="auto"/>
          <w:highlight w:val="none"/>
        </w:rPr>
      </w:pPr>
      <w:r>
        <w:rPr>
          <w:rFonts w:hint="eastAsia" w:ascii="宋体" w:hAnsi="宋体"/>
          <w:color w:val="auto"/>
          <w:highlight w:val="none"/>
        </w:rPr>
        <w:t>1.1.2  合同当事人和人员</w:t>
      </w:r>
    </w:p>
    <w:p w14:paraId="036F441B">
      <w:pPr>
        <w:pStyle w:val="44"/>
        <w:snapToGrid w:val="0"/>
        <w:spacing w:line="400" w:lineRule="exact"/>
        <w:ind w:firstLine="420" w:firstLineChars="200"/>
        <w:rPr>
          <w:rFonts w:hint="eastAsia" w:ascii="宋体" w:hAnsi="宋体"/>
          <w:color w:val="auto"/>
          <w:highlight w:val="none"/>
        </w:rPr>
      </w:pPr>
      <w:r>
        <w:rPr>
          <w:rFonts w:hint="eastAsia" w:ascii="宋体" w:hAnsi="宋体"/>
          <w:color w:val="auto"/>
          <w:highlight w:val="none"/>
        </w:rPr>
        <w:t>通用合同条款1.1.2</w:t>
      </w:r>
      <w:r>
        <w:rPr>
          <w:rFonts w:ascii="宋体" w:hAnsi="宋体" w:cs="Times New Roman"/>
          <w:color w:val="auto"/>
          <w:highlight w:val="none"/>
        </w:rPr>
        <w:t>.</w:t>
      </w:r>
      <w:r>
        <w:rPr>
          <w:rFonts w:hint="eastAsia" w:ascii="宋体" w:hAnsi="宋体"/>
          <w:color w:val="auto"/>
          <w:highlight w:val="none"/>
        </w:rPr>
        <w:t>2目细化为：</w:t>
      </w:r>
    </w:p>
    <w:p w14:paraId="0B22F78A">
      <w:pPr>
        <w:pStyle w:val="55"/>
        <w:snapToGrid w:val="0"/>
        <w:spacing w:line="400" w:lineRule="exact"/>
        <w:ind w:firstLine="420" w:firstLineChars="200"/>
        <w:rPr>
          <w:rFonts w:hint="eastAsia" w:ascii="宋体" w:hAnsi="宋体"/>
          <w:color w:val="auto"/>
          <w:highlight w:val="none"/>
        </w:rPr>
      </w:pPr>
      <w:r>
        <w:rPr>
          <w:rFonts w:hint="eastAsia" w:ascii="宋体" w:hAnsi="宋体"/>
          <w:color w:val="auto"/>
          <w:highlight w:val="none"/>
        </w:rPr>
        <w:t>1.1.2.2发包人：</w:t>
      </w:r>
      <w:r>
        <w:rPr>
          <w:rFonts w:hint="eastAsia" w:ascii="宋体" w:hAnsi="宋体"/>
          <w:color w:val="auto"/>
          <w:highlight w:val="none"/>
          <w:u w:val="single"/>
        </w:rPr>
        <w:t xml:space="preserve">新昌县公路与运输管理中心 </w:t>
      </w:r>
      <w:r>
        <w:rPr>
          <w:rFonts w:hint="eastAsia" w:ascii="宋体" w:hAnsi="宋体"/>
          <w:color w:val="auto"/>
          <w:highlight w:val="none"/>
        </w:rPr>
        <w:t>为本项目发包人，负责本项目的建设管理和招标采购事宜，并与承包人在合同协议书中签字的当事人。</w:t>
      </w:r>
    </w:p>
    <w:p w14:paraId="476158F3">
      <w:pPr>
        <w:pStyle w:val="44"/>
        <w:spacing w:line="400" w:lineRule="exact"/>
        <w:outlineLvl w:val="3"/>
        <w:rPr>
          <w:rFonts w:hint="eastAsia" w:ascii="宋体" w:hAnsi="宋体"/>
          <w:color w:val="auto"/>
          <w:highlight w:val="none"/>
        </w:rPr>
      </w:pPr>
      <w:r>
        <w:rPr>
          <w:rFonts w:hint="eastAsia" w:ascii="宋体" w:hAnsi="宋体"/>
          <w:color w:val="auto"/>
          <w:highlight w:val="none"/>
        </w:rPr>
        <w:t>1.6  图纸和承包人文件</w:t>
      </w:r>
    </w:p>
    <w:p w14:paraId="5558AAC4">
      <w:pPr>
        <w:pStyle w:val="44"/>
        <w:snapToGrid w:val="0"/>
        <w:spacing w:line="400" w:lineRule="exact"/>
        <w:ind w:firstLine="420" w:firstLineChars="200"/>
        <w:rPr>
          <w:rFonts w:hint="eastAsia" w:ascii="宋体" w:hAnsi="宋体" w:cs="Times New Roman"/>
          <w:color w:val="auto"/>
          <w:highlight w:val="none"/>
        </w:rPr>
      </w:pPr>
      <w:r>
        <w:rPr>
          <w:rFonts w:hint="eastAsia" w:ascii="宋体" w:hAnsi="宋体"/>
          <w:color w:val="auto"/>
          <w:highlight w:val="none"/>
        </w:rPr>
        <w:t>1.6.3 图纸的修改</w:t>
      </w:r>
    </w:p>
    <w:p w14:paraId="43FE37D0">
      <w:pPr>
        <w:pStyle w:val="44"/>
        <w:snapToGrid w:val="0"/>
        <w:spacing w:line="400" w:lineRule="exact"/>
        <w:ind w:firstLine="420" w:firstLineChars="200"/>
        <w:rPr>
          <w:rFonts w:ascii="宋体" w:hAnsi="宋体"/>
          <w:color w:val="auto"/>
          <w:highlight w:val="none"/>
        </w:rPr>
      </w:pPr>
      <w:r>
        <w:rPr>
          <w:rFonts w:hint="eastAsia" w:ascii="宋体" w:hAnsi="宋体" w:eastAsia="宋体"/>
          <w:color w:val="auto"/>
          <w:highlight w:val="none"/>
          <w:lang w:val="en-US" w:eastAsia="zh-CN"/>
        </w:rPr>
        <w:t>第</w:t>
      </w:r>
      <w:r>
        <w:rPr>
          <w:rFonts w:hint="eastAsia" w:ascii="宋体" w:hAnsi="宋体"/>
          <w:color w:val="auto"/>
          <w:highlight w:val="none"/>
        </w:rPr>
        <w:t>1.6.3项</w:t>
      </w:r>
      <w:r>
        <w:rPr>
          <w:rFonts w:hint="eastAsia" w:ascii="宋体" w:hAnsi="宋体" w:eastAsia="宋体"/>
          <w:color w:val="auto"/>
          <w:highlight w:val="none"/>
          <w:lang w:val="en-US" w:eastAsia="zh-CN"/>
        </w:rPr>
        <w:t>约定</w:t>
      </w:r>
      <w:r>
        <w:rPr>
          <w:rFonts w:hint="eastAsia" w:ascii="宋体" w:hAnsi="宋体"/>
          <w:color w:val="auto"/>
          <w:highlight w:val="none"/>
        </w:rPr>
        <w:t>为：</w:t>
      </w:r>
    </w:p>
    <w:p w14:paraId="1FEA725B">
      <w:pPr>
        <w:pStyle w:val="44"/>
        <w:snapToGrid w:val="0"/>
        <w:spacing w:line="400" w:lineRule="exact"/>
        <w:ind w:firstLine="420" w:firstLineChars="200"/>
        <w:rPr>
          <w:rFonts w:ascii="宋体" w:hAnsi="宋体"/>
          <w:color w:val="auto"/>
          <w:highlight w:val="none"/>
        </w:rPr>
      </w:pPr>
      <w:r>
        <w:rPr>
          <w:rFonts w:hint="eastAsia" w:ascii="宋体" w:hAnsi="宋体"/>
          <w:color w:val="auto"/>
          <w:highlight w:val="none"/>
        </w:rPr>
        <w:t>图纸需要修改和补充的，应由监理人取得发包人同意后，在该工程或工程相应部位施工前的7天内签发图纸修改图和补充图给承包人。承包人应按修改和补充后的图纸施工。</w:t>
      </w:r>
    </w:p>
    <w:p w14:paraId="4FF6BA1F">
      <w:pPr>
        <w:pStyle w:val="44"/>
        <w:spacing w:line="400" w:lineRule="exact"/>
        <w:outlineLvl w:val="3"/>
        <w:rPr>
          <w:rFonts w:hint="eastAsia" w:ascii="宋体" w:hAnsi="宋体"/>
          <w:color w:val="auto"/>
          <w:highlight w:val="none"/>
        </w:rPr>
      </w:pPr>
      <w:r>
        <w:rPr>
          <w:rFonts w:hint="eastAsia" w:ascii="宋体" w:hAnsi="宋体"/>
          <w:color w:val="auto"/>
          <w:highlight w:val="none"/>
        </w:rPr>
        <w:t>1.7  联络</w:t>
      </w:r>
    </w:p>
    <w:p w14:paraId="66CD5200">
      <w:pPr>
        <w:pStyle w:val="44"/>
        <w:spacing w:line="400" w:lineRule="exact"/>
        <w:ind w:firstLine="420" w:firstLineChars="200"/>
        <w:rPr>
          <w:rFonts w:hint="eastAsia" w:ascii="宋体" w:hAnsi="宋体"/>
          <w:color w:val="auto"/>
          <w:highlight w:val="none"/>
        </w:rPr>
      </w:pPr>
      <w:r>
        <w:rPr>
          <w:rFonts w:hint="eastAsia" w:ascii="宋体" w:hAnsi="宋体"/>
          <w:color w:val="auto"/>
          <w:highlight w:val="none"/>
        </w:rPr>
        <w:t>第1.7.2项约定为：</w:t>
      </w:r>
    </w:p>
    <w:p w14:paraId="35421537">
      <w:pPr>
        <w:pStyle w:val="44"/>
        <w:spacing w:line="400" w:lineRule="exact"/>
        <w:ind w:firstLine="420" w:firstLineChars="200"/>
        <w:rPr>
          <w:rFonts w:hint="eastAsia" w:ascii="宋体" w:hAnsi="宋体"/>
          <w:color w:val="auto"/>
          <w:highlight w:val="none"/>
        </w:rPr>
      </w:pPr>
      <w:r>
        <w:rPr>
          <w:rFonts w:hint="eastAsia" w:ascii="宋体" w:hAnsi="宋体"/>
          <w:color w:val="auto"/>
          <w:highlight w:val="none"/>
        </w:rPr>
        <w:t>1.7.2第</w:t>
      </w:r>
      <w:r>
        <w:rPr>
          <w:rFonts w:ascii="宋体" w:hAnsi="宋体" w:cs="宋体"/>
          <w:color w:val="auto"/>
          <w:highlight w:val="none"/>
        </w:rPr>
        <w:t>1.7.1</w:t>
      </w:r>
      <w:r>
        <w:rPr>
          <w:rFonts w:hint="eastAsia" w:ascii="宋体" w:hAnsi="宋体"/>
          <w:color w:val="auto"/>
          <w:highlight w:val="none"/>
        </w:rPr>
        <w:t xml:space="preserve">项中的通知、批准、证明、证书、指示、要求、请求、同意、意见、确定和决定等来往函件，均应在函件发出24小时内送达指定地点和接收人，并办理签收手续。 </w:t>
      </w:r>
    </w:p>
    <w:p w14:paraId="79939427">
      <w:pPr>
        <w:pStyle w:val="44"/>
        <w:spacing w:line="400" w:lineRule="exact"/>
        <w:outlineLvl w:val="2"/>
        <w:rPr>
          <w:rFonts w:hint="eastAsia" w:ascii="宋体" w:hAnsi="宋体" w:eastAsia="Times New Roman"/>
          <w:color w:val="auto"/>
          <w:sz w:val="28"/>
          <w:szCs w:val="28"/>
          <w:highlight w:val="none"/>
        </w:rPr>
      </w:pPr>
      <w:bookmarkStart w:id="684" w:name="_Toc19356"/>
      <w:r>
        <w:rPr>
          <w:rFonts w:hint="eastAsia" w:ascii="宋体" w:hAnsi="宋体" w:eastAsia="Times New Roman"/>
          <w:color w:val="auto"/>
          <w:sz w:val="28"/>
          <w:szCs w:val="28"/>
          <w:highlight w:val="none"/>
        </w:rPr>
        <w:t>2. 发包人义务</w:t>
      </w:r>
      <w:bookmarkEnd w:id="684"/>
    </w:p>
    <w:p w14:paraId="5FB802DC">
      <w:pPr>
        <w:pStyle w:val="55"/>
        <w:spacing w:line="400" w:lineRule="exact"/>
        <w:outlineLvl w:val="3"/>
        <w:rPr>
          <w:rFonts w:ascii="宋体" w:hAnsi="宋体"/>
          <w:color w:val="auto"/>
          <w:highlight w:val="none"/>
        </w:rPr>
      </w:pPr>
      <w:bookmarkStart w:id="685" w:name="_Toc247643366"/>
      <w:bookmarkStart w:id="686" w:name="_Toc458406030"/>
      <w:bookmarkStart w:id="687" w:name="_Toc2053"/>
      <w:bookmarkStart w:id="688" w:name="_Toc152042408"/>
      <w:bookmarkStart w:id="689" w:name="_Toc144974598"/>
      <w:bookmarkStart w:id="690" w:name="_Toc152045630"/>
      <w:bookmarkStart w:id="691" w:name="_Toc179632648"/>
      <w:bookmarkStart w:id="692" w:name="_Toc19985"/>
      <w:bookmarkStart w:id="693" w:name="_Toc13841"/>
      <w:r>
        <w:rPr>
          <w:rFonts w:hint="eastAsia" w:ascii="宋体" w:hAnsi="宋体"/>
          <w:color w:val="auto"/>
          <w:highlight w:val="none"/>
        </w:rPr>
        <w:t>2.6 支付合同价款</w:t>
      </w:r>
      <w:bookmarkEnd w:id="685"/>
      <w:bookmarkEnd w:id="686"/>
      <w:bookmarkEnd w:id="687"/>
      <w:bookmarkEnd w:id="688"/>
      <w:bookmarkEnd w:id="689"/>
      <w:bookmarkEnd w:id="690"/>
      <w:bookmarkEnd w:id="691"/>
      <w:bookmarkEnd w:id="692"/>
      <w:bookmarkEnd w:id="693"/>
    </w:p>
    <w:p w14:paraId="02CFA150">
      <w:pPr>
        <w:pStyle w:val="44"/>
        <w:spacing w:line="400" w:lineRule="exact"/>
        <w:ind w:firstLine="420" w:firstLineChars="200"/>
        <w:rPr>
          <w:rFonts w:hint="eastAsia" w:ascii="宋体" w:hAnsi="宋体" w:eastAsia="Times New Roman"/>
          <w:color w:val="auto"/>
          <w:highlight w:val="none"/>
        </w:rPr>
      </w:pPr>
      <w:r>
        <w:rPr>
          <w:rFonts w:hint="eastAsia" w:ascii="宋体" w:hAnsi="宋体" w:eastAsia="Times New Roman"/>
          <w:color w:val="auto"/>
          <w:highlight w:val="none"/>
        </w:rPr>
        <w:t>本款补充：</w:t>
      </w:r>
    </w:p>
    <w:p w14:paraId="10711E76">
      <w:pPr>
        <w:pStyle w:val="44"/>
        <w:spacing w:line="400" w:lineRule="exact"/>
        <w:ind w:firstLine="420" w:firstLineChars="200"/>
        <w:rPr>
          <w:rFonts w:hint="eastAsia" w:ascii="宋体" w:hAnsi="宋体" w:eastAsia="Times New Roman"/>
          <w:color w:val="auto"/>
          <w:highlight w:val="none"/>
        </w:rPr>
      </w:pPr>
      <w:r>
        <w:rPr>
          <w:rFonts w:hint="eastAsia" w:ascii="宋体" w:hAnsi="宋体" w:eastAsia="Times New Roman"/>
          <w:color w:val="auto"/>
          <w:highlight w:val="none"/>
          <w:lang w:val="en-US" w:eastAsia="zh-CN"/>
        </w:rPr>
        <w:t>发包人应严格执行浙江省交通运输厅《关于做好全省公路水运建设工程人工工资专用账户管理工作的通知》(浙交〔2018〕241 号文)、交通运输部《关于公路水运工程建设领域保障农民工工资支付的意见》(交公路规〔2020〕5 号文)及浙江省住建厅等部门《关于在全省工程建设领域改革保证金制度的通知》（浙建〔2020〕7 号）文规定，发包人应依据合同约定以及当期核报的人工工资数，将农民工工资及时足额支付到承包人在项目所在地开设的农民工工资专用账户。</w:t>
      </w:r>
    </w:p>
    <w:p w14:paraId="43530B31">
      <w:pPr>
        <w:pStyle w:val="44"/>
        <w:spacing w:line="400" w:lineRule="exact"/>
        <w:outlineLvl w:val="2"/>
        <w:rPr>
          <w:rFonts w:hint="eastAsia" w:ascii="宋体" w:hAnsi="宋体"/>
          <w:color w:val="auto"/>
          <w:sz w:val="28"/>
          <w:szCs w:val="28"/>
          <w:highlight w:val="none"/>
        </w:rPr>
      </w:pPr>
      <w:bookmarkStart w:id="694" w:name="_Toc15825"/>
      <w:r>
        <w:rPr>
          <w:rFonts w:hint="eastAsia" w:ascii="宋体" w:hAnsi="宋体"/>
          <w:color w:val="auto"/>
          <w:sz w:val="28"/>
          <w:szCs w:val="28"/>
          <w:highlight w:val="none"/>
        </w:rPr>
        <w:t>4. 承包人</w:t>
      </w:r>
      <w:bookmarkEnd w:id="694"/>
    </w:p>
    <w:p w14:paraId="2ABB26BD">
      <w:pPr>
        <w:pStyle w:val="44"/>
        <w:spacing w:line="400" w:lineRule="exact"/>
        <w:outlineLvl w:val="3"/>
        <w:rPr>
          <w:rFonts w:hint="eastAsia" w:ascii="宋体" w:hAnsi="宋体"/>
          <w:color w:val="auto"/>
          <w:highlight w:val="none"/>
        </w:rPr>
      </w:pPr>
      <w:r>
        <w:rPr>
          <w:rFonts w:hint="eastAsia" w:ascii="宋体" w:hAnsi="宋体"/>
          <w:color w:val="auto"/>
          <w:highlight w:val="none"/>
        </w:rPr>
        <w:t>4.1  承包人的一般义务</w:t>
      </w:r>
    </w:p>
    <w:p w14:paraId="2E73C25E">
      <w:pPr>
        <w:pStyle w:val="43"/>
        <w:tabs>
          <w:tab w:val="left" w:pos="2790"/>
        </w:tabs>
        <w:spacing w:line="400" w:lineRule="exact"/>
        <w:ind w:firstLine="420" w:firstLineChars="200"/>
        <w:rPr>
          <w:rFonts w:hint="eastAsia" w:ascii="宋体" w:hAnsi="宋体"/>
          <w:color w:val="auto"/>
          <w:highlight w:val="none"/>
        </w:rPr>
      </w:pPr>
      <w:r>
        <w:rPr>
          <w:rFonts w:hint="eastAsia" w:ascii="宋体" w:hAnsi="宋体"/>
          <w:color w:val="auto"/>
          <w:highlight w:val="none"/>
        </w:rPr>
        <w:t xml:space="preserve">4.1.8  为他人提供方便 </w:t>
      </w:r>
    </w:p>
    <w:p w14:paraId="5571B7C8">
      <w:pPr>
        <w:pStyle w:val="43"/>
        <w:tabs>
          <w:tab w:val="left" w:pos="2790"/>
        </w:tabs>
        <w:spacing w:line="400" w:lineRule="exact"/>
        <w:ind w:firstLine="420" w:firstLineChars="200"/>
        <w:rPr>
          <w:rFonts w:hint="eastAsia" w:ascii="宋体" w:hAnsi="宋体"/>
          <w:color w:val="auto"/>
          <w:highlight w:val="none"/>
        </w:rPr>
      </w:pPr>
      <w:r>
        <w:rPr>
          <w:rFonts w:hint="eastAsia" w:ascii="宋体" w:hAnsi="宋体"/>
          <w:color w:val="auto"/>
          <w:highlight w:val="none"/>
          <w:lang w:val="en-US" w:eastAsia="zh-CN"/>
        </w:rPr>
        <w:t>第</w:t>
      </w:r>
      <w:r>
        <w:rPr>
          <w:rFonts w:hint="eastAsia" w:ascii="宋体" w:hAnsi="宋体"/>
          <w:color w:val="auto"/>
          <w:highlight w:val="none"/>
        </w:rPr>
        <w:t xml:space="preserve"> 4.1.8 项</w:t>
      </w:r>
      <w:r>
        <w:rPr>
          <w:rFonts w:hint="eastAsia" w:ascii="宋体" w:hAnsi="宋体"/>
          <w:color w:val="auto"/>
          <w:highlight w:val="none"/>
          <w:lang w:val="en-US" w:eastAsia="zh-CN"/>
        </w:rPr>
        <w:t>约定</w:t>
      </w:r>
      <w:r>
        <w:rPr>
          <w:rFonts w:hint="eastAsia" w:ascii="宋体" w:hAnsi="宋体"/>
          <w:color w:val="auto"/>
          <w:highlight w:val="none"/>
        </w:rPr>
        <w:t xml:space="preserve">为： </w:t>
      </w:r>
    </w:p>
    <w:p w14:paraId="6CA558B2">
      <w:pPr>
        <w:pStyle w:val="43"/>
        <w:tabs>
          <w:tab w:val="left" w:pos="2790"/>
        </w:tabs>
        <w:spacing w:line="400" w:lineRule="exact"/>
        <w:ind w:firstLine="420" w:firstLineChars="200"/>
        <w:rPr>
          <w:rFonts w:hint="eastAsia" w:ascii="宋体" w:hAnsi="宋体" w:eastAsia="宋体"/>
          <w:color w:val="auto"/>
          <w:highlight w:val="none"/>
        </w:rPr>
      </w:pPr>
      <w:r>
        <w:rPr>
          <w:rFonts w:hint="eastAsia" w:ascii="宋体" w:hAnsi="宋体" w:eastAsia="宋体"/>
          <w:color w:val="auto"/>
          <w:highlight w:val="none"/>
        </w:rPr>
        <w:t>承包人应按监理人的指示为他人（包括发包人、设计人、质量监督部门、主管部门、其他承包人等）在施工场地或附近实施与工程有关的其他各项工作提供可能的条件（包括交通等）。 除合同另有约定外，提供有关条件可能发生的费用，由承包人</w:t>
      </w:r>
      <w:r>
        <w:rPr>
          <w:rFonts w:hint="eastAsia" w:ascii="宋体" w:hAnsi="宋体" w:eastAsia="宋体"/>
          <w:color w:val="auto"/>
          <w:highlight w:val="none"/>
          <w:lang w:val="en-US" w:eastAsia="zh-CN"/>
        </w:rPr>
        <w:t>自行</w:t>
      </w:r>
      <w:r>
        <w:rPr>
          <w:rFonts w:hint="eastAsia" w:ascii="宋体" w:hAnsi="宋体" w:eastAsia="宋体"/>
          <w:color w:val="auto"/>
          <w:highlight w:val="none"/>
        </w:rPr>
        <w:t>承担。</w:t>
      </w:r>
    </w:p>
    <w:p w14:paraId="5E743AA0">
      <w:pPr>
        <w:pStyle w:val="43"/>
        <w:tabs>
          <w:tab w:val="left" w:pos="2790"/>
        </w:tabs>
        <w:spacing w:line="400" w:lineRule="exact"/>
        <w:ind w:firstLine="420" w:firstLineChars="200"/>
        <w:rPr>
          <w:rFonts w:hint="eastAsia" w:ascii="宋体" w:hAnsi="宋体" w:eastAsia="宋体"/>
          <w:color w:val="auto"/>
          <w:highlight w:val="none"/>
        </w:rPr>
      </w:pPr>
      <w:r>
        <w:rPr>
          <w:rFonts w:hint="eastAsia" w:ascii="宋体" w:hAnsi="宋体" w:eastAsia="宋体"/>
          <w:color w:val="auto"/>
          <w:highlight w:val="none"/>
          <w:lang w:val="en-US" w:eastAsia="zh-CN"/>
        </w:rPr>
        <w:t xml:space="preserve">为保护实施的养护工程免遭损坏，或为了现场附近和过往群众的方便与安全，在确有必要的时候和地方，或当监理人或有关主管部门要求时，承包人应自费提供照明、警卫、护栏、警告标志等安全防护设施。 </w:t>
      </w:r>
    </w:p>
    <w:p w14:paraId="11C46C58">
      <w:pPr>
        <w:pStyle w:val="44"/>
        <w:spacing w:line="400" w:lineRule="exact"/>
        <w:ind w:firstLine="420" w:firstLineChars="200"/>
        <w:rPr>
          <w:rFonts w:hint="eastAsia" w:ascii="宋体" w:hAnsi="宋体" w:eastAsia="Times New Roman"/>
          <w:color w:val="auto"/>
          <w:highlight w:val="none"/>
        </w:rPr>
      </w:pPr>
      <w:r>
        <w:rPr>
          <w:rFonts w:hint="eastAsia" w:ascii="宋体" w:hAnsi="宋体" w:eastAsia="Times New Roman"/>
          <w:color w:val="auto"/>
          <w:highlight w:val="none"/>
        </w:rPr>
        <w:t>4.1.10  其他义务</w:t>
      </w:r>
    </w:p>
    <w:p w14:paraId="46E32D40">
      <w:pPr>
        <w:pStyle w:val="44"/>
        <w:spacing w:line="400" w:lineRule="exact"/>
        <w:ind w:firstLine="420" w:firstLineChars="200"/>
        <w:rPr>
          <w:rFonts w:hint="eastAsia" w:ascii="宋体" w:hAnsi="宋体" w:eastAsia="Times New Roman"/>
          <w:color w:val="auto"/>
          <w:highlight w:val="none"/>
        </w:rPr>
      </w:pPr>
      <w:r>
        <w:rPr>
          <w:rFonts w:hint="eastAsia" w:ascii="宋体" w:hAnsi="宋体" w:eastAsia="Times New Roman"/>
          <w:color w:val="auto"/>
          <w:highlight w:val="none"/>
          <w:lang w:val="en-US" w:eastAsia="zh-CN"/>
        </w:rPr>
        <w:t>本项第</w:t>
      </w:r>
      <w:r>
        <w:rPr>
          <w:rFonts w:hint="eastAsia" w:ascii="宋体" w:hAnsi="宋体" w:eastAsia="Times New Roman"/>
          <w:color w:val="auto"/>
          <w:highlight w:val="none"/>
        </w:rPr>
        <w:t>4.1.10(</w:t>
      </w:r>
      <w:r>
        <w:rPr>
          <w:rFonts w:hint="eastAsia" w:ascii="宋体" w:hAnsi="宋体" w:eastAsia="宋体"/>
          <w:color w:val="auto"/>
          <w:highlight w:val="none"/>
          <w:lang w:val="en-US" w:eastAsia="zh-CN"/>
        </w:rPr>
        <w:t>1</w:t>
      </w:r>
      <w:r>
        <w:rPr>
          <w:rFonts w:hint="eastAsia" w:ascii="宋体" w:hAnsi="宋体" w:eastAsia="Times New Roman"/>
          <w:color w:val="auto"/>
          <w:highlight w:val="none"/>
        </w:rPr>
        <w:t>)目细化为：</w:t>
      </w:r>
    </w:p>
    <w:p w14:paraId="6BF32381">
      <w:pPr>
        <w:pStyle w:val="44"/>
        <w:spacing w:line="400" w:lineRule="exact"/>
        <w:ind w:firstLine="420" w:firstLineChars="200"/>
        <w:rPr>
          <w:rFonts w:hint="eastAsia" w:ascii="宋体" w:hAnsi="宋体" w:eastAsia="Times New Roman"/>
          <w:color w:val="auto"/>
          <w:highlight w:val="none"/>
        </w:rPr>
      </w:pPr>
      <w:r>
        <w:rPr>
          <w:rFonts w:hint="eastAsia" w:ascii="宋体" w:hAnsi="宋体" w:eastAsia="Times New Roman"/>
          <w:color w:val="auto"/>
          <w:highlight w:val="none"/>
        </w:rPr>
        <w:t>(</w:t>
      </w:r>
      <w:r>
        <w:rPr>
          <w:rFonts w:hint="eastAsia" w:ascii="宋体" w:hAnsi="宋体" w:eastAsia="宋体"/>
          <w:color w:val="auto"/>
          <w:highlight w:val="none"/>
          <w:lang w:val="en-US" w:eastAsia="zh-CN"/>
        </w:rPr>
        <w:t>1</w:t>
      </w:r>
      <w:r>
        <w:rPr>
          <w:rFonts w:hint="eastAsia" w:ascii="宋体" w:hAnsi="宋体" w:eastAsia="Times New Roman"/>
          <w:color w:val="auto"/>
          <w:highlight w:val="none"/>
        </w:rPr>
        <w:t>)承包人应承担并支付为获得本合同工程所需的石料、砂、砾石、黏土或其他当地材料 等所发生的料场使用费、资源费及其他开支或补偿费。发包人应尽可能协助承包人办理料场租用 手续及解决使用过程中的有关问题。</w:t>
      </w:r>
    </w:p>
    <w:p w14:paraId="595B4BFD">
      <w:pPr>
        <w:pStyle w:val="44"/>
        <w:spacing w:line="400" w:lineRule="exact"/>
        <w:ind w:firstLine="420" w:firstLineChars="200"/>
        <w:rPr>
          <w:rFonts w:hint="eastAsia" w:ascii="宋体" w:hAnsi="宋体" w:eastAsia="Times New Roman"/>
          <w:color w:val="auto"/>
          <w:highlight w:val="none"/>
        </w:rPr>
      </w:pPr>
      <w:r>
        <w:rPr>
          <w:rFonts w:hint="eastAsia" w:ascii="宋体" w:hAnsi="宋体" w:eastAsia="Times New Roman"/>
          <w:color w:val="auto"/>
          <w:highlight w:val="none"/>
        </w:rPr>
        <w:t>发包人协助办理的成功与否，不免除根据合同文件规定的承包人的一切责任。</w:t>
      </w:r>
    </w:p>
    <w:p w14:paraId="5BBF75BD">
      <w:pPr>
        <w:pStyle w:val="44"/>
        <w:spacing w:line="400" w:lineRule="exact"/>
        <w:ind w:firstLine="420" w:firstLineChars="200"/>
        <w:rPr>
          <w:rFonts w:hint="eastAsia" w:ascii="宋体" w:hAnsi="宋体" w:eastAsia="Times New Roman"/>
          <w:color w:val="auto"/>
          <w:highlight w:val="none"/>
        </w:rPr>
      </w:pPr>
      <w:r>
        <w:rPr>
          <w:rFonts w:hint="eastAsia" w:ascii="宋体" w:hAnsi="宋体" w:eastAsia="Times New Roman"/>
          <w:color w:val="auto"/>
          <w:highlight w:val="none"/>
          <w:lang w:val="en-US" w:eastAsia="zh-CN"/>
        </w:rPr>
        <w:t>本项第</w:t>
      </w:r>
      <w:r>
        <w:rPr>
          <w:rFonts w:hint="eastAsia" w:ascii="宋体" w:hAnsi="宋体" w:eastAsia="Times New Roman"/>
          <w:color w:val="auto"/>
          <w:highlight w:val="none"/>
        </w:rPr>
        <w:t>4.1.10(2)目细化为：</w:t>
      </w:r>
    </w:p>
    <w:p w14:paraId="4D2BAEFF">
      <w:pPr>
        <w:pStyle w:val="44"/>
        <w:spacing w:line="400" w:lineRule="exact"/>
        <w:ind w:firstLine="420" w:firstLineChars="200"/>
        <w:rPr>
          <w:rFonts w:hint="eastAsia" w:ascii="宋体" w:hAnsi="宋体" w:eastAsia="Times New Roman"/>
          <w:color w:val="auto"/>
          <w:highlight w:val="none"/>
        </w:rPr>
      </w:pPr>
      <w:r>
        <w:rPr>
          <w:rFonts w:hint="eastAsia" w:ascii="宋体" w:hAnsi="宋体" w:eastAsia="Times New Roman"/>
          <w:color w:val="auto"/>
          <w:highlight w:val="none"/>
        </w:rPr>
        <w:t>(2)承包人应严格遵守国家有关解决拖欠工程款和民工工资的法律、法规，及时支付工程中的材料、设备货款及民工工资等费用。承包人不得以任何借口拖欠材料、设备货款及民工工资等费用，如果出现此种现象，发包人有权代为支付其拖欠的材料、设备货款及民工工资，并从应付给承包人的任何款项中扣除相应款项。对恶意拖欠和拒不按计划支付的，作为不良记录纳入浙江省交通运输建设市场诚信信息系统和信用评价管理系统。</w:t>
      </w:r>
    </w:p>
    <w:p w14:paraId="32919F41">
      <w:pPr>
        <w:pStyle w:val="44"/>
        <w:spacing w:line="400" w:lineRule="exact"/>
        <w:ind w:firstLine="420" w:firstLineChars="200"/>
        <w:rPr>
          <w:rFonts w:hint="eastAsia" w:ascii="宋体" w:hAnsi="宋体" w:eastAsia="Times New Roman"/>
          <w:color w:val="auto"/>
          <w:highlight w:val="none"/>
        </w:rPr>
      </w:pPr>
      <w:r>
        <w:rPr>
          <w:rFonts w:hint="eastAsia" w:ascii="宋体" w:hAnsi="宋体" w:eastAsia="Times New Roman"/>
          <w:color w:val="auto"/>
          <w:highlight w:val="none"/>
        </w:rPr>
        <w:t>承包人的项目经理部是民工工资支付行为的主体，承包人的项目经理是民工工资支付的责任 人。项目经理部要建立全体民工花名册和工资支付表，实行人工工资与其他工程款分账管理（本项目人工费用比例按浙江省交通运输厅《关于做好全省公路水运建设工程人工工资专用账户管理 工作的通知》（浙交〔2018〕241 号）规定），开设人工工资专用账户，委托银行发放民工工资， 确保将工资直接发放给民工本人，严禁发放给“包工头 ”或其他不具备用工主体资格的组织和个 人。</w:t>
      </w:r>
    </w:p>
    <w:p w14:paraId="3EBC19B7">
      <w:pPr>
        <w:pStyle w:val="44"/>
        <w:spacing w:line="400" w:lineRule="exact"/>
        <w:ind w:firstLine="420" w:firstLineChars="200"/>
        <w:rPr>
          <w:rFonts w:hint="eastAsia" w:ascii="宋体" w:hAnsi="宋体" w:eastAsia="Times New Roman"/>
          <w:color w:val="auto"/>
          <w:highlight w:val="none"/>
        </w:rPr>
      </w:pPr>
      <w:r>
        <w:rPr>
          <w:rFonts w:hint="eastAsia" w:ascii="宋体" w:hAnsi="宋体" w:eastAsia="Times New Roman"/>
          <w:color w:val="auto"/>
          <w:highlight w:val="none"/>
        </w:rPr>
        <w:t>工资支付表应如实记录支付单位、支付时间、支付对象、支付数额、支付对象的身份证号和签字等信息。民工花名册和工资支付表应报监理人备查。</w:t>
      </w:r>
    </w:p>
    <w:p w14:paraId="38C1EAD6">
      <w:pPr>
        <w:pStyle w:val="44"/>
        <w:spacing w:line="400" w:lineRule="exact"/>
        <w:ind w:firstLine="420" w:firstLineChars="200"/>
        <w:rPr>
          <w:rFonts w:hint="eastAsia" w:ascii="宋体" w:hAnsi="宋体" w:eastAsia="Times New Roman"/>
          <w:color w:val="auto"/>
          <w:highlight w:val="none"/>
        </w:rPr>
      </w:pPr>
      <w:r>
        <w:rPr>
          <w:rFonts w:hint="eastAsia" w:ascii="宋体" w:hAnsi="宋体" w:eastAsia="Times New Roman"/>
          <w:color w:val="auto"/>
          <w:highlight w:val="none"/>
        </w:rPr>
        <w:t>承包人在本工程中，应严格执行《浙江省企业工资支付管理办法》（浙江省人民政府第 353 号令）、“浙江省人力资源和社会保障厅等 11 部门关于印发《浙江省工程建设领域农民工工资专 用账户管理实施细则》 的通知 ” (浙人社发〔2022〕 14 号)、浙江省人力资源和社会保障厅等 8 部门关于印发《浙江省工程建设领域农民工工资保证金管理实施细则》的通知(浙人社发〔2022〕13 号)、《关于进一步落实交通建设领域施工企业农民工记工考勤卡等事宜的通知》（浙交〔2009〕 39 号）、《关于进一步完善建筑业企业农民工工资支付保证金制度意见的通知》（浙政发〔2012〕100 号）、《浙江省人力资源和社会保障厅等 6 部门关于加强工程建设市场管理有效治理拖欠农民  工工资问题的意见》（浙人社发〔2015〕148 号）、《关于做好全省公路水运建设工程人工工资专用账户管理工作的通知》（浙交〔2018〕241 号）”及“《关于印发〈浙江省交通建设领域“浙江无欠薪 ”行动专项治理方案〉的通知》（浙交〔2017〕145 号）、《关于在全省工程建设领域改革保证金制度的通知》（浙建〔2020〕7 号）、《国务院办公厅关于全面治理拖欠农民工工资问题的意见》（国办发〔2016〕1 号）、《保障农民工工资支付条例》（中华人民共和国国务院令第 724 号）、《浙江省人民政府办公厅关于全面治理拖欠农民工工资问题的实施意见》（浙政办发〔2017〕34 号）、印发 《关于对严重拖欠工资用人单位及有关人员开展联合惩戒的合作备忘录》 的通知(发改财金〔2017〕2058 号)、《浙江省人力资源和社会保障厅等 17 部门关于印发&lt;关于对严重拖欠工资用人单位及有关人员开展联合惩戒的合作备忘录&gt;的通知》 (浙人社发〔2018〕19 号)。</w:t>
      </w:r>
    </w:p>
    <w:p w14:paraId="70AC9E7F">
      <w:pPr>
        <w:pStyle w:val="44"/>
        <w:spacing w:line="400" w:lineRule="exact"/>
        <w:ind w:firstLine="420" w:firstLineChars="200"/>
        <w:rPr>
          <w:rFonts w:hint="eastAsia" w:ascii="宋体" w:hAnsi="宋体" w:eastAsia="Times New Roman"/>
          <w:color w:val="auto"/>
          <w:highlight w:val="none"/>
        </w:rPr>
      </w:pPr>
      <w:r>
        <w:rPr>
          <w:rFonts w:hint="eastAsia" w:ascii="宋体" w:hAnsi="宋体" w:eastAsia="Times New Roman"/>
          <w:color w:val="auto"/>
          <w:highlight w:val="none"/>
        </w:rPr>
        <w:t>承包人应严格执行《国务院办公厅关于全面治理拖欠农民工工资问题的意见》（国办发〔2016〕</w:t>
      </w:r>
      <w:r>
        <w:rPr>
          <w:rFonts w:hint="eastAsia" w:ascii="宋体" w:hAnsi="宋体" w:eastAsia="宋体"/>
          <w:color w:val="auto"/>
          <w:highlight w:val="none"/>
          <w:lang w:val="en-US" w:eastAsia="zh-CN"/>
        </w:rPr>
        <w:t>1</w:t>
      </w:r>
      <w:r>
        <w:rPr>
          <w:rFonts w:hint="eastAsia" w:ascii="宋体" w:hAnsi="宋体" w:eastAsia="Times New Roman"/>
          <w:color w:val="auto"/>
          <w:highlight w:val="none"/>
        </w:rPr>
        <w:t>号，2016 年 1 月 17 日发布）、《浙江省企业工资支付管理办法》（浙江省人民政府令第 353 号）等规定；实行人工费用与其他工程款分账管理制度，将农民工工资与工程材料款等相分离。承包人应分解工程价款中的人工费用,将按照工程承包合同约定的比例或承包人提供的人工费用数额，及时上报发包人，由发包人将应付工程款中的人工费单独拨付到农民工工资（劳务费）专用账户，此间涉及的相关责任及费用均由承包人自行承担，发包人不另行计量支付。</w:t>
      </w:r>
    </w:p>
    <w:p w14:paraId="139EE338">
      <w:pPr>
        <w:pStyle w:val="44"/>
        <w:spacing w:line="400" w:lineRule="exact"/>
        <w:ind w:firstLine="420" w:firstLineChars="200"/>
        <w:rPr>
          <w:rFonts w:hint="eastAsia" w:ascii="宋体" w:hAnsi="宋体" w:eastAsia="Times New Roman"/>
          <w:color w:val="auto"/>
          <w:highlight w:val="none"/>
        </w:rPr>
      </w:pPr>
      <w:r>
        <w:rPr>
          <w:rFonts w:hint="eastAsia" w:ascii="宋体" w:hAnsi="宋体" w:eastAsia="Times New Roman"/>
          <w:color w:val="auto"/>
          <w:highlight w:val="none"/>
        </w:rPr>
        <w:t>承包人应严格遵照国家有关法律、法规和政策，及时解决工程中的各种经济纠纷及民工工资等问题。若由此发生民工上访、围堵发包人或政府部门的办公场所等事件，其项目经理或承包人 有关负责人在接到通知后，须 2 小时之内赶到事发地点，及时处理好相关事宜，否则，所造成的 经济损失及一切责任由承包人承担。</w:t>
      </w:r>
    </w:p>
    <w:p w14:paraId="27FF51DC">
      <w:pPr>
        <w:pStyle w:val="44"/>
        <w:spacing w:line="400" w:lineRule="exact"/>
        <w:ind w:firstLine="420" w:firstLineChars="200"/>
        <w:rPr>
          <w:rFonts w:hint="eastAsia" w:ascii="宋体" w:hAnsi="宋体" w:eastAsia="Times New Roman"/>
          <w:color w:val="auto"/>
          <w:highlight w:val="none"/>
        </w:rPr>
      </w:pPr>
      <w:r>
        <w:rPr>
          <w:rFonts w:hint="eastAsia" w:ascii="宋体" w:hAnsi="宋体" w:eastAsia="Times New Roman"/>
          <w:color w:val="auto"/>
          <w:highlight w:val="none"/>
        </w:rPr>
        <w:t>承包人应按照《关于进一步落实交通建设领域施工企业农民工记工考勤卡等事宜的通知》（浙交〔2009〕39 号）文的规定，在用工后 15 天内与农民工签订劳动合同，根据劳动合同签订情况， 统计农民工人数，按照实际人数办理记工考勤卡。承包人应按绍兴市交通运输局【2020】83 号文件《绍兴市交通运输局 绍兴市人力资源和社会保障局关于进一步优化交通建设工程农民工工资  保证金管理制度的通知》将农民工工资保证金缴纳绍兴市交通运输局设立的农民工工资保证金专户，项目完工后或农民工提前离开工地，承包人应在合同约定期限之内对农民工工资进行结算，并一次性付清所有应发放的工资。同时承包人应在项目经理部和新闻媒介上分阶段公示工资支付情况，并公开2个监督电话（电话为当地交通主管部门和劳动保障部门等第三方单位可打通的号码），公示期为 30 个工作日。承包人应加强劳动合同管理，规范公路建设用工行为。不拖欠农民工工资，及时、足额发放农民工工资。</w:t>
      </w:r>
    </w:p>
    <w:p w14:paraId="61062ABD">
      <w:pPr>
        <w:pStyle w:val="44"/>
        <w:spacing w:line="400" w:lineRule="exact"/>
        <w:ind w:firstLine="420" w:firstLineChars="200"/>
        <w:rPr>
          <w:rFonts w:hint="eastAsia" w:ascii="宋体" w:hAnsi="宋体" w:eastAsia="Times New Roman"/>
          <w:color w:val="auto"/>
          <w:highlight w:val="none"/>
        </w:rPr>
      </w:pPr>
      <w:r>
        <w:rPr>
          <w:rFonts w:hint="eastAsia" w:ascii="宋体" w:hAnsi="宋体" w:eastAsia="Times New Roman"/>
          <w:color w:val="auto"/>
          <w:highlight w:val="none"/>
        </w:rPr>
        <w:t>项目在实施过程中，浙江省、绍兴市及新昌县关于农民工工资如有新的发文，承包人须无条件根据发包人要求按最新文件执行。</w:t>
      </w:r>
    </w:p>
    <w:p w14:paraId="0CC488D9">
      <w:pPr>
        <w:pStyle w:val="55"/>
        <w:spacing w:line="400" w:lineRule="exact"/>
        <w:ind w:firstLine="420" w:firstLineChars="200"/>
        <w:rPr>
          <w:rFonts w:hint="default" w:ascii="宋体" w:hAnsi="宋体" w:eastAsia="宋体"/>
          <w:color w:val="auto"/>
          <w:highlight w:val="none"/>
          <w:lang w:val="en-US" w:eastAsia="zh-CN"/>
        </w:rPr>
      </w:pPr>
      <w:r>
        <w:rPr>
          <w:rFonts w:hint="eastAsia" w:ascii="宋体" w:hAnsi="宋体" w:eastAsia="宋体"/>
          <w:color w:val="auto"/>
          <w:highlight w:val="none"/>
          <w:lang w:val="en-US" w:eastAsia="zh-CN"/>
        </w:rPr>
        <w:t>本项补充第4.1.10</w:t>
      </w:r>
      <w:r>
        <w:rPr>
          <w:rFonts w:hint="eastAsia" w:ascii="宋体" w:hAnsi="宋体" w:eastAsia="宋体"/>
          <w:color w:val="auto"/>
          <w:highlight w:val="none"/>
        </w:rPr>
        <w:t>(</w:t>
      </w:r>
      <w:r>
        <w:rPr>
          <w:rFonts w:hint="eastAsia" w:ascii="宋体" w:hAnsi="宋体" w:eastAsia="宋体"/>
          <w:color w:val="auto"/>
          <w:highlight w:val="none"/>
          <w:lang w:val="en-US" w:eastAsia="zh-CN"/>
        </w:rPr>
        <w:t>4</w:t>
      </w:r>
      <w:r>
        <w:rPr>
          <w:rFonts w:hint="eastAsia" w:ascii="宋体" w:hAnsi="宋体" w:eastAsia="宋体"/>
          <w:color w:val="auto"/>
          <w:highlight w:val="none"/>
        </w:rPr>
        <w:t>)</w:t>
      </w:r>
      <w:r>
        <w:rPr>
          <w:rFonts w:hint="eastAsia" w:ascii="宋体" w:hAnsi="宋体" w:eastAsia="宋体"/>
          <w:color w:val="auto"/>
          <w:highlight w:val="none"/>
          <w:lang w:val="en-US" w:eastAsia="zh-CN"/>
        </w:rPr>
        <w:t>～</w:t>
      </w:r>
      <w:r>
        <w:rPr>
          <w:rFonts w:hint="eastAsia" w:ascii="宋体" w:hAnsi="宋体" w:eastAsia="宋体"/>
          <w:color w:val="auto"/>
          <w:highlight w:val="none"/>
        </w:rPr>
        <w:t>(</w:t>
      </w:r>
      <w:r>
        <w:rPr>
          <w:rFonts w:hint="eastAsia" w:ascii="宋体" w:hAnsi="宋体" w:eastAsia="宋体"/>
          <w:color w:val="auto"/>
          <w:highlight w:val="none"/>
          <w:lang w:val="en-US" w:eastAsia="zh-CN"/>
        </w:rPr>
        <w:t>20</w:t>
      </w:r>
      <w:r>
        <w:rPr>
          <w:rFonts w:hint="eastAsia" w:ascii="宋体" w:hAnsi="宋体" w:eastAsia="宋体"/>
          <w:color w:val="auto"/>
          <w:highlight w:val="none"/>
        </w:rPr>
        <w:t>)</w:t>
      </w:r>
      <w:r>
        <w:rPr>
          <w:rFonts w:hint="eastAsia" w:ascii="宋体" w:hAnsi="宋体" w:eastAsia="宋体"/>
          <w:color w:val="auto"/>
          <w:highlight w:val="none"/>
          <w:lang w:val="en-US" w:eastAsia="zh-CN"/>
        </w:rPr>
        <w:t>目：</w:t>
      </w:r>
    </w:p>
    <w:p w14:paraId="0B8A2E08">
      <w:pPr>
        <w:pStyle w:val="55"/>
        <w:pageBreakBefore w:val="0"/>
        <w:kinsoku/>
        <w:wordWrap/>
        <w:overflowPunct/>
        <w:topLinePunct w:val="0"/>
        <w:bidi w:val="0"/>
        <w:adjustRightInd/>
        <w:spacing w:line="360" w:lineRule="exact"/>
        <w:ind w:firstLine="420" w:firstLineChars="200"/>
        <w:textAlignment w:val="auto"/>
        <w:rPr>
          <w:rFonts w:hint="eastAsia" w:ascii="宋体" w:hAnsi="宋体" w:eastAsia="宋体"/>
          <w:color w:val="auto"/>
          <w:highlight w:val="none"/>
        </w:rPr>
      </w:pPr>
      <w:r>
        <w:rPr>
          <w:rFonts w:hint="eastAsia" w:ascii="宋体" w:hAnsi="宋体" w:eastAsia="宋体"/>
          <w:color w:val="auto"/>
          <w:highlight w:val="none"/>
          <w:lang w:val="en-US" w:eastAsia="zh-CN"/>
        </w:rPr>
        <w:t xml:space="preserve">(4)承包人应按相关规定进行安全、文明施工。承包人应加强做好文明施工，和谐稳定工作，避免发生因承包人原因引起的群体性上访事件。 </w:t>
      </w:r>
    </w:p>
    <w:p w14:paraId="5ED77025">
      <w:pPr>
        <w:pStyle w:val="55"/>
        <w:spacing w:line="400" w:lineRule="exact"/>
        <w:ind w:firstLine="420" w:firstLineChars="200"/>
        <w:rPr>
          <w:rFonts w:hint="eastAsia" w:ascii="宋体" w:hAnsi="宋体" w:eastAsia="宋体"/>
          <w:color w:val="auto"/>
          <w:highlight w:val="none"/>
        </w:rPr>
      </w:pPr>
      <w:r>
        <w:rPr>
          <w:rFonts w:hint="eastAsia" w:ascii="宋体" w:hAnsi="宋体" w:eastAsia="Times New Roman"/>
          <w:color w:val="auto"/>
          <w:highlight w:val="none"/>
        </w:rPr>
        <w:t>(</w:t>
      </w:r>
      <w:r>
        <w:rPr>
          <w:rFonts w:hint="eastAsia" w:ascii="宋体" w:hAnsi="宋体" w:eastAsia="宋体"/>
          <w:color w:val="auto"/>
          <w:highlight w:val="none"/>
          <w:lang w:val="en-US" w:eastAsia="zh-CN"/>
        </w:rPr>
        <w:t>5</w:t>
      </w:r>
      <w:r>
        <w:rPr>
          <w:rFonts w:hint="eastAsia" w:ascii="宋体" w:hAnsi="宋体" w:eastAsia="Times New Roman"/>
          <w:color w:val="auto"/>
          <w:highlight w:val="none"/>
        </w:rPr>
        <w:t>)</w:t>
      </w:r>
      <w:r>
        <w:rPr>
          <w:rFonts w:hint="eastAsia" w:ascii="宋体" w:hAnsi="宋体" w:eastAsia="宋体"/>
          <w:color w:val="auto"/>
          <w:highlight w:val="none"/>
          <w:lang w:val="en-US" w:eastAsia="zh-CN"/>
        </w:rPr>
        <w:t>承包人应根据省（市）相关部门对扬尘治理提出的有关要求开展相应工作，此项费用包含在投标总价中发包人不另行计量支付；在施工过程中须采取相关防尘措施，发包人及监理人有权进行监督，并向承包人提出整改要求。如果由于承包人未采取必要措施导致或引发的有关罚款、索赔、损失补偿、诉讼费用及其它一切责任应由承包人自行承担。</w:t>
      </w:r>
    </w:p>
    <w:p w14:paraId="672A350A">
      <w:pPr>
        <w:pStyle w:val="43"/>
        <w:tabs>
          <w:tab w:val="left" w:pos="2790"/>
        </w:tabs>
        <w:spacing w:line="400" w:lineRule="exact"/>
        <w:ind w:firstLine="420" w:firstLineChars="200"/>
        <w:rPr>
          <w:rFonts w:hint="eastAsia" w:ascii="宋体" w:hAnsi="宋体"/>
          <w:color w:val="auto"/>
          <w:highlight w:val="none"/>
        </w:rPr>
      </w:pPr>
      <w:r>
        <w:rPr>
          <w:rFonts w:hint="eastAsia" w:ascii="宋体" w:hAnsi="宋体"/>
          <w:color w:val="auto"/>
          <w:highlight w:val="none"/>
        </w:rPr>
        <w:t>(</w:t>
      </w:r>
      <w:r>
        <w:rPr>
          <w:rFonts w:hint="eastAsia" w:ascii="宋体" w:hAnsi="宋体"/>
          <w:color w:val="auto"/>
          <w:highlight w:val="none"/>
          <w:lang w:val="en-US" w:eastAsia="zh-CN"/>
        </w:rPr>
        <w:t>6</w:t>
      </w:r>
      <w:r>
        <w:rPr>
          <w:rFonts w:hint="eastAsia" w:ascii="宋体" w:hAnsi="宋体"/>
          <w:color w:val="auto"/>
          <w:highlight w:val="none"/>
        </w:rPr>
        <w:t>)项目审计（含跟踪审计）、稽查和检查等的配合</w:t>
      </w:r>
    </w:p>
    <w:p w14:paraId="68334D45">
      <w:pPr>
        <w:pStyle w:val="43"/>
        <w:tabs>
          <w:tab w:val="left" w:pos="2790"/>
        </w:tabs>
        <w:spacing w:line="400" w:lineRule="exact"/>
        <w:ind w:firstLine="420" w:firstLineChars="200"/>
        <w:rPr>
          <w:rFonts w:hint="eastAsia" w:ascii="宋体" w:hAnsi="宋体"/>
          <w:color w:val="auto"/>
          <w:highlight w:val="none"/>
        </w:rPr>
      </w:pPr>
      <w:r>
        <w:rPr>
          <w:rFonts w:hint="eastAsia" w:ascii="宋体" w:hAnsi="宋体"/>
          <w:color w:val="auto"/>
          <w:highlight w:val="none"/>
        </w:rPr>
        <w:t>a.与本工程项目相关的审计和稽查，承包人应高度重视并委派专人积极予以配合；</w:t>
      </w:r>
    </w:p>
    <w:p w14:paraId="6749A2E6">
      <w:pPr>
        <w:pStyle w:val="43"/>
        <w:tabs>
          <w:tab w:val="left" w:pos="2790"/>
        </w:tabs>
        <w:spacing w:line="400" w:lineRule="exact"/>
        <w:ind w:firstLine="420" w:firstLineChars="200"/>
        <w:rPr>
          <w:rFonts w:hint="eastAsia" w:ascii="宋体" w:hAnsi="宋体"/>
          <w:color w:val="auto"/>
          <w:highlight w:val="none"/>
        </w:rPr>
      </w:pPr>
      <w:r>
        <w:rPr>
          <w:rFonts w:hint="eastAsia" w:ascii="宋体" w:hAnsi="宋体"/>
          <w:color w:val="auto"/>
          <w:highlight w:val="none"/>
        </w:rPr>
        <w:t>b.有关单位对本项目的各种检查等活动，承包人有义务予以积极配合开展各项工作；</w:t>
      </w:r>
    </w:p>
    <w:p w14:paraId="281E801D">
      <w:pPr>
        <w:pStyle w:val="43"/>
        <w:tabs>
          <w:tab w:val="left" w:pos="2790"/>
        </w:tabs>
        <w:spacing w:line="400" w:lineRule="exact"/>
        <w:ind w:firstLine="420" w:firstLineChars="200"/>
        <w:rPr>
          <w:rFonts w:hint="eastAsia" w:ascii="宋体" w:hAnsi="宋体"/>
          <w:color w:val="auto"/>
          <w:highlight w:val="none"/>
        </w:rPr>
      </w:pPr>
      <w:r>
        <w:rPr>
          <w:rFonts w:hint="eastAsia" w:ascii="宋体" w:hAnsi="宋体"/>
          <w:color w:val="auto"/>
          <w:highlight w:val="none"/>
        </w:rPr>
        <w:t>c.本工程项目有关的各类统计报表、汇报材料包括交（竣）工验收和项目后评价报告等，承包人有义务配合发包人做好编制工作并提供相应的资料；</w:t>
      </w:r>
    </w:p>
    <w:p w14:paraId="335FD7BC">
      <w:pPr>
        <w:pStyle w:val="43"/>
        <w:tabs>
          <w:tab w:val="left" w:pos="2790"/>
        </w:tabs>
        <w:spacing w:line="400" w:lineRule="exact"/>
        <w:ind w:firstLine="420" w:firstLineChars="200"/>
        <w:rPr>
          <w:rFonts w:hint="eastAsia" w:ascii="宋体" w:hAnsi="宋体"/>
          <w:color w:val="auto"/>
          <w:highlight w:val="none"/>
        </w:rPr>
      </w:pPr>
      <w:r>
        <w:rPr>
          <w:rFonts w:hint="eastAsia" w:ascii="宋体" w:hAnsi="宋体"/>
          <w:color w:val="auto"/>
          <w:highlight w:val="none"/>
        </w:rPr>
        <w:t>d.承包人应按发包人、监理人和有关文件要求，建立相应的计量、支付和变更台帐，同时承包人应配合发包人、监理人建立相应的台帐，并保持其持续有效直至工程决算完成；</w:t>
      </w:r>
    </w:p>
    <w:p w14:paraId="1B00CB8D">
      <w:pPr>
        <w:pStyle w:val="43"/>
        <w:tabs>
          <w:tab w:val="left" w:pos="2790"/>
        </w:tabs>
        <w:spacing w:line="400" w:lineRule="exact"/>
        <w:ind w:firstLine="420" w:firstLineChars="200"/>
        <w:rPr>
          <w:rFonts w:ascii="宋体" w:hAnsi="宋体"/>
          <w:color w:val="auto"/>
          <w:highlight w:val="none"/>
        </w:rPr>
      </w:pPr>
      <w:r>
        <w:rPr>
          <w:rFonts w:hint="eastAsia" w:ascii="宋体" w:hAnsi="宋体"/>
          <w:color w:val="auto"/>
          <w:highlight w:val="none"/>
        </w:rPr>
        <w:t>e.承包人应按发包人要求将有关材料的供货合同等资料提供给发包人和监理人备案。取材的料场或供货人和货源应保持相对固定，承包人及其供货人应接受发包人和监理人的监督检查，如有变更应及时通知发包人或监理人并送交相应有关资料。监理人征得发包人同意后有权要求承包人更换不符合要求的材料，承包人必须接受。</w:t>
      </w:r>
    </w:p>
    <w:p w14:paraId="0F9384B9">
      <w:pPr>
        <w:pStyle w:val="55"/>
        <w:pageBreakBefore w:val="0"/>
        <w:tabs>
          <w:tab w:val="left" w:pos="2790"/>
        </w:tabs>
        <w:kinsoku/>
        <w:wordWrap/>
        <w:overflowPunct/>
        <w:topLinePunct w:val="0"/>
        <w:bidi w:val="0"/>
        <w:adjustRightInd/>
        <w:spacing w:line="360" w:lineRule="exact"/>
        <w:ind w:firstLine="420" w:firstLineChars="200"/>
        <w:textAlignment w:val="auto"/>
        <w:rPr>
          <w:rFonts w:hint="eastAsia" w:ascii="宋体" w:hAnsi="宋体"/>
          <w:color w:val="auto"/>
          <w:highlight w:val="none"/>
        </w:rPr>
      </w:pPr>
      <w:r>
        <w:rPr>
          <w:rFonts w:hint="eastAsia" w:ascii="宋体" w:hAnsi="宋体"/>
          <w:color w:val="auto"/>
          <w:highlight w:val="none"/>
        </w:rPr>
        <w:t>(</w:t>
      </w:r>
      <w:r>
        <w:rPr>
          <w:rFonts w:hint="eastAsia" w:ascii="宋体" w:hAnsi="宋体"/>
          <w:color w:val="auto"/>
          <w:highlight w:val="none"/>
          <w:lang w:val="en-US" w:eastAsia="zh-CN"/>
        </w:rPr>
        <w:t>7</w:t>
      </w:r>
      <w:r>
        <w:rPr>
          <w:rFonts w:hint="eastAsia" w:ascii="宋体" w:hAnsi="宋体"/>
          <w:color w:val="auto"/>
          <w:highlight w:val="none"/>
        </w:rPr>
        <w:t>)与第三方检测（含交竣工验收质量评定检测单位）及本项目其他承包人</w:t>
      </w:r>
      <w:r>
        <w:rPr>
          <w:rFonts w:ascii="宋体" w:hAnsi="宋体"/>
          <w:color w:val="auto"/>
          <w:highlight w:val="none"/>
        </w:rPr>
        <w:t>等</w:t>
      </w:r>
      <w:r>
        <w:rPr>
          <w:rFonts w:hint="eastAsia" w:ascii="宋体" w:hAnsi="宋体"/>
          <w:color w:val="auto"/>
          <w:highlight w:val="none"/>
        </w:rPr>
        <w:t>其他相关单位的配合</w:t>
      </w:r>
    </w:p>
    <w:p w14:paraId="027E0282">
      <w:pPr>
        <w:pStyle w:val="55"/>
        <w:pageBreakBefore w:val="0"/>
        <w:tabs>
          <w:tab w:val="left" w:pos="2790"/>
        </w:tabs>
        <w:kinsoku/>
        <w:wordWrap/>
        <w:overflowPunct/>
        <w:topLinePunct w:val="0"/>
        <w:bidi w:val="0"/>
        <w:adjustRightInd/>
        <w:spacing w:line="360" w:lineRule="exact"/>
        <w:ind w:firstLine="420" w:firstLineChars="200"/>
        <w:textAlignment w:val="auto"/>
        <w:rPr>
          <w:rFonts w:hint="eastAsia" w:ascii="宋体" w:hAnsi="宋体"/>
          <w:color w:val="auto"/>
          <w:highlight w:val="none"/>
        </w:rPr>
      </w:pPr>
      <w:r>
        <w:rPr>
          <w:rFonts w:hint="eastAsia" w:ascii="宋体" w:hAnsi="宋体"/>
          <w:color w:val="auto"/>
          <w:highlight w:val="none"/>
        </w:rPr>
        <w:t>a.</w:t>
      </w:r>
      <w:r>
        <w:rPr>
          <w:rFonts w:hint="eastAsia" w:ascii="宋体" w:hAnsi="宋体"/>
          <w:color w:val="auto"/>
          <w:spacing w:val="-2"/>
          <w:highlight w:val="none"/>
        </w:rPr>
        <w:t>承包人必须积极配合、协助第三方检测</w:t>
      </w:r>
      <w:r>
        <w:rPr>
          <w:rFonts w:hint="eastAsia" w:ascii="宋体" w:hAnsi="宋体"/>
          <w:color w:val="auto"/>
          <w:highlight w:val="none"/>
        </w:rPr>
        <w:t>及本项目其他承包人</w:t>
      </w:r>
      <w:r>
        <w:rPr>
          <w:rFonts w:ascii="宋体" w:hAnsi="宋体"/>
          <w:color w:val="auto"/>
          <w:highlight w:val="none"/>
        </w:rPr>
        <w:t>等</w:t>
      </w:r>
      <w:r>
        <w:rPr>
          <w:rFonts w:hint="eastAsia" w:ascii="宋体" w:hAnsi="宋体"/>
          <w:color w:val="auto"/>
          <w:highlight w:val="none"/>
        </w:rPr>
        <w:t>其他相关单位</w:t>
      </w:r>
      <w:r>
        <w:rPr>
          <w:rFonts w:hint="eastAsia" w:ascii="宋体" w:hAnsi="宋体"/>
          <w:color w:val="auto"/>
          <w:spacing w:val="-2"/>
          <w:highlight w:val="none"/>
        </w:rPr>
        <w:t>的工作，委派专人做好配合工作</w:t>
      </w:r>
      <w:r>
        <w:rPr>
          <w:rFonts w:hint="eastAsia" w:ascii="宋体" w:hAnsi="宋体"/>
          <w:color w:val="auto"/>
          <w:highlight w:val="none"/>
        </w:rPr>
        <w:t>。</w:t>
      </w:r>
    </w:p>
    <w:p w14:paraId="153D70C2">
      <w:pPr>
        <w:pStyle w:val="55"/>
        <w:pageBreakBefore w:val="0"/>
        <w:tabs>
          <w:tab w:val="left" w:pos="2790"/>
        </w:tabs>
        <w:kinsoku/>
        <w:wordWrap/>
        <w:overflowPunct/>
        <w:topLinePunct w:val="0"/>
        <w:bidi w:val="0"/>
        <w:adjustRightInd/>
        <w:spacing w:line="360" w:lineRule="exact"/>
        <w:ind w:firstLine="420" w:firstLineChars="200"/>
        <w:textAlignment w:val="auto"/>
        <w:rPr>
          <w:rFonts w:hint="eastAsia" w:ascii="宋体" w:hAnsi="宋体"/>
          <w:color w:val="auto"/>
          <w:highlight w:val="none"/>
        </w:rPr>
      </w:pPr>
      <w:r>
        <w:rPr>
          <w:rFonts w:hint="eastAsia" w:ascii="宋体" w:hAnsi="宋体"/>
          <w:color w:val="auto"/>
          <w:highlight w:val="none"/>
        </w:rPr>
        <w:t>b.承包人应熟悉第三方检测的检测、监控、科研实施方案和流程，配合工作也应有相应的方案，该方案须经监理人审批同意；</w:t>
      </w:r>
    </w:p>
    <w:p w14:paraId="3AA1C7E2">
      <w:pPr>
        <w:pStyle w:val="55"/>
        <w:pageBreakBefore w:val="0"/>
        <w:tabs>
          <w:tab w:val="left" w:pos="2790"/>
        </w:tabs>
        <w:kinsoku/>
        <w:wordWrap/>
        <w:overflowPunct/>
        <w:topLinePunct w:val="0"/>
        <w:bidi w:val="0"/>
        <w:adjustRightInd/>
        <w:spacing w:line="360" w:lineRule="exact"/>
        <w:ind w:firstLine="420" w:firstLineChars="200"/>
        <w:textAlignment w:val="auto"/>
        <w:rPr>
          <w:rFonts w:hint="eastAsia" w:ascii="宋体" w:hAnsi="宋体"/>
          <w:color w:val="auto"/>
          <w:highlight w:val="none"/>
        </w:rPr>
      </w:pPr>
      <w:r>
        <w:rPr>
          <w:rFonts w:hint="eastAsia" w:ascii="宋体" w:hAnsi="宋体"/>
          <w:color w:val="auto"/>
          <w:highlight w:val="none"/>
        </w:rPr>
        <w:t>c.施工检测及本项目其他承包人</w:t>
      </w:r>
      <w:r>
        <w:rPr>
          <w:rFonts w:ascii="宋体" w:hAnsi="宋体"/>
          <w:color w:val="auto"/>
          <w:highlight w:val="none"/>
        </w:rPr>
        <w:t>等</w:t>
      </w:r>
      <w:r>
        <w:rPr>
          <w:rFonts w:hint="eastAsia" w:ascii="宋体" w:hAnsi="宋体"/>
          <w:color w:val="auto"/>
          <w:highlight w:val="none"/>
        </w:rPr>
        <w:t>其他相关单位的</w:t>
      </w:r>
      <w:r>
        <w:rPr>
          <w:rFonts w:ascii="宋体" w:hAnsi="宋体"/>
          <w:color w:val="auto"/>
          <w:highlight w:val="none"/>
        </w:rPr>
        <w:t>配合</w:t>
      </w:r>
      <w:r>
        <w:rPr>
          <w:rFonts w:hint="eastAsia" w:ascii="宋体" w:hAnsi="宋体"/>
          <w:color w:val="auto"/>
          <w:highlight w:val="none"/>
        </w:rPr>
        <w:t>过程中，应在监理人的统一调配下，承包人应尽可能地提供人员、材料、设备的便利，以便施工检测、监控、科研及本项目其他承包人</w:t>
      </w:r>
      <w:r>
        <w:rPr>
          <w:rFonts w:ascii="宋体" w:hAnsi="宋体"/>
          <w:color w:val="auto"/>
          <w:highlight w:val="none"/>
        </w:rPr>
        <w:t>等</w:t>
      </w:r>
      <w:r>
        <w:rPr>
          <w:rFonts w:hint="eastAsia" w:ascii="宋体" w:hAnsi="宋体"/>
          <w:color w:val="auto"/>
          <w:highlight w:val="none"/>
        </w:rPr>
        <w:t>的工作顺利的进行；</w:t>
      </w:r>
    </w:p>
    <w:p w14:paraId="0BF4F05C">
      <w:pPr>
        <w:pStyle w:val="55"/>
        <w:tabs>
          <w:tab w:val="left" w:pos="2790"/>
        </w:tabs>
        <w:spacing w:line="400" w:lineRule="exact"/>
        <w:ind w:firstLine="420" w:firstLineChars="200"/>
        <w:rPr>
          <w:rFonts w:hint="eastAsia" w:ascii="宋体" w:hAnsi="宋体"/>
          <w:color w:val="auto"/>
          <w:highlight w:val="none"/>
        </w:rPr>
      </w:pPr>
      <w:r>
        <w:rPr>
          <w:rFonts w:hint="eastAsia" w:ascii="宋体" w:hAnsi="宋体"/>
          <w:color w:val="auto"/>
          <w:highlight w:val="none"/>
        </w:rPr>
        <w:t>d.承包人应参与检测资料的总结与分析工作。</w:t>
      </w:r>
    </w:p>
    <w:p w14:paraId="6E8C4AAF">
      <w:pPr>
        <w:pStyle w:val="43"/>
        <w:tabs>
          <w:tab w:val="left" w:pos="2790"/>
        </w:tabs>
        <w:spacing w:line="400" w:lineRule="exact"/>
        <w:ind w:firstLine="420" w:firstLineChars="200"/>
        <w:rPr>
          <w:rFonts w:hint="eastAsia" w:ascii="宋体" w:hAnsi="宋体"/>
          <w:color w:val="auto"/>
          <w:highlight w:val="none"/>
        </w:rPr>
      </w:pPr>
      <w:r>
        <w:rPr>
          <w:rFonts w:hint="eastAsia" w:ascii="宋体" w:hAnsi="宋体"/>
          <w:color w:val="auto"/>
          <w:highlight w:val="none"/>
        </w:rPr>
        <w:t xml:space="preserve"> (</w:t>
      </w:r>
      <w:r>
        <w:rPr>
          <w:rFonts w:hint="eastAsia" w:ascii="宋体" w:hAnsi="宋体"/>
          <w:color w:val="auto"/>
          <w:highlight w:val="none"/>
          <w:lang w:val="en-US" w:eastAsia="zh-CN"/>
        </w:rPr>
        <w:t>8</w:t>
      </w:r>
      <w:r>
        <w:rPr>
          <w:rFonts w:hint="eastAsia" w:ascii="宋体" w:hAnsi="宋体"/>
          <w:color w:val="auto"/>
          <w:highlight w:val="none"/>
        </w:rPr>
        <w:t>)</w:t>
      </w:r>
      <w:r>
        <w:rPr>
          <w:rFonts w:hint="eastAsia" w:ascii="宋体" w:hAnsi="宋体"/>
          <w:color w:val="auto"/>
          <w:szCs w:val="24"/>
          <w:highlight w:val="none"/>
        </w:rPr>
        <w:t>地方道路、市政道路的维护和管理</w:t>
      </w:r>
    </w:p>
    <w:p w14:paraId="5962382F">
      <w:pPr>
        <w:pStyle w:val="43"/>
        <w:tabs>
          <w:tab w:val="left" w:pos="2790"/>
        </w:tabs>
        <w:spacing w:line="400" w:lineRule="exact"/>
        <w:ind w:firstLine="420" w:firstLineChars="200"/>
        <w:rPr>
          <w:rFonts w:hint="eastAsia" w:ascii="宋体" w:hAnsi="宋体"/>
          <w:color w:val="auto"/>
          <w:highlight w:val="none"/>
        </w:rPr>
      </w:pPr>
      <w:r>
        <w:rPr>
          <w:rFonts w:hint="eastAsia" w:ascii="宋体" w:hAnsi="宋体"/>
          <w:color w:val="auto"/>
          <w:highlight w:val="none"/>
        </w:rPr>
        <w:t>承包人在使用现有地方道路</w:t>
      </w:r>
      <w:r>
        <w:rPr>
          <w:rFonts w:hint="eastAsia" w:ascii="宋体" w:hAnsi="宋体"/>
          <w:color w:val="auto"/>
          <w:szCs w:val="24"/>
          <w:highlight w:val="none"/>
        </w:rPr>
        <w:t>、市政道路</w:t>
      </w:r>
      <w:r>
        <w:rPr>
          <w:rFonts w:hint="eastAsia" w:ascii="宋体" w:hAnsi="宋体"/>
          <w:color w:val="auto"/>
          <w:highlight w:val="none"/>
        </w:rPr>
        <w:t>过程中，承包人须对地方道路</w:t>
      </w:r>
      <w:r>
        <w:rPr>
          <w:rFonts w:hint="eastAsia" w:ascii="宋体" w:hAnsi="宋体"/>
          <w:color w:val="auto"/>
          <w:szCs w:val="24"/>
          <w:highlight w:val="none"/>
        </w:rPr>
        <w:t>、市政道路</w:t>
      </w:r>
      <w:r>
        <w:rPr>
          <w:rFonts w:hint="eastAsia" w:ascii="宋体" w:hAnsi="宋体"/>
          <w:color w:val="auto"/>
          <w:highlight w:val="none"/>
        </w:rPr>
        <w:t>的的桥梁承载能力进行调查，采取一切措施确保车辆正常通行，做到施工、通车两不误，方便车辆通行，同时道路维护管理考虑限制超载情况。承包人应针对通车路段的施工特点，提出通车路段的施工维护及通行计划方案，报监理人、公安交警、路政及相关部门批准，并认真组织实施，费用在报价中综合考虑，发包人不另行支付。施工方案和措施应包括：</w:t>
      </w:r>
    </w:p>
    <w:p w14:paraId="7B3AE70F">
      <w:pPr>
        <w:pStyle w:val="43"/>
        <w:tabs>
          <w:tab w:val="left" w:pos="2790"/>
        </w:tabs>
        <w:spacing w:line="400" w:lineRule="exact"/>
        <w:ind w:firstLine="420" w:firstLineChars="200"/>
        <w:rPr>
          <w:rFonts w:hint="eastAsia" w:ascii="宋体" w:hAnsi="宋体"/>
          <w:color w:val="auto"/>
          <w:highlight w:val="none"/>
        </w:rPr>
      </w:pPr>
      <w:r>
        <w:rPr>
          <w:rFonts w:hint="eastAsia" w:ascii="宋体" w:hAnsi="宋体"/>
          <w:color w:val="auto"/>
          <w:highlight w:val="none"/>
        </w:rPr>
        <w:t>a.成立维护、管理组织，负责正常道路维护和交通管理工作；</w:t>
      </w:r>
    </w:p>
    <w:p w14:paraId="7D4B27CD">
      <w:pPr>
        <w:pStyle w:val="43"/>
        <w:tabs>
          <w:tab w:val="left" w:pos="2790"/>
        </w:tabs>
        <w:spacing w:line="400" w:lineRule="exact"/>
        <w:ind w:firstLine="420" w:firstLineChars="200"/>
        <w:rPr>
          <w:rFonts w:hint="eastAsia" w:ascii="宋体" w:hAnsi="宋体"/>
          <w:color w:val="auto"/>
          <w:highlight w:val="none"/>
        </w:rPr>
      </w:pPr>
      <w:r>
        <w:rPr>
          <w:rFonts w:hint="eastAsia" w:ascii="宋体" w:hAnsi="宋体"/>
          <w:color w:val="auto"/>
          <w:highlight w:val="none"/>
        </w:rPr>
        <w:t>b.落实施工措施，根据实际情况合理分段、分幅</w:t>
      </w:r>
      <w:r>
        <w:rPr>
          <w:rFonts w:hint="eastAsia" w:ascii="宋体" w:hAnsi="宋体"/>
          <w:color w:val="auto"/>
          <w:highlight w:val="none"/>
          <w:lang w:eastAsia="zh-CN"/>
        </w:rPr>
        <w:t>、</w:t>
      </w:r>
      <w:r>
        <w:rPr>
          <w:rFonts w:hint="eastAsia" w:ascii="宋体" w:hAnsi="宋体"/>
          <w:color w:val="auto"/>
          <w:highlight w:val="none"/>
          <w:lang w:val="en-US" w:eastAsia="zh-CN"/>
        </w:rPr>
        <w:t>分时段</w:t>
      </w:r>
      <w:r>
        <w:rPr>
          <w:rFonts w:hint="eastAsia" w:ascii="宋体" w:hAnsi="宋体"/>
          <w:color w:val="auto"/>
          <w:highlight w:val="none"/>
        </w:rPr>
        <w:t>安排施工，要控制施工长度，维持足够宽度，保持良好平整度，做到排水顺畅，路面无低洼积水，确保车辆能顺利交会，车辆平稳通过；</w:t>
      </w:r>
    </w:p>
    <w:p w14:paraId="585C6658">
      <w:pPr>
        <w:pStyle w:val="43"/>
        <w:tabs>
          <w:tab w:val="left" w:pos="2790"/>
        </w:tabs>
        <w:spacing w:line="400" w:lineRule="exact"/>
        <w:ind w:firstLine="420" w:firstLineChars="200"/>
        <w:rPr>
          <w:rFonts w:hint="eastAsia" w:ascii="宋体" w:hAnsi="宋体" w:eastAsia="宋体"/>
          <w:color w:val="auto"/>
          <w:highlight w:val="none"/>
        </w:rPr>
      </w:pPr>
      <w:r>
        <w:rPr>
          <w:rFonts w:hint="eastAsia" w:ascii="宋体" w:hAnsi="宋体"/>
          <w:color w:val="auto"/>
          <w:highlight w:val="none"/>
        </w:rPr>
        <w:t>c.</w:t>
      </w:r>
      <w:r>
        <w:rPr>
          <w:rFonts w:hint="eastAsia" w:ascii="宋体" w:hAnsi="宋体" w:eastAsia="宋体"/>
          <w:color w:val="auto"/>
          <w:highlight w:val="none"/>
        </w:rPr>
        <w:t>配备交通管理标志，规范施工现场安全标志和安全防护设施的设置，遵照执行浙江省交通运输厅浙交[2011]68 号《浙江省公路水运建设工程施工现场安全标志和安全防护设施设置规定（试行）》、《道路交通标志与标牌》（GB5768）及《公路养护安全作业规程》JTGH30，指定专人维护交通秩序；</w:t>
      </w:r>
    </w:p>
    <w:p w14:paraId="4AB29D8E">
      <w:pPr>
        <w:pStyle w:val="43"/>
        <w:tabs>
          <w:tab w:val="left" w:pos="2790"/>
        </w:tabs>
        <w:spacing w:line="400" w:lineRule="exact"/>
        <w:ind w:firstLine="420" w:firstLineChars="200"/>
        <w:rPr>
          <w:rFonts w:hint="eastAsia" w:ascii="宋体" w:hAnsi="宋体"/>
          <w:color w:val="auto"/>
          <w:highlight w:val="none"/>
        </w:rPr>
      </w:pPr>
      <w:r>
        <w:rPr>
          <w:rFonts w:hint="eastAsia" w:ascii="宋体" w:hAnsi="宋体"/>
          <w:color w:val="auto"/>
          <w:highlight w:val="none"/>
        </w:rPr>
        <w:t>d.加强与交警</w:t>
      </w:r>
      <w:r>
        <w:rPr>
          <w:rFonts w:hint="eastAsia" w:ascii="宋体" w:hAnsi="宋体"/>
          <w:color w:val="auto"/>
          <w:highlight w:val="none"/>
          <w:lang w:eastAsia="zh-CN"/>
        </w:rPr>
        <w:t>、</w:t>
      </w:r>
      <w:r>
        <w:rPr>
          <w:rFonts w:hint="eastAsia" w:ascii="宋体" w:hAnsi="宋体"/>
          <w:color w:val="auto"/>
          <w:highlight w:val="none"/>
          <w:lang w:val="en-US" w:eastAsia="zh-CN"/>
        </w:rPr>
        <w:t>路政</w:t>
      </w:r>
      <w:r>
        <w:rPr>
          <w:rFonts w:hint="eastAsia" w:ascii="宋体" w:hAnsi="宋体"/>
          <w:color w:val="auto"/>
          <w:highlight w:val="none"/>
        </w:rPr>
        <w:t>联系，争取交警</w:t>
      </w:r>
      <w:r>
        <w:rPr>
          <w:rFonts w:hint="eastAsia" w:ascii="宋体" w:hAnsi="宋体"/>
          <w:color w:val="auto"/>
          <w:highlight w:val="none"/>
          <w:lang w:val="en-US" w:eastAsia="zh-CN"/>
        </w:rPr>
        <w:t>路政部门</w:t>
      </w:r>
      <w:r>
        <w:rPr>
          <w:rFonts w:hint="eastAsia" w:ascii="宋体" w:hAnsi="宋体"/>
          <w:color w:val="auto"/>
          <w:highlight w:val="none"/>
        </w:rPr>
        <w:t>参与，建立交通管理制度。</w:t>
      </w:r>
    </w:p>
    <w:p w14:paraId="0B555409">
      <w:pPr>
        <w:pStyle w:val="43"/>
        <w:tabs>
          <w:tab w:val="left" w:pos="2790"/>
        </w:tabs>
        <w:spacing w:line="400" w:lineRule="exact"/>
        <w:ind w:firstLine="420" w:firstLineChars="200"/>
        <w:rPr>
          <w:rFonts w:hint="eastAsia" w:ascii="宋体" w:hAnsi="宋体"/>
          <w:color w:val="auto"/>
          <w:highlight w:val="none"/>
        </w:rPr>
      </w:pPr>
      <w:r>
        <w:rPr>
          <w:rFonts w:hint="eastAsia" w:ascii="宋体" w:hAnsi="宋体"/>
          <w:color w:val="auto"/>
          <w:highlight w:val="none"/>
        </w:rPr>
        <w:t>由</w:t>
      </w:r>
      <w:r>
        <w:rPr>
          <w:rFonts w:hint="eastAsia" w:ascii="宋体" w:hAnsi="宋体"/>
          <w:color w:val="auto"/>
          <w:spacing w:val="-2"/>
          <w:highlight w:val="none"/>
        </w:rPr>
        <w:t>于承包人措施不力，导致阻车和事故频发或损坏现有</w:t>
      </w:r>
      <w:r>
        <w:rPr>
          <w:rFonts w:hint="eastAsia" w:ascii="宋体" w:hAnsi="宋体"/>
          <w:color w:val="auto"/>
          <w:highlight w:val="none"/>
        </w:rPr>
        <w:t>地方道路</w:t>
      </w:r>
      <w:r>
        <w:rPr>
          <w:rFonts w:hint="eastAsia" w:ascii="宋体" w:hAnsi="宋体"/>
          <w:color w:val="auto"/>
          <w:szCs w:val="24"/>
          <w:highlight w:val="none"/>
          <w:lang w:eastAsia="zh-CN"/>
        </w:rPr>
        <w:t>、</w:t>
      </w:r>
      <w:r>
        <w:rPr>
          <w:rFonts w:hint="eastAsia" w:ascii="宋体" w:hAnsi="宋体"/>
          <w:color w:val="auto"/>
          <w:szCs w:val="24"/>
          <w:highlight w:val="none"/>
        </w:rPr>
        <w:t>市政道路</w:t>
      </w:r>
      <w:r>
        <w:rPr>
          <w:rFonts w:hint="eastAsia" w:ascii="宋体" w:hAnsi="宋体"/>
          <w:color w:val="auto"/>
          <w:spacing w:val="-2"/>
          <w:highlight w:val="none"/>
        </w:rPr>
        <w:t>，影响交通安全和正常运行，并造成重大影响，引起索赔，赔偿、诉讼费用及工程拖延或施工费用增加时，应由承包人承担一切责任和费用</w:t>
      </w:r>
      <w:r>
        <w:rPr>
          <w:rFonts w:hint="eastAsia" w:ascii="宋体" w:hAnsi="宋体"/>
          <w:color w:val="auto"/>
          <w:highlight w:val="none"/>
        </w:rPr>
        <w:t>。</w:t>
      </w:r>
    </w:p>
    <w:p w14:paraId="341E3E03">
      <w:pPr>
        <w:pStyle w:val="43"/>
        <w:tabs>
          <w:tab w:val="left" w:pos="2790"/>
        </w:tabs>
        <w:spacing w:line="400" w:lineRule="exact"/>
        <w:ind w:firstLine="420" w:firstLineChars="200"/>
        <w:rPr>
          <w:rFonts w:hint="eastAsia" w:ascii="宋体" w:hAnsi="宋体"/>
          <w:color w:val="auto"/>
          <w:highlight w:val="none"/>
        </w:rPr>
      </w:pPr>
      <w:r>
        <w:rPr>
          <w:rFonts w:hint="eastAsia" w:ascii="宋体" w:hAnsi="宋体"/>
          <w:color w:val="auto"/>
          <w:highlight w:val="none"/>
        </w:rPr>
        <w:t>(</w:t>
      </w:r>
      <w:r>
        <w:rPr>
          <w:rFonts w:hint="eastAsia" w:ascii="宋体" w:hAnsi="宋体"/>
          <w:color w:val="auto"/>
          <w:highlight w:val="none"/>
          <w:lang w:val="en-US" w:eastAsia="zh-CN"/>
        </w:rPr>
        <w:t>9</w:t>
      </w:r>
      <w:r>
        <w:rPr>
          <w:rFonts w:hint="eastAsia" w:ascii="宋体" w:hAnsi="宋体"/>
          <w:color w:val="auto"/>
          <w:highlight w:val="none"/>
        </w:rPr>
        <w:t>)几个承包人或与相邻标段或与相邻项目在同一区域内施工时，监理人有权协调工程的实施，并对工程衔接作出指示，承包人应在监理人的统一协调下工作，承包人因此增加的费用应认为已包括在合同价之中，发包人不另行支付。</w:t>
      </w:r>
    </w:p>
    <w:p w14:paraId="30D1748E">
      <w:pPr>
        <w:pStyle w:val="43"/>
        <w:tabs>
          <w:tab w:val="left" w:pos="2790"/>
        </w:tabs>
        <w:spacing w:line="400" w:lineRule="exact"/>
        <w:ind w:firstLine="420" w:firstLineChars="200"/>
        <w:rPr>
          <w:rFonts w:hint="eastAsia" w:ascii="宋体" w:hAnsi="宋体"/>
          <w:color w:val="auto"/>
          <w:highlight w:val="none"/>
        </w:rPr>
      </w:pPr>
      <w:r>
        <w:rPr>
          <w:rFonts w:hint="eastAsia" w:ascii="宋体" w:hAnsi="宋体"/>
          <w:color w:val="auto"/>
          <w:highlight w:val="none"/>
        </w:rPr>
        <w:t>(</w:t>
      </w:r>
      <w:r>
        <w:rPr>
          <w:rFonts w:hint="eastAsia" w:ascii="宋体" w:hAnsi="宋体"/>
          <w:color w:val="auto"/>
          <w:highlight w:val="none"/>
          <w:lang w:val="en-US" w:eastAsia="zh-CN"/>
        </w:rPr>
        <w:t>10</w:t>
      </w:r>
      <w:r>
        <w:rPr>
          <w:rFonts w:hint="eastAsia" w:ascii="宋体" w:hAnsi="宋体"/>
          <w:color w:val="auto"/>
          <w:highlight w:val="none"/>
        </w:rPr>
        <w:t>)未经发包人事先批准，承包人不得在任何报纸、商业或技术文献上刊登或披露任何与本合同或与本工程有关的详细资料。</w:t>
      </w:r>
    </w:p>
    <w:p w14:paraId="4A5F455B">
      <w:pPr>
        <w:pStyle w:val="43"/>
        <w:tabs>
          <w:tab w:val="left" w:pos="2790"/>
        </w:tabs>
        <w:spacing w:line="400" w:lineRule="exact"/>
        <w:ind w:firstLine="420" w:firstLineChars="200"/>
        <w:rPr>
          <w:rFonts w:hint="eastAsia" w:ascii="宋体" w:hAnsi="宋体"/>
          <w:color w:val="auto"/>
          <w:highlight w:val="none"/>
        </w:rPr>
      </w:pPr>
      <w:r>
        <w:rPr>
          <w:rFonts w:hint="eastAsia" w:ascii="宋体" w:hAnsi="宋体"/>
          <w:color w:val="auto"/>
          <w:highlight w:val="none"/>
        </w:rPr>
        <w:t>承包人不应在现场或施工设施上展示或允许展示任何贸易和商业性广告。在工地现场张贴布告，应事先得到监理人的批准，当监理人指示撤除时，应立即执行。</w:t>
      </w:r>
    </w:p>
    <w:p w14:paraId="0AFA5041">
      <w:pPr>
        <w:pStyle w:val="55"/>
        <w:tabs>
          <w:tab w:val="left" w:pos="2790"/>
        </w:tabs>
        <w:spacing w:line="400" w:lineRule="exact"/>
        <w:ind w:firstLine="420" w:firstLineChars="200"/>
        <w:rPr>
          <w:rFonts w:hint="eastAsia" w:ascii="宋体" w:hAnsi="宋体"/>
          <w:color w:val="auto"/>
          <w:highlight w:val="none"/>
        </w:rPr>
      </w:pPr>
      <w:r>
        <w:rPr>
          <w:rFonts w:hint="eastAsia" w:ascii="宋体" w:hAnsi="宋体"/>
          <w:color w:val="auto"/>
          <w:highlight w:val="none"/>
        </w:rPr>
        <w:t>(1</w:t>
      </w:r>
      <w:r>
        <w:rPr>
          <w:rFonts w:hint="eastAsia" w:ascii="宋体" w:hAnsi="宋体"/>
          <w:color w:val="auto"/>
          <w:highlight w:val="none"/>
          <w:lang w:val="en-US" w:eastAsia="zh-CN"/>
        </w:rPr>
        <w:t>1</w:t>
      </w:r>
      <w:r>
        <w:rPr>
          <w:rFonts w:hint="eastAsia" w:ascii="宋体" w:hAnsi="宋体"/>
          <w:color w:val="auto"/>
          <w:highlight w:val="none"/>
        </w:rPr>
        <w:t>)工程完工后，承包人所在标段的遗留问题，如（但不限于）垃圾清理外运、河道清理、泥浆池、渣土清运、临时用地(含取、弃土场等)的复耕复绿、 结构物拆除垃圾的清理外运解小、建筑垃圾和渣土清运,临时工程的清除、赔偿，因承包人施工原因造成的受损地方道路、桥梁或其他公共设施等，承包人应积极主动进行处理、解决、</w:t>
      </w:r>
      <w:r>
        <w:rPr>
          <w:rFonts w:ascii="宋体" w:hAnsi="宋体"/>
          <w:color w:val="auto"/>
          <w:highlight w:val="none"/>
        </w:rPr>
        <w:t>修复</w:t>
      </w:r>
      <w:r>
        <w:rPr>
          <w:rFonts w:hint="eastAsia" w:ascii="宋体" w:hAnsi="宋体"/>
          <w:color w:val="auto"/>
          <w:highlight w:val="none"/>
        </w:rPr>
        <w:t>和</w:t>
      </w:r>
      <w:r>
        <w:rPr>
          <w:rFonts w:ascii="宋体" w:hAnsi="宋体"/>
          <w:color w:val="auto"/>
          <w:highlight w:val="none"/>
        </w:rPr>
        <w:t>恢复等</w:t>
      </w:r>
      <w:r>
        <w:rPr>
          <w:rFonts w:hint="eastAsia" w:ascii="宋体" w:hAnsi="宋体"/>
          <w:color w:val="auto"/>
          <w:highlight w:val="none"/>
        </w:rPr>
        <w:t>，并承担所有费用。如果上述问题在发包人规定的期限内不能解决，发包人有权单独或委托其他单位进行处理，发生的全部费用从承包人工程款</w:t>
      </w:r>
      <w:r>
        <w:rPr>
          <w:rFonts w:hint="eastAsia" w:ascii="宋体" w:hAnsi="宋体"/>
          <w:color w:val="auto"/>
          <w:highlight w:val="none"/>
          <w:lang w:val="en-US" w:eastAsia="zh-CN"/>
        </w:rPr>
        <w:t>或保留金</w:t>
      </w:r>
      <w:r>
        <w:rPr>
          <w:rFonts w:hint="eastAsia" w:ascii="宋体" w:hAnsi="宋体"/>
          <w:color w:val="auto"/>
          <w:highlight w:val="none"/>
        </w:rPr>
        <w:t>中抵扣，承包人应无条件接受。</w:t>
      </w:r>
    </w:p>
    <w:p w14:paraId="52D61059">
      <w:pPr>
        <w:pStyle w:val="55"/>
        <w:tabs>
          <w:tab w:val="left" w:pos="2790"/>
        </w:tabs>
        <w:spacing w:line="400" w:lineRule="exact"/>
        <w:ind w:firstLine="315" w:firstLineChars="150"/>
        <w:rPr>
          <w:rFonts w:hint="eastAsia" w:ascii="宋体" w:hAnsi="宋体" w:eastAsia="宋体"/>
          <w:color w:val="auto"/>
          <w:highlight w:val="none"/>
        </w:rPr>
      </w:pPr>
      <w:bookmarkStart w:id="695" w:name="_Hlk17876575"/>
      <w:r>
        <w:rPr>
          <w:rFonts w:hint="eastAsia" w:ascii="宋体" w:hAnsi="宋体" w:eastAsia="宋体"/>
          <w:color w:val="auto"/>
          <w:highlight w:val="none"/>
        </w:rPr>
        <w:t>(1</w:t>
      </w:r>
      <w:r>
        <w:rPr>
          <w:rFonts w:hint="eastAsia" w:ascii="宋体" w:hAnsi="宋体" w:eastAsia="宋体"/>
          <w:color w:val="auto"/>
          <w:highlight w:val="none"/>
          <w:lang w:val="en-US" w:eastAsia="zh-CN"/>
        </w:rPr>
        <w:t>2</w:t>
      </w:r>
      <w:r>
        <w:rPr>
          <w:rFonts w:hint="eastAsia" w:ascii="宋体" w:hAnsi="宋体" w:eastAsia="宋体"/>
          <w:color w:val="auto"/>
          <w:highlight w:val="none"/>
        </w:rPr>
        <w:t>)</w:t>
      </w:r>
      <w:bookmarkEnd w:id="695"/>
      <w:r>
        <w:rPr>
          <w:rFonts w:hint="eastAsia" w:ascii="宋体" w:hAnsi="宋体" w:eastAsia="宋体"/>
          <w:color w:val="auto"/>
          <w:highlight w:val="none"/>
        </w:rPr>
        <w:t>合同执行期内，承包人要加强源头控制，落实安全管理责任，切实做好施工车辆、施工路段管理。一是强化源头管理，对施工车辆上路条件、安全技术状况和资质进行严格把关。二是加强检查力度，严禁施工车辆超载、违法载人以及遮挡号牌、无牌上路等违法行为。三是做好施工路段管控，严格按照有关标准设置明显的安全警示标志，采取安全防护措施，引导施工路段车辆安全通行，严禁非施工作业车辆进入施工区域。四是加强缺陷责任期施工交通维护工作，封道方案应符合相关规范要求，并听从交警、业主的指令安排。</w:t>
      </w:r>
    </w:p>
    <w:p w14:paraId="797D3B08">
      <w:pPr>
        <w:pStyle w:val="55"/>
        <w:tabs>
          <w:tab w:val="left" w:pos="2790"/>
        </w:tabs>
        <w:spacing w:line="400" w:lineRule="exact"/>
        <w:ind w:firstLine="315" w:firstLineChars="150"/>
        <w:rPr>
          <w:rFonts w:hint="eastAsia" w:ascii="宋体" w:hAnsi="宋体"/>
          <w:color w:val="auto"/>
          <w:spacing w:val="-2"/>
          <w:highlight w:val="none"/>
        </w:rPr>
      </w:pPr>
      <w:r>
        <w:rPr>
          <w:rFonts w:hint="eastAsia" w:ascii="宋体" w:hAnsi="宋体"/>
          <w:color w:val="auto"/>
          <w:highlight w:val="none"/>
        </w:rPr>
        <w:t>(1</w:t>
      </w:r>
      <w:r>
        <w:rPr>
          <w:rFonts w:hint="eastAsia" w:ascii="宋体" w:hAnsi="宋体"/>
          <w:color w:val="auto"/>
          <w:highlight w:val="none"/>
          <w:lang w:val="en-US" w:eastAsia="zh-CN"/>
        </w:rPr>
        <w:t>3</w:t>
      </w:r>
      <w:r>
        <w:rPr>
          <w:rFonts w:hint="eastAsia" w:ascii="宋体" w:hAnsi="宋体"/>
          <w:color w:val="auto"/>
          <w:highlight w:val="none"/>
        </w:rPr>
        <w:t>)</w:t>
      </w:r>
      <w:r>
        <w:rPr>
          <w:rFonts w:hint="eastAsia" w:ascii="宋体" w:hAnsi="宋体"/>
          <w:color w:val="auto"/>
          <w:spacing w:val="-2"/>
          <w:highlight w:val="none"/>
        </w:rPr>
        <w:t>涉及河流、天然气、管道、公路等相关工作的要求</w:t>
      </w:r>
    </w:p>
    <w:p w14:paraId="19B65F43">
      <w:pPr>
        <w:pStyle w:val="55"/>
        <w:tabs>
          <w:tab w:val="left" w:pos="2790"/>
        </w:tabs>
        <w:spacing w:line="400" w:lineRule="exact"/>
        <w:ind w:firstLine="309" w:firstLineChars="150"/>
        <w:rPr>
          <w:rFonts w:ascii="宋体" w:hAnsi="宋体"/>
          <w:color w:val="auto"/>
          <w:spacing w:val="-2"/>
          <w:highlight w:val="none"/>
        </w:rPr>
      </w:pPr>
      <w:r>
        <w:rPr>
          <w:rFonts w:hint="eastAsia" w:ascii="宋体" w:hAnsi="宋体"/>
          <w:color w:val="auto"/>
          <w:spacing w:val="-2"/>
          <w:highlight w:val="none"/>
        </w:rPr>
        <w:t>承包人在项目实施过程中，对项目涉及河流、天然气、管道、公路等相关工作，应按相关规定和要求办理有关审批手续并组织实施，其费用已包含在合同报价中，发包人不再另行支付。发包人将尽可能协助承包人办理相关手续及解决实施过程中的有关问题，发包人协助办理及解决问题成功与否，并不免除承包人根据合同文件规定应负的一切责任。</w:t>
      </w:r>
    </w:p>
    <w:p w14:paraId="0512D4CF">
      <w:pPr>
        <w:pStyle w:val="55"/>
        <w:tabs>
          <w:tab w:val="left" w:pos="2790"/>
        </w:tabs>
        <w:spacing w:line="400" w:lineRule="exact"/>
        <w:ind w:firstLine="309" w:firstLineChars="150"/>
        <w:rPr>
          <w:rFonts w:ascii="宋体" w:hAnsi="宋体"/>
          <w:color w:val="auto"/>
          <w:spacing w:val="-2"/>
          <w:highlight w:val="none"/>
        </w:rPr>
      </w:pPr>
      <w:r>
        <w:rPr>
          <w:rFonts w:hint="eastAsia" w:ascii="宋体" w:hAnsi="宋体"/>
          <w:color w:val="auto"/>
          <w:spacing w:val="-2"/>
          <w:highlight w:val="none"/>
        </w:rPr>
        <w:t>（1</w:t>
      </w:r>
      <w:r>
        <w:rPr>
          <w:rFonts w:hint="eastAsia" w:ascii="宋体" w:hAnsi="宋体"/>
          <w:color w:val="auto"/>
          <w:spacing w:val="-2"/>
          <w:highlight w:val="none"/>
          <w:lang w:val="en-US" w:eastAsia="zh-CN"/>
        </w:rPr>
        <w:t>4</w:t>
      </w:r>
      <w:r>
        <w:rPr>
          <w:rFonts w:hint="eastAsia" w:ascii="宋体" w:hAnsi="宋体"/>
          <w:color w:val="auto"/>
          <w:spacing w:val="-2"/>
          <w:highlight w:val="none"/>
        </w:rPr>
        <w:t>）承包人在项目施工过程中，应做好渣土、废弃物处置工作，必须遵守新政办发〔2016〕139号《新昌县建设工程渣土处置管理暂行办法》、新昌县人民政府专题会议纪要〔2019〕35号的相关规定。</w:t>
      </w:r>
    </w:p>
    <w:p w14:paraId="31F1FE14">
      <w:pPr>
        <w:pStyle w:val="55"/>
        <w:tabs>
          <w:tab w:val="left" w:pos="2790"/>
        </w:tabs>
        <w:spacing w:line="400" w:lineRule="exact"/>
        <w:ind w:firstLine="315" w:firstLineChars="150"/>
        <w:rPr>
          <w:rFonts w:hint="eastAsia" w:ascii="宋体" w:hAnsi="宋体" w:eastAsia="宋体"/>
          <w:color w:val="auto"/>
          <w:highlight w:val="none"/>
        </w:rPr>
      </w:pPr>
      <w:r>
        <w:rPr>
          <w:rFonts w:hint="eastAsia" w:ascii="宋体" w:hAnsi="宋体" w:eastAsia="宋体"/>
          <w:color w:val="auto"/>
          <w:highlight w:val="none"/>
        </w:rPr>
        <w:t>(1</w:t>
      </w:r>
      <w:r>
        <w:rPr>
          <w:rFonts w:hint="eastAsia" w:ascii="宋体" w:hAnsi="宋体" w:eastAsia="宋体"/>
          <w:color w:val="auto"/>
          <w:highlight w:val="none"/>
          <w:lang w:val="en-US" w:eastAsia="zh-CN"/>
        </w:rPr>
        <w:t>5</w:t>
      </w:r>
      <w:r>
        <w:rPr>
          <w:rFonts w:hint="eastAsia" w:ascii="宋体" w:hAnsi="宋体" w:eastAsia="宋体"/>
          <w:color w:val="auto"/>
          <w:highlight w:val="none"/>
        </w:rPr>
        <w:t>)承包人须严格执行绍政发〔2019〕19 号《绍兴市人民政府关于印发绍兴市扬尘污染防治管理办法的通知》、绍政办发〔2020〕6 号《绍兴市人民政府办公室关于印发绍兴市 2020 年打赢蓝天保卫战攻坚行动实施方案的通知》、新政办发（2020）18 号《新昌县人民政府办公室关于印发《新昌县2020年打赢蓝天保卫张暨创建清新空气示范区实施方案》和《2020 年新昌县大气污染防治工作考核办法（试行）》的通知》、新蓝天（2021）1 号《新昌县 2021 年环境空气质量巩固提升行动方案》和发包人制定的建设工地扬尘污染管理办法，符合当地环保要求，按发包人或 监理人指示及地方相关规定围挡作业、硬化道路、设置自动冲洗装置并落实专人冲洗、及时洒水 作业、落实扬尘污染防治专管员及保洁人员、定时清扫施工现场及清扫施工道路外围抛洒土方。承包人须按照文件切实落实施工工地扬尘管理8个100%，施工现场 100%封闭围挡、工地主要道路 100%硬化、工地裸露砂土100%覆盖、运输车辆 100%冲净和密闭、外脚手架 100%安装密目式安全网、土石方及拆迁100%湿法作业、未施工土地 100%绿化、工地内非道路移动机械100%达标。 承包人应至少设 1 名扬尘污染防治专管员和不少于1名的专职保洁员，负责承包人所在施工现场的清扫、扬尘管控、检查、控制、报告。</w:t>
      </w:r>
    </w:p>
    <w:p w14:paraId="75171344">
      <w:pPr>
        <w:pStyle w:val="55"/>
        <w:tabs>
          <w:tab w:val="left" w:pos="2790"/>
        </w:tabs>
        <w:spacing w:line="400" w:lineRule="exact"/>
        <w:ind w:firstLine="315" w:firstLineChars="150"/>
        <w:rPr>
          <w:rFonts w:hint="eastAsia" w:ascii="宋体" w:hAnsi="宋体" w:eastAsia="宋体"/>
          <w:color w:val="auto"/>
          <w:highlight w:val="none"/>
        </w:rPr>
      </w:pPr>
      <w:r>
        <w:rPr>
          <w:rFonts w:hint="eastAsia" w:ascii="宋体" w:hAnsi="宋体" w:eastAsia="宋体"/>
          <w:color w:val="auto"/>
          <w:highlight w:val="none"/>
        </w:rPr>
        <w:t>以上因此增加的费用</w:t>
      </w:r>
      <w:r>
        <w:rPr>
          <w:rFonts w:hint="eastAsia" w:ascii="宋体" w:hAnsi="宋体" w:eastAsia="宋体"/>
          <w:color w:val="auto"/>
          <w:highlight w:val="none"/>
          <w:lang w:val="en-US" w:eastAsia="zh-CN"/>
        </w:rPr>
        <w:t>均</w:t>
      </w:r>
      <w:r>
        <w:rPr>
          <w:rFonts w:hint="eastAsia" w:ascii="宋体" w:hAnsi="宋体" w:eastAsia="宋体"/>
          <w:color w:val="auto"/>
          <w:highlight w:val="none"/>
        </w:rPr>
        <w:t>视为已包括在相关子目投标价之中，发包人不另行支付。</w:t>
      </w:r>
    </w:p>
    <w:p w14:paraId="486F9179">
      <w:pPr>
        <w:pStyle w:val="56"/>
        <w:tabs>
          <w:tab w:val="left" w:pos="2790"/>
        </w:tabs>
        <w:spacing w:line="400" w:lineRule="exact"/>
        <w:ind w:firstLine="210" w:firstLineChars="100"/>
        <w:rPr>
          <w:rFonts w:ascii="宋体" w:hAnsi="宋体"/>
          <w:color w:val="auto"/>
          <w:highlight w:val="none"/>
        </w:rPr>
      </w:pPr>
      <w:r>
        <w:rPr>
          <w:rFonts w:hint="eastAsia" w:ascii="宋体" w:hAnsi="宋体"/>
          <w:color w:val="auto"/>
          <w:highlight w:val="none"/>
        </w:rPr>
        <w:t>（1</w:t>
      </w:r>
      <w:r>
        <w:rPr>
          <w:rFonts w:hint="eastAsia" w:ascii="宋体" w:hAnsi="宋体"/>
          <w:color w:val="auto"/>
          <w:highlight w:val="none"/>
          <w:lang w:val="en-US" w:eastAsia="zh-CN"/>
        </w:rPr>
        <w:t>6</w:t>
      </w:r>
      <w:r>
        <w:rPr>
          <w:rFonts w:hint="eastAsia" w:ascii="宋体" w:hAnsi="宋体"/>
          <w:color w:val="auto"/>
          <w:highlight w:val="none"/>
        </w:rPr>
        <w:t>）维护社会稳定。承包人有义务采取必要措施，与施工周边相关单位、人员和谐相处，强化内部管理，使承包人内部团结、和谐，以维护社会稳定。</w:t>
      </w:r>
      <w:r>
        <w:rPr>
          <w:rFonts w:ascii="宋体" w:hAnsi="宋体"/>
          <w:color w:val="auto"/>
          <w:highlight w:val="none"/>
        </w:rPr>
        <w:t xml:space="preserve"> </w:t>
      </w:r>
    </w:p>
    <w:p w14:paraId="57BBEE4F">
      <w:pPr>
        <w:pStyle w:val="56"/>
        <w:tabs>
          <w:tab w:val="left" w:pos="2790"/>
        </w:tabs>
        <w:spacing w:line="400" w:lineRule="exact"/>
        <w:ind w:firstLine="210" w:firstLineChars="100"/>
        <w:rPr>
          <w:rFonts w:hint="eastAsia" w:ascii="宋体" w:hAnsi="宋体"/>
          <w:color w:val="auto"/>
          <w:highlight w:val="none"/>
        </w:rPr>
      </w:pPr>
      <w:r>
        <w:rPr>
          <w:rFonts w:hint="eastAsia" w:ascii="宋体" w:hAnsi="宋体"/>
          <w:color w:val="auto"/>
          <w:highlight w:val="none"/>
        </w:rPr>
        <w:t>（1</w:t>
      </w:r>
      <w:r>
        <w:rPr>
          <w:rFonts w:hint="eastAsia" w:ascii="宋体" w:hAnsi="宋体"/>
          <w:color w:val="auto"/>
          <w:highlight w:val="none"/>
          <w:lang w:val="en-US" w:eastAsia="zh-CN"/>
        </w:rPr>
        <w:t>7</w:t>
      </w:r>
      <w:r>
        <w:rPr>
          <w:rFonts w:hint="eastAsia" w:ascii="宋体" w:hAnsi="宋体"/>
          <w:color w:val="auto"/>
          <w:highlight w:val="none"/>
        </w:rPr>
        <w:t>）承包人对项目图纸资料负有保密义务。</w:t>
      </w:r>
    </w:p>
    <w:p w14:paraId="7B2007CD">
      <w:pPr>
        <w:pStyle w:val="56"/>
        <w:tabs>
          <w:tab w:val="left" w:pos="2790"/>
        </w:tabs>
        <w:spacing w:line="400" w:lineRule="exact"/>
        <w:ind w:firstLine="210" w:firstLineChars="100"/>
        <w:rPr>
          <w:rFonts w:hint="eastAsia" w:ascii="宋体" w:hAnsi="宋体" w:eastAsia="宋体"/>
          <w:color w:val="auto"/>
          <w:highlight w:val="none"/>
        </w:rPr>
      </w:pPr>
      <w:r>
        <w:rPr>
          <w:rFonts w:hint="eastAsia" w:ascii="宋体" w:hAnsi="宋体" w:eastAsia="宋体"/>
          <w:color w:val="auto"/>
          <w:highlight w:val="none"/>
        </w:rPr>
        <w:t>（1</w:t>
      </w:r>
      <w:r>
        <w:rPr>
          <w:rFonts w:hint="eastAsia" w:ascii="宋体" w:hAnsi="宋体" w:eastAsia="宋体"/>
          <w:color w:val="auto"/>
          <w:highlight w:val="none"/>
          <w:lang w:val="en-US" w:eastAsia="zh-CN"/>
        </w:rPr>
        <w:t>8</w:t>
      </w:r>
      <w:r>
        <w:rPr>
          <w:rFonts w:hint="eastAsia" w:ascii="宋体" w:hAnsi="宋体" w:eastAsia="宋体"/>
          <w:color w:val="auto"/>
          <w:highlight w:val="none"/>
        </w:rPr>
        <w:t>）承包人应开展职业健康管理工作，设立组织机构和专门人员负责承包人所在施工现场的职业病危害因素辨识、 申报、监控等职业健康管理工作。</w:t>
      </w:r>
      <w:r>
        <w:rPr>
          <w:rFonts w:hint="eastAsia" w:ascii="宋体" w:hAnsi="宋体" w:eastAsia="宋体"/>
          <w:color w:val="auto"/>
          <w:highlight w:val="none"/>
          <w:lang w:val="en-US" w:eastAsia="zh-CN"/>
        </w:rPr>
        <w:t>同时</w:t>
      </w:r>
      <w:r>
        <w:rPr>
          <w:rFonts w:hint="eastAsia" w:ascii="宋体" w:hAnsi="宋体" w:eastAsia="宋体"/>
          <w:color w:val="auto"/>
          <w:highlight w:val="none"/>
        </w:rPr>
        <w:t>承包人在合同期内应积极做好防疫工作，为现场人员配备防疫物品，并无条件配合发包人及相关部门要求，由此产生的相关费用均视为已包含在投标报价中，发包人不另行支付。</w:t>
      </w:r>
    </w:p>
    <w:p w14:paraId="4EF82AA6">
      <w:pPr>
        <w:pStyle w:val="56"/>
        <w:tabs>
          <w:tab w:val="left" w:pos="2790"/>
        </w:tabs>
        <w:spacing w:line="400" w:lineRule="exact"/>
        <w:ind w:firstLine="210" w:firstLineChars="100"/>
        <w:rPr>
          <w:rFonts w:hint="eastAsia" w:ascii="宋体" w:hAnsi="宋体" w:eastAsia="宋体"/>
          <w:color w:val="auto"/>
          <w:highlight w:val="none"/>
        </w:rPr>
      </w:pPr>
      <w:r>
        <w:rPr>
          <w:rFonts w:hint="eastAsia" w:ascii="宋体" w:hAnsi="宋体" w:eastAsia="宋体"/>
          <w:color w:val="auto"/>
          <w:highlight w:val="none"/>
        </w:rPr>
        <w:t>（</w:t>
      </w:r>
      <w:r>
        <w:rPr>
          <w:rFonts w:hint="eastAsia" w:ascii="宋体" w:hAnsi="宋体" w:eastAsia="宋体"/>
          <w:color w:val="auto"/>
          <w:highlight w:val="none"/>
          <w:lang w:val="en-US" w:eastAsia="zh-CN"/>
        </w:rPr>
        <w:t>19</w:t>
      </w:r>
      <w:r>
        <w:rPr>
          <w:rFonts w:hint="eastAsia" w:ascii="宋体" w:hAnsi="宋体" w:eastAsia="宋体"/>
          <w:color w:val="auto"/>
          <w:highlight w:val="none"/>
        </w:rPr>
        <w:t>）政府部门因举行大型活动而要求项目暂时停工的，承包人应及时作出响应并配合政府 部门做好相应工作，由此增加的相关费用视作已包含在投标报价中，发包人不另行支付。行业管 理部门因规划调整等原因而导致合同内容发生变化，承包人应与发包人双方协商解决。</w:t>
      </w:r>
    </w:p>
    <w:p w14:paraId="30A3D51F">
      <w:pPr>
        <w:pStyle w:val="56"/>
        <w:tabs>
          <w:tab w:val="left" w:pos="2790"/>
        </w:tabs>
        <w:spacing w:line="400" w:lineRule="exact"/>
        <w:ind w:firstLine="210" w:firstLineChars="100"/>
        <w:rPr>
          <w:rFonts w:hint="default" w:ascii="宋体" w:hAnsi="宋体" w:eastAsia="宋体"/>
          <w:color w:val="auto"/>
          <w:highlight w:val="none"/>
          <w:lang w:val="en-US" w:eastAsia="zh-CN"/>
        </w:rPr>
      </w:pPr>
      <w:r>
        <w:rPr>
          <w:rFonts w:hint="eastAsia" w:ascii="宋体" w:hAnsi="宋体" w:eastAsia="宋体"/>
          <w:color w:val="auto"/>
          <w:highlight w:val="none"/>
          <w:lang w:eastAsia="zh-CN"/>
        </w:rPr>
        <w:t>（</w:t>
      </w:r>
      <w:r>
        <w:rPr>
          <w:rFonts w:hint="eastAsia" w:ascii="宋体" w:hAnsi="宋体" w:eastAsia="宋体"/>
          <w:color w:val="auto"/>
          <w:highlight w:val="none"/>
          <w:lang w:val="en-US" w:eastAsia="zh-CN"/>
        </w:rPr>
        <w:t>20</w:t>
      </w:r>
      <w:r>
        <w:rPr>
          <w:rFonts w:hint="eastAsia" w:ascii="宋体" w:hAnsi="宋体" w:eastAsia="宋体"/>
          <w:color w:val="auto"/>
          <w:highlight w:val="none"/>
          <w:lang w:eastAsia="zh-CN"/>
        </w:rPr>
        <w:t>）</w:t>
      </w:r>
      <w:r>
        <w:rPr>
          <w:rFonts w:hint="eastAsia" w:ascii="宋体" w:hAnsi="宋体" w:eastAsia="宋体"/>
          <w:color w:val="auto"/>
          <w:highlight w:val="none"/>
          <w:lang w:val="en-US" w:eastAsia="zh-CN"/>
        </w:rPr>
        <w:t>本项目合同期内，承包人自动成为新昌县公路与运输管理中心公路零星及应急养护工程施工单位库的成员，承包人须无条件积极配合发包人相关工作安排，并接受《新昌县公路与运输管理中心公路零星及应急养护工程管理办法》的相关管理。</w:t>
      </w:r>
    </w:p>
    <w:p w14:paraId="622C2FB7">
      <w:pPr>
        <w:pStyle w:val="44"/>
        <w:spacing w:line="400" w:lineRule="exact"/>
        <w:outlineLvl w:val="3"/>
        <w:rPr>
          <w:rFonts w:hint="eastAsia" w:ascii="宋体" w:hAnsi="宋体"/>
          <w:color w:val="auto"/>
          <w:highlight w:val="none"/>
        </w:rPr>
      </w:pPr>
      <w:r>
        <w:rPr>
          <w:rFonts w:hint="eastAsia" w:ascii="宋体" w:hAnsi="宋体"/>
          <w:color w:val="auto"/>
          <w:highlight w:val="none"/>
        </w:rPr>
        <w:t>4.3  分包</w:t>
      </w:r>
    </w:p>
    <w:p w14:paraId="36990EA5">
      <w:pPr>
        <w:pStyle w:val="44"/>
        <w:spacing w:line="400" w:lineRule="exact"/>
        <w:ind w:firstLine="420" w:firstLineChars="200"/>
        <w:rPr>
          <w:rFonts w:hint="eastAsia" w:ascii="宋体" w:hAnsi="宋体"/>
          <w:color w:val="auto"/>
          <w:highlight w:val="none"/>
        </w:rPr>
      </w:pPr>
      <w:r>
        <w:rPr>
          <w:rFonts w:hint="eastAsia" w:ascii="宋体" w:hAnsi="宋体" w:eastAsia="宋体"/>
          <w:color w:val="auto"/>
          <w:highlight w:val="none"/>
          <w:lang w:val="en-US" w:eastAsia="zh-CN"/>
        </w:rPr>
        <w:t>第</w:t>
      </w:r>
      <w:r>
        <w:rPr>
          <w:rFonts w:hint="eastAsia" w:ascii="宋体" w:hAnsi="宋体"/>
          <w:color w:val="auto"/>
          <w:highlight w:val="none"/>
        </w:rPr>
        <w:t>4.3.3</w:t>
      </w:r>
      <w:r>
        <w:rPr>
          <w:rFonts w:ascii="宋体" w:hAnsi="宋体"/>
          <w:color w:val="auto"/>
          <w:highlight w:val="none"/>
        </w:rPr>
        <w:t>(1)</w:t>
      </w:r>
      <w:r>
        <w:rPr>
          <w:rFonts w:hint="eastAsia" w:ascii="宋体" w:hAnsi="宋体"/>
          <w:color w:val="auto"/>
          <w:highlight w:val="none"/>
        </w:rPr>
        <w:t>目细化为：</w:t>
      </w:r>
    </w:p>
    <w:p w14:paraId="5D16A29C">
      <w:pPr>
        <w:pStyle w:val="57"/>
        <w:spacing w:line="420" w:lineRule="exact"/>
        <w:ind w:firstLine="420" w:firstLineChars="200"/>
        <w:rPr>
          <w:rFonts w:ascii="宋体" w:hAnsi="宋体" w:cs="宋体"/>
          <w:color w:val="auto"/>
          <w:szCs w:val="21"/>
          <w:highlight w:val="none"/>
        </w:rPr>
      </w:pPr>
      <w:r>
        <w:rPr>
          <w:rFonts w:hint="eastAsia" w:ascii="宋体" w:hAnsi="宋体"/>
          <w:color w:val="auto"/>
          <w:highlight w:val="none"/>
        </w:rPr>
        <w:t>本项目允许</w:t>
      </w:r>
      <w:r>
        <w:rPr>
          <w:rFonts w:hint="eastAsia" w:ascii="宋体" w:hAnsi="宋体"/>
          <w:color w:val="auto"/>
          <w:highlight w:val="none"/>
          <w:lang w:val="en-US" w:eastAsia="zh-CN"/>
        </w:rPr>
        <w:t>护坡动态监测内容进行专业</w:t>
      </w:r>
      <w:r>
        <w:rPr>
          <w:rFonts w:hint="eastAsia" w:ascii="宋体" w:hAnsi="宋体"/>
          <w:color w:val="auto"/>
          <w:highlight w:val="none"/>
        </w:rPr>
        <w:t>分包</w:t>
      </w:r>
      <w:r>
        <w:rPr>
          <w:rFonts w:hint="eastAsia" w:ascii="宋体" w:hAnsi="宋体"/>
          <w:color w:val="auto"/>
          <w:highlight w:val="none"/>
          <w:lang w:eastAsia="zh-CN"/>
        </w:rPr>
        <w:t>。</w:t>
      </w:r>
      <w:r>
        <w:rPr>
          <w:rFonts w:hint="eastAsia" w:ascii="宋体" w:hAnsi="宋体"/>
          <w:color w:val="auto"/>
          <w:highlight w:val="none"/>
          <w:lang w:val="en-US" w:eastAsia="zh-CN"/>
        </w:rPr>
        <w:t>如有分包，分包人相关资质等资料须报发包人审核同意后，方可进行分包，否则由此造成的损失均由承包人自行承担</w:t>
      </w:r>
      <w:r>
        <w:rPr>
          <w:rFonts w:hint="eastAsia" w:ascii="宋体" w:hAnsi="宋体"/>
          <w:color w:val="auto"/>
          <w:highlight w:val="none"/>
        </w:rPr>
        <w:t>。</w:t>
      </w:r>
    </w:p>
    <w:p w14:paraId="5EC2183E">
      <w:pPr>
        <w:pStyle w:val="44"/>
        <w:spacing w:line="400" w:lineRule="exact"/>
        <w:ind w:firstLine="420" w:firstLineChars="200"/>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补充第4.3.7项：</w:t>
      </w:r>
    </w:p>
    <w:p w14:paraId="578AAFC9">
      <w:pPr>
        <w:pStyle w:val="44"/>
        <w:spacing w:line="400" w:lineRule="exact"/>
        <w:ind w:firstLine="420" w:firstLineChars="200"/>
        <w:rPr>
          <w:rFonts w:hint="default" w:ascii="宋体" w:hAnsi="宋体" w:eastAsia="宋体"/>
          <w:color w:val="auto"/>
          <w:highlight w:val="none"/>
          <w:lang w:val="en-US" w:eastAsia="zh-CN"/>
        </w:rPr>
      </w:pPr>
      <w:r>
        <w:rPr>
          <w:rFonts w:hint="eastAsia" w:ascii="宋体" w:hAnsi="宋体" w:eastAsia="宋体"/>
          <w:color w:val="auto"/>
          <w:highlight w:val="none"/>
          <w:lang w:val="en-US" w:eastAsia="zh-CN"/>
        </w:rPr>
        <w:t xml:space="preserve">4.3.7 本项目的各项分包工作均应遵守《公路工程施工分包管理办法》及《浙江省公路水运工程施工分包和劳务合作管理实施细则》的有关规定。 </w:t>
      </w:r>
    </w:p>
    <w:p w14:paraId="191C899F">
      <w:pPr>
        <w:pStyle w:val="44"/>
        <w:spacing w:line="400" w:lineRule="exact"/>
        <w:outlineLvl w:val="3"/>
        <w:rPr>
          <w:rFonts w:hint="eastAsia" w:ascii="宋体" w:hAnsi="宋体"/>
          <w:color w:val="auto"/>
          <w:highlight w:val="none"/>
        </w:rPr>
      </w:pPr>
      <w:r>
        <w:rPr>
          <w:rFonts w:hint="eastAsia" w:ascii="宋体" w:hAnsi="宋体"/>
          <w:color w:val="auto"/>
          <w:highlight w:val="none"/>
        </w:rPr>
        <w:t>4.6  承包人人员的管理</w:t>
      </w:r>
    </w:p>
    <w:p w14:paraId="18B84FE4">
      <w:pPr>
        <w:pStyle w:val="44"/>
        <w:spacing w:line="400" w:lineRule="exact"/>
        <w:ind w:firstLine="420" w:firstLineChars="200"/>
        <w:rPr>
          <w:rFonts w:hint="eastAsia" w:ascii="宋体" w:hAnsi="宋体"/>
          <w:color w:val="auto"/>
          <w:highlight w:val="none"/>
        </w:rPr>
      </w:pPr>
      <w:r>
        <w:rPr>
          <w:rFonts w:hint="eastAsia" w:ascii="宋体" w:hAnsi="宋体"/>
          <w:color w:val="auto"/>
          <w:highlight w:val="none"/>
        </w:rPr>
        <w:t>第4.6款补充第4.6.6项～第4.6.8项：</w:t>
      </w:r>
    </w:p>
    <w:p w14:paraId="6845649D">
      <w:pPr>
        <w:pStyle w:val="44"/>
        <w:spacing w:line="400" w:lineRule="exact"/>
        <w:ind w:firstLine="420" w:firstLineChars="200"/>
        <w:rPr>
          <w:rFonts w:hint="eastAsia" w:ascii="宋体" w:hAnsi="宋体"/>
          <w:color w:val="auto"/>
          <w:highlight w:val="none"/>
        </w:rPr>
      </w:pPr>
      <w:r>
        <w:rPr>
          <w:rFonts w:hint="eastAsia" w:ascii="宋体" w:hAnsi="宋体"/>
          <w:color w:val="auto"/>
          <w:highlight w:val="none"/>
        </w:rPr>
        <w:t>4.6.6 承包人的所有管理、施工人员需着统一的明显标志服，夜间须为反光标志服，同时须符合相关安全管理的规定，并按不同岗位佩证上岗。</w:t>
      </w:r>
    </w:p>
    <w:p w14:paraId="00476429">
      <w:pPr>
        <w:pStyle w:val="44"/>
        <w:spacing w:line="400" w:lineRule="exact"/>
        <w:ind w:firstLine="420" w:firstLineChars="200"/>
        <w:rPr>
          <w:rFonts w:hint="eastAsia" w:ascii="宋体" w:hAnsi="宋体"/>
          <w:color w:val="auto"/>
          <w:highlight w:val="none"/>
        </w:rPr>
      </w:pPr>
      <w:r>
        <w:rPr>
          <w:rFonts w:hint="eastAsia" w:ascii="宋体" w:hAnsi="宋体"/>
          <w:color w:val="auto"/>
          <w:highlight w:val="none"/>
        </w:rPr>
        <w:t>4.6.7 项目经理及项目</w:t>
      </w:r>
      <w:r>
        <w:rPr>
          <w:rFonts w:hint="eastAsia" w:ascii="宋体" w:hAnsi="宋体" w:eastAsia="宋体"/>
          <w:color w:val="auto"/>
          <w:highlight w:val="none"/>
          <w:lang w:val="en-US" w:eastAsia="zh-CN"/>
        </w:rPr>
        <w:t>技术负责人</w:t>
      </w:r>
      <w:r>
        <w:rPr>
          <w:rFonts w:hint="eastAsia" w:ascii="宋体" w:hAnsi="宋体"/>
          <w:color w:val="auto"/>
          <w:highlight w:val="none"/>
        </w:rPr>
        <w:t>离开工地必须向监理人书面请假，并经发包人同意后才能离开；每月在工地天数应大于22天（特殊情况经监理人批准报发包人同意例外）。</w:t>
      </w:r>
    </w:p>
    <w:p w14:paraId="7C49242A">
      <w:pPr>
        <w:pStyle w:val="44"/>
        <w:spacing w:line="400" w:lineRule="exact"/>
        <w:ind w:firstLine="420" w:firstLineChars="200"/>
        <w:rPr>
          <w:rFonts w:hint="eastAsia" w:ascii="宋体" w:hAnsi="宋体"/>
          <w:color w:val="auto"/>
          <w:highlight w:val="none"/>
        </w:rPr>
      </w:pPr>
      <w:r>
        <w:rPr>
          <w:rFonts w:hint="eastAsia" w:ascii="宋体" w:hAnsi="宋体"/>
          <w:color w:val="auto"/>
          <w:highlight w:val="none"/>
        </w:rPr>
        <w:t>4.6.8 本项目承包人项目经理及项目</w:t>
      </w:r>
      <w:r>
        <w:rPr>
          <w:rFonts w:hint="eastAsia" w:ascii="宋体" w:hAnsi="宋体" w:eastAsia="宋体"/>
          <w:color w:val="auto"/>
          <w:highlight w:val="none"/>
          <w:lang w:val="en-US" w:eastAsia="zh-CN"/>
        </w:rPr>
        <w:t>技术负责人</w:t>
      </w:r>
      <w:r>
        <w:rPr>
          <w:rFonts w:hint="eastAsia" w:ascii="宋体" w:hAnsi="宋体"/>
          <w:color w:val="auto"/>
          <w:highlight w:val="none"/>
        </w:rPr>
        <w:t>在发包人报备前，经发包人同意允许各更换一次，不视为承包人违约，且更换后的人员不得低于原投标承诺人员所具有的资格和业绩条件。其中被更换的项目经理在原承担的合同工程项目未通过验收前不得参加依法进行招标的其他国有投资工程建设项目的投标活动。</w:t>
      </w:r>
    </w:p>
    <w:p w14:paraId="4EDAA71E">
      <w:pPr>
        <w:pStyle w:val="44"/>
        <w:spacing w:line="400" w:lineRule="exact"/>
        <w:ind w:firstLine="420" w:firstLineChars="200"/>
        <w:rPr>
          <w:rFonts w:ascii="宋体" w:hAnsi="宋体"/>
          <w:color w:val="auto"/>
          <w:highlight w:val="none"/>
        </w:rPr>
      </w:pPr>
      <w:r>
        <w:rPr>
          <w:rFonts w:hint="eastAsia" w:ascii="宋体" w:hAnsi="宋体"/>
          <w:color w:val="auto"/>
          <w:highlight w:val="none"/>
        </w:rPr>
        <w:t>除上述更换外，合同期内，承包人再次更换项目经理或项目</w:t>
      </w:r>
      <w:r>
        <w:rPr>
          <w:rFonts w:hint="eastAsia" w:ascii="宋体" w:hAnsi="宋体" w:eastAsia="宋体"/>
          <w:color w:val="auto"/>
          <w:highlight w:val="none"/>
          <w:lang w:val="en-US" w:eastAsia="zh-CN"/>
        </w:rPr>
        <w:t>技术负责人</w:t>
      </w:r>
      <w:r>
        <w:rPr>
          <w:rFonts w:hint="eastAsia" w:ascii="宋体" w:hAnsi="宋体"/>
          <w:color w:val="auto"/>
          <w:highlight w:val="none"/>
        </w:rPr>
        <w:t>的，均视为承包人违约。</w:t>
      </w:r>
    </w:p>
    <w:p w14:paraId="0C05CA23">
      <w:pPr>
        <w:pStyle w:val="44"/>
        <w:keepNext w:val="0"/>
        <w:keepLines w:val="0"/>
        <w:pageBreakBefore w:val="0"/>
        <w:widowControl w:val="0"/>
        <w:kinsoku/>
        <w:wordWrap/>
        <w:overflowPunct/>
        <w:topLinePunct w:val="0"/>
        <w:autoSpaceDE/>
        <w:autoSpaceDN/>
        <w:bidi w:val="0"/>
        <w:adjustRightInd/>
        <w:snapToGrid/>
        <w:spacing w:line="400" w:lineRule="exact"/>
        <w:textAlignment w:val="auto"/>
        <w:outlineLvl w:val="3"/>
        <w:rPr>
          <w:rFonts w:hint="eastAsia" w:ascii="宋体" w:hAnsi="宋体"/>
          <w:color w:val="auto"/>
          <w:highlight w:val="none"/>
        </w:rPr>
      </w:pPr>
      <w:r>
        <w:rPr>
          <w:rFonts w:hint="eastAsia" w:ascii="宋体" w:hAnsi="宋体"/>
          <w:color w:val="auto"/>
          <w:highlight w:val="none"/>
        </w:rPr>
        <w:t xml:space="preserve">4.8 </w:t>
      </w:r>
      <w:r>
        <w:rPr>
          <w:rFonts w:hint="eastAsia" w:ascii="宋体" w:hAnsi="宋体"/>
          <w:color w:val="auto"/>
          <w:highlight w:val="none"/>
          <w:lang w:val="en-US" w:eastAsia="zh-CN"/>
        </w:rPr>
        <w:t xml:space="preserve"> </w:t>
      </w:r>
      <w:r>
        <w:rPr>
          <w:rFonts w:hint="eastAsia" w:ascii="宋体" w:hAnsi="宋体"/>
          <w:color w:val="auto"/>
          <w:highlight w:val="none"/>
        </w:rPr>
        <w:t>保障承包人人员的合法权益</w:t>
      </w:r>
    </w:p>
    <w:p w14:paraId="4E4E2242">
      <w:pPr>
        <w:pStyle w:val="44"/>
        <w:spacing w:line="400" w:lineRule="exact"/>
        <w:ind w:firstLine="420" w:firstLineChars="200"/>
        <w:rPr>
          <w:rFonts w:hint="eastAsia" w:ascii="宋体" w:hAnsi="宋体"/>
          <w:color w:val="auto"/>
          <w:highlight w:val="none"/>
        </w:rPr>
      </w:pPr>
      <w:r>
        <w:rPr>
          <w:rFonts w:hint="eastAsia" w:ascii="宋体" w:hAnsi="宋体"/>
          <w:color w:val="auto"/>
          <w:highlight w:val="none"/>
        </w:rPr>
        <w:t xml:space="preserve">第 4.8.2 项补充： </w:t>
      </w:r>
    </w:p>
    <w:p w14:paraId="302967F4">
      <w:pPr>
        <w:pStyle w:val="44"/>
        <w:spacing w:line="400" w:lineRule="exact"/>
        <w:ind w:firstLine="420" w:firstLineChars="200"/>
        <w:rPr>
          <w:rFonts w:hint="eastAsia" w:ascii="宋体" w:hAnsi="宋体"/>
          <w:color w:val="auto"/>
          <w:highlight w:val="none"/>
        </w:rPr>
      </w:pPr>
      <w:r>
        <w:rPr>
          <w:rFonts w:hint="eastAsia" w:ascii="宋体" w:hAnsi="宋体"/>
          <w:color w:val="auto"/>
          <w:highlight w:val="none"/>
        </w:rPr>
        <w:t xml:space="preserve">承包人在夜间或国家规定的节假日进行永久工程的施工，应向监理人报告，以便监理人履行监理职责和义务。但是，为了抢救生命或保护财产，或为了工程的安全、质量而不可避免地短暂作业，则不必事先向监理人报告。但承包人应在事后立即向监理人报告。  </w:t>
      </w:r>
    </w:p>
    <w:p w14:paraId="48320402">
      <w:pPr>
        <w:pStyle w:val="44"/>
        <w:spacing w:line="400" w:lineRule="exact"/>
        <w:ind w:firstLine="420" w:firstLineChars="200"/>
        <w:rPr>
          <w:rFonts w:hint="eastAsia" w:ascii="宋体" w:hAnsi="宋体" w:eastAsia="宋体"/>
          <w:color w:val="auto"/>
          <w:highlight w:val="none"/>
          <w:lang w:eastAsia="zh-CN"/>
        </w:rPr>
      </w:pPr>
      <w:r>
        <w:rPr>
          <w:rFonts w:hint="eastAsia" w:ascii="宋体" w:hAnsi="宋体"/>
          <w:color w:val="auto"/>
          <w:highlight w:val="none"/>
        </w:rPr>
        <w:t>本款规定不适用于习惯上或施工本身要求实行连续生产的作业</w:t>
      </w:r>
      <w:r>
        <w:rPr>
          <w:rFonts w:hint="eastAsia" w:ascii="宋体" w:hAnsi="宋体" w:eastAsia="宋体"/>
          <w:color w:val="auto"/>
          <w:highlight w:val="none"/>
          <w:lang w:eastAsia="zh-CN"/>
        </w:rPr>
        <w:t>。</w:t>
      </w:r>
    </w:p>
    <w:p w14:paraId="4E3CB888">
      <w:pPr>
        <w:pStyle w:val="44"/>
        <w:keepNext w:val="0"/>
        <w:keepLines w:val="0"/>
        <w:pageBreakBefore w:val="0"/>
        <w:widowControl w:val="0"/>
        <w:kinsoku/>
        <w:wordWrap/>
        <w:overflowPunct/>
        <w:topLinePunct w:val="0"/>
        <w:autoSpaceDE/>
        <w:autoSpaceDN/>
        <w:bidi w:val="0"/>
        <w:adjustRightInd/>
        <w:snapToGrid/>
        <w:spacing w:line="400" w:lineRule="exact"/>
        <w:textAlignment w:val="auto"/>
        <w:outlineLvl w:val="3"/>
        <w:rPr>
          <w:rFonts w:hint="eastAsia" w:ascii="宋体" w:hAnsi="宋体"/>
          <w:color w:val="auto"/>
          <w:highlight w:val="none"/>
        </w:rPr>
      </w:pPr>
      <w:r>
        <w:rPr>
          <w:rFonts w:hint="eastAsia" w:ascii="宋体" w:hAnsi="宋体"/>
          <w:color w:val="auto"/>
          <w:highlight w:val="none"/>
        </w:rPr>
        <w:t>4.11 不利物质条件</w:t>
      </w:r>
    </w:p>
    <w:p w14:paraId="59036A27">
      <w:pPr>
        <w:pStyle w:val="44"/>
        <w:spacing w:line="400" w:lineRule="exact"/>
        <w:ind w:firstLine="420" w:firstLineChars="200"/>
        <w:rPr>
          <w:rFonts w:hint="eastAsia" w:ascii="宋体" w:hAnsi="宋体"/>
          <w:color w:val="auto"/>
          <w:highlight w:val="none"/>
        </w:rPr>
      </w:pPr>
      <w:r>
        <w:rPr>
          <w:rFonts w:hint="eastAsia" w:ascii="宋体" w:hAnsi="宋体"/>
          <w:color w:val="auto"/>
          <w:highlight w:val="none"/>
        </w:rPr>
        <w:t>第4.11.1项约定为：</w:t>
      </w:r>
    </w:p>
    <w:p w14:paraId="5ED1CC95">
      <w:pPr>
        <w:pStyle w:val="44"/>
        <w:spacing w:line="400" w:lineRule="exact"/>
        <w:ind w:firstLine="420" w:firstLineChars="200"/>
        <w:rPr>
          <w:rFonts w:hint="eastAsia" w:ascii="宋体" w:hAnsi="宋体"/>
          <w:color w:val="auto"/>
          <w:highlight w:val="none"/>
        </w:rPr>
      </w:pPr>
      <w:r>
        <w:rPr>
          <w:rFonts w:hint="eastAsia" w:ascii="宋体" w:hAnsi="宋体"/>
          <w:color w:val="auto"/>
          <w:highlight w:val="none"/>
        </w:rPr>
        <w:t>4.11.1  不利物质条件的范围：</w:t>
      </w:r>
      <w:r>
        <w:rPr>
          <w:rFonts w:hint="eastAsia" w:ascii="宋体" w:hAnsi="宋体"/>
          <w:color w:val="auto"/>
          <w:highlight w:val="none"/>
          <w:u w:val="single"/>
        </w:rPr>
        <w:t xml:space="preserve">   /   </w:t>
      </w:r>
      <w:r>
        <w:rPr>
          <w:rFonts w:hint="eastAsia" w:ascii="宋体" w:hAnsi="宋体"/>
          <w:color w:val="auto"/>
          <w:highlight w:val="none"/>
        </w:rPr>
        <w:t>。</w:t>
      </w:r>
    </w:p>
    <w:p w14:paraId="17C7AD59">
      <w:pPr>
        <w:pStyle w:val="44"/>
        <w:spacing w:line="400" w:lineRule="exact"/>
        <w:outlineLvl w:val="2"/>
        <w:rPr>
          <w:rFonts w:hint="eastAsia" w:ascii="宋体" w:hAnsi="宋体"/>
          <w:color w:val="auto"/>
          <w:sz w:val="28"/>
          <w:szCs w:val="28"/>
          <w:highlight w:val="none"/>
        </w:rPr>
      </w:pPr>
      <w:bookmarkStart w:id="696" w:name="_Toc29727"/>
      <w:r>
        <w:rPr>
          <w:rFonts w:hint="eastAsia" w:ascii="宋体" w:hAnsi="宋体"/>
          <w:color w:val="auto"/>
          <w:sz w:val="28"/>
          <w:szCs w:val="28"/>
          <w:highlight w:val="none"/>
        </w:rPr>
        <w:t>6. 施工设备和临时设施</w:t>
      </w:r>
      <w:bookmarkEnd w:id="696"/>
    </w:p>
    <w:p w14:paraId="32B984D7">
      <w:pPr>
        <w:pStyle w:val="44"/>
        <w:spacing w:line="400" w:lineRule="exact"/>
        <w:outlineLvl w:val="3"/>
        <w:rPr>
          <w:rFonts w:hint="eastAsia" w:ascii="宋体" w:hAnsi="宋体"/>
          <w:color w:val="auto"/>
          <w:highlight w:val="none"/>
        </w:rPr>
      </w:pPr>
      <w:r>
        <w:rPr>
          <w:rFonts w:hint="eastAsia" w:ascii="宋体" w:hAnsi="宋体"/>
          <w:color w:val="auto"/>
          <w:highlight w:val="none"/>
        </w:rPr>
        <w:t>6.3  要求承包人增加或更换施工设备</w:t>
      </w:r>
    </w:p>
    <w:p w14:paraId="3D7BB79B">
      <w:pPr>
        <w:pStyle w:val="44"/>
        <w:spacing w:line="400" w:lineRule="exact"/>
        <w:ind w:firstLine="420" w:firstLineChars="200"/>
        <w:rPr>
          <w:rFonts w:hint="eastAsia" w:ascii="宋体" w:hAnsi="宋体"/>
          <w:color w:val="auto"/>
          <w:highlight w:val="none"/>
        </w:rPr>
      </w:pPr>
      <w:r>
        <w:rPr>
          <w:rFonts w:hint="eastAsia" w:ascii="宋体" w:hAnsi="宋体" w:eastAsia="宋体"/>
          <w:color w:val="auto"/>
          <w:highlight w:val="none"/>
          <w:lang w:val="en-US" w:eastAsia="zh-CN"/>
        </w:rPr>
        <w:t>第</w:t>
      </w:r>
      <w:r>
        <w:rPr>
          <w:rFonts w:hint="eastAsia" w:ascii="宋体" w:hAnsi="宋体"/>
          <w:color w:val="auto"/>
          <w:highlight w:val="none"/>
        </w:rPr>
        <w:t>6.3款细化为：</w:t>
      </w:r>
    </w:p>
    <w:p w14:paraId="6CFC9F04">
      <w:pPr>
        <w:pStyle w:val="44"/>
        <w:spacing w:line="400" w:lineRule="exact"/>
        <w:ind w:firstLine="420" w:firstLineChars="200"/>
        <w:rPr>
          <w:rFonts w:hint="eastAsia" w:ascii="宋体" w:hAnsi="宋体"/>
          <w:color w:val="auto"/>
          <w:highlight w:val="none"/>
        </w:rPr>
      </w:pPr>
      <w:r>
        <w:rPr>
          <w:rFonts w:hint="eastAsia" w:ascii="宋体" w:hAnsi="宋体"/>
          <w:color w:val="auto"/>
          <w:highlight w:val="none"/>
        </w:rPr>
        <w:t>承包人承诺的施工设备必须按时到达现场，不得拖延、缺短或任意更换。尽管承包人已按承诺提供了上述设备，但若承包人使用的施工设备不能满足合同进度计划和(或)质量要求时，监理人有权要求承包人增加或更换施工设备，承包人应及时增加或更换，由此增加的费用和(或)工期延误由承包人承担。</w:t>
      </w:r>
    </w:p>
    <w:p w14:paraId="04C8963C">
      <w:pPr>
        <w:pStyle w:val="44"/>
        <w:spacing w:line="400" w:lineRule="exact"/>
        <w:ind w:firstLine="420" w:firstLineChars="200"/>
        <w:rPr>
          <w:rFonts w:hint="eastAsia" w:ascii="宋体" w:hAnsi="宋体"/>
          <w:color w:val="auto"/>
          <w:highlight w:val="none"/>
        </w:rPr>
      </w:pPr>
      <w:r>
        <w:rPr>
          <w:rFonts w:hint="eastAsia" w:ascii="宋体" w:hAnsi="宋体"/>
          <w:color w:val="auto"/>
          <w:highlight w:val="none"/>
        </w:rPr>
        <w:t>承包人应综合考虑本项目施工难度大及交通组织复杂等的特殊性，根据项目总体进度计划和阶段性计划以及发包人的要求合理安排好施工设备进场，必要时应切实加大施工设备、人力、物力的投入并经监理人、发包人审批认可，由此增加的费用认为已包括在投标价之中，发包人不另行支付。</w:t>
      </w:r>
    </w:p>
    <w:p w14:paraId="1003089F">
      <w:pPr>
        <w:pStyle w:val="44"/>
        <w:spacing w:line="400" w:lineRule="exact"/>
        <w:ind w:firstLine="420" w:firstLineChars="200"/>
        <w:rPr>
          <w:rFonts w:hint="eastAsia" w:ascii="宋体" w:hAnsi="宋体"/>
          <w:color w:val="auto"/>
          <w:highlight w:val="none"/>
        </w:rPr>
      </w:pPr>
      <w:r>
        <w:rPr>
          <w:rFonts w:hint="eastAsia" w:ascii="宋体" w:hAnsi="宋体"/>
          <w:color w:val="auto"/>
          <w:highlight w:val="none"/>
        </w:rPr>
        <w:t>承包人的机械、车辆必须证（照）齐全，</w:t>
      </w:r>
      <w:r>
        <w:rPr>
          <w:rFonts w:hint="eastAsia" w:ascii="宋体" w:hAnsi="宋体" w:eastAsia="宋体"/>
          <w:color w:val="auto"/>
          <w:highlight w:val="none"/>
          <w:lang w:val="en-US" w:eastAsia="zh-CN"/>
        </w:rPr>
        <w:t>并符合环保相关要求，</w:t>
      </w:r>
      <w:r>
        <w:rPr>
          <w:rFonts w:hint="eastAsia" w:ascii="宋体" w:hAnsi="宋体" w:eastAsia="宋体"/>
          <w:color w:val="auto"/>
          <w:highlight w:val="none"/>
        </w:rPr>
        <w:t>三无</w:t>
      </w:r>
      <w:r>
        <w:rPr>
          <w:rFonts w:hint="eastAsia" w:ascii="宋体" w:hAnsi="宋体"/>
          <w:color w:val="auto"/>
          <w:highlight w:val="none"/>
        </w:rPr>
        <w:t>车辆不得进场。</w:t>
      </w:r>
    </w:p>
    <w:p w14:paraId="30C4D710">
      <w:pPr>
        <w:pStyle w:val="44"/>
        <w:spacing w:line="400" w:lineRule="exact"/>
        <w:ind w:firstLine="420" w:firstLineChars="200"/>
        <w:rPr>
          <w:rFonts w:hint="eastAsia" w:ascii="宋体" w:hAnsi="宋体"/>
          <w:color w:val="auto"/>
          <w:highlight w:val="none"/>
        </w:rPr>
      </w:pPr>
      <w:r>
        <w:rPr>
          <w:rFonts w:hint="eastAsia" w:ascii="宋体" w:hAnsi="宋体"/>
          <w:color w:val="auto"/>
          <w:highlight w:val="none"/>
        </w:rPr>
        <w:t xml:space="preserve">违反本款规定，则按第22.1款承包人违约处理。  </w:t>
      </w:r>
    </w:p>
    <w:p w14:paraId="4E8D756F">
      <w:pPr>
        <w:pStyle w:val="44"/>
        <w:spacing w:line="400" w:lineRule="exact"/>
        <w:outlineLvl w:val="2"/>
        <w:rPr>
          <w:rFonts w:hint="eastAsia" w:ascii="宋体" w:hAnsi="宋体"/>
          <w:color w:val="auto"/>
          <w:sz w:val="28"/>
          <w:szCs w:val="28"/>
          <w:highlight w:val="none"/>
        </w:rPr>
      </w:pPr>
      <w:bookmarkStart w:id="697" w:name="_Toc21153"/>
      <w:r>
        <w:rPr>
          <w:rFonts w:hint="eastAsia" w:ascii="宋体" w:hAnsi="宋体"/>
          <w:color w:val="auto"/>
          <w:sz w:val="28"/>
          <w:szCs w:val="28"/>
          <w:highlight w:val="none"/>
        </w:rPr>
        <w:t>7. 交通运输</w:t>
      </w:r>
      <w:bookmarkEnd w:id="697"/>
    </w:p>
    <w:p w14:paraId="1F6B6B9E">
      <w:pPr>
        <w:pStyle w:val="44"/>
        <w:spacing w:line="400" w:lineRule="exact"/>
        <w:outlineLvl w:val="3"/>
        <w:rPr>
          <w:rFonts w:hint="eastAsia" w:ascii="宋体" w:hAnsi="宋体"/>
          <w:color w:val="auto"/>
          <w:highlight w:val="none"/>
        </w:rPr>
      </w:pPr>
      <w:r>
        <w:rPr>
          <w:rFonts w:hint="eastAsia" w:ascii="宋体" w:hAnsi="宋体"/>
          <w:color w:val="auto"/>
          <w:highlight w:val="none"/>
        </w:rPr>
        <w:t xml:space="preserve"> 7.3 场外交通 </w:t>
      </w:r>
    </w:p>
    <w:p w14:paraId="28A3DC85">
      <w:pPr>
        <w:pStyle w:val="44"/>
        <w:spacing w:line="400" w:lineRule="exact"/>
        <w:ind w:firstLine="420" w:firstLineChars="200"/>
        <w:rPr>
          <w:rFonts w:hint="eastAsia" w:ascii="宋体" w:hAnsi="宋体"/>
          <w:color w:val="auto"/>
          <w:highlight w:val="none"/>
        </w:rPr>
      </w:pPr>
      <w:r>
        <w:rPr>
          <w:rFonts w:hint="eastAsia" w:ascii="宋体" w:hAnsi="宋体"/>
          <w:color w:val="auto"/>
          <w:highlight w:val="none"/>
        </w:rPr>
        <w:t xml:space="preserve">补充第 7.3.3 项： </w:t>
      </w:r>
    </w:p>
    <w:p w14:paraId="6296BE92">
      <w:pPr>
        <w:pStyle w:val="44"/>
        <w:spacing w:line="400" w:lineRule="exact"/>
        <w:ind w:firstLine="420" w:firstLineChars="200"/>
        <w:rPr>
          <w:rFonts w:ascii="宋体" w:hAnsi="宋体"/>
          <w:color w:val="auto"/>
          <w:highlight w:val="none"/>
        </w:rPr>
      </w:pPr>
      <w:r>
        <w:rPr>
          <w:rFonts w:hint="eastAsia" w:ascii="宋体" w:hAnsi="宋体"/>
          <w:color w:val="auto"/>
          <w:highlight w:val="none"/>
        </w:rPr>
        <w:t>（1）承包人应选定运输路线，选用运输车辆，限制和分配载运重量及其他合理措施，防止承包人或其分包人的任何运输车辆因超过载重限制而损坏或损伤所通行的道路或桥梁。请承包人在报价时充分考虑上述因素所增加的费用，发包人不再单独支付费用。大型施工装备和超重件的运输，应事先取得道路管理部门的许可方能启运。如果采用上述措施后，仍超过所通行的桥梁或道路的载重限制而又必须通过时，承包人应与公路管理部门协商，取得同意和协助，并负责承担所通行路线上的桥梁加固或改建，或道路改线或改善和其他费用。这些费用和因承包人未执行本款规定造成道路或桥梁损坏或损伤而引起的一切索赔、赔偿、诉讼费用和其他开支均由承包人承担，发包人概不负责承担。</w:t>
      </w:r>
    </w:p>
    <w:p w14:paraId="3252E426">
      <w:pPr>
        <w:pStyle w:val="44"/>
        <w:spacing w:line="400" w:lineRule="exact"/>
        <w:ind w:firstLine="420" w:firstLineChars="200"/>
        <w:rPr>
          <w:rFonts w:hint="eastAsia" w:ascii="宋体" w:hAnsi="宋体"/>
          <w:color w:val="auto"/>
          <w:highlight w:val="none"/>
        </w:rPr>
      </w:pPr>
      <w:r>
        <w:rPr>
          <w:rFonts w:hint="eastAsia" w:ascii="宋体" w:hAnsi="宋体"/>
          <w:color w:val="auto"/>
          <w:highlight w:val="none"/>
        </w:rPr>
        <w:t xml:space="preserve">（2）承包人利用原有地方道路作为施工便道或社会交通便道时，使用前承包人必须与当地政府签订协议，并加强对道路的日常养护与维护，确保安全畅通。若因承包人在施工中损坏了原有的公路设施，应积极主动进行修复。当工程完工后，承包人应按当时签订的协议履行合同，并交付当地政府，若未能履行合同和办理交付手续，则发包人有权根据仲裁机构裁决或法院判定的金额，在其工程结算价款中予以扣除并直接支付给受损方而不承担任何责任。 </w:t>
      </w:r>
    </w:p>
    <w:p w14:paraId="7F6B97E2">
      <w:pPr>
        <w:pStyle w:val="44"/>
        <w:spacing w:line="400" w:lineRule="exact"/>
        <w:ind w:firstLine="420" w:firstLineChars="200"/>
        <w:rPr>
          <w:rFonts w:hint="eastAsia" w:ascii="宋体" w:hAnsi="宋体"/>
          <w:color w:val="auto"/>
          <w:highlight w:val="none"/>
        </w:rPr>
      </w:pPr>
      <w:r>
        <w:rPr>
          <w:rFonts w:hint="eastAsia" w:ascii="宋体" w:hAnsi="宋体"/>
          <w:color w:val="auto"/>
          <w:highlight w:val="none"/>
        </w:rPr>
        <w:t>（3）承包人利用原有地方道路、临时道路和桥涵作为社会交通便道和出入现场、施工运输时，应自费养护维修由他人修建和使用的原有地方道路和所有临时道路和桥涵（包括利用和加固的村镇便道）并恢复原貌，养护维修和恢复原貌的费用由承包人负责，并应保证发包人免于承担因上述原有地方道路和临时道路和桥梁的使用所引起的补偿费、诉讼费、损害费、指控费及其他开支，上述工作内容和要求所涉及的相关费用均视为已包括在或已计入本合同工程已标价的工程量清单所列的相关工程子目的单价或总额价之中，发包人均不再另行支付。如果承包人拒不承担，发包人将另雇人员进行上述恢复，所发生的费用由发包人从应付承包人的任何款项内扣除。在工程竣工时，对于约定予以保留的，需由发包人验收合格。</w:t>
      </w:r>
    </w:p>
    <w:p w14:paraId="23CB9490">
      <w:pPr>
        <w:pStyle w:val="44"/>
        <w:spacing w:line="400" w:lineRule="exact"/>
        <w:outlineLvl w:val="2"/>
        <w:rPr>
          <w:rFonts w:hint="eastAsia" w:ascii="宋体" w:hAnsi="宋体"/>
          <w:color w:val="auto"/>
          <w:sz w:val="28"/>
          <w:szCs w:val="28"/>
          <w:highlight w:val="none"/>
        </w:rPr>
      </w:pPr>
      <w:bookmarkStart w:id="698" w:name="_Toc31306"/>
      <w:r>
        <w:rPr>
          <w:rFonts w:hint="eastAsia" w:ascii="宋体" w:hAnsi="宋体"/>
          <w:color w:val="auto"/>
          <w:sz w:val="28"/>
          <w:szCs w:val="28"/>
          <w:highlight w:val="none"/>
        </w:rPr>
        <w:t>9. 施工安全、治安保卫和环境保护</w:t>
      </w:r>
      <w:bookmarkEnd w:id="698"/>
    </w:p>
    <w:p w14:paraId="5A901C7B">
      <w:pPr>
        <w:pStyle w:val="44"/>
        <w:spacing w:line="400" w:lineRule="exact"/>
        <w:outlineLvl w:val="3"/>
        <w:rPr>
          <w:rFonts w:hint="eastAsia" w:ascii="宋体" w:hAnsi="宋体"/>
          <w:color w:val="auto"/>
          <w:highlight w:val="none"/>
        </w:rPr>
      </w:pPr>
      <w:r>
        <w:rPr>
          <w:rFonts w:hint="eastAsia" w:ascii="宋体" w:hAnsi="宋体"/>
          <w:color w:val="auto"/>
          <w:highlight w:val="none"/>
        </w:rPr>
        <w:t>9.2  承包人的施工安全责任</w:t>
      </w:r>
    </w:p>
    <w:p w14:paraId="220BC80A">
      <w:pPr>
        <w:pStyle w:val="9"/>
        <w:tabs>
          <w:tab w:val="left" w:pos="2790"/>
        </w:tabs>
        <w:spacing w:line="400" w:lineRule="exact"/>
        <w:ind w:firstLine="420" w:firstLineChars="200"/>
        <w:rPr>
          <w:rFonts w:hint="eastAsia" w:ascii="宋体" w:hAnsi="宋体" w:eastAsia="Times New Roman" w:cs="宋体"/>
          <w:color w:val="auto"/>
          <w:szCs w:val="21"/>
          <w:highlight w:val="none"/>
          <w:lang w:val="en-US" w:eastAsia="zh-CN"/>
        </w:rPr>
      </w:pPr>
      <w:r>
        <w:rPr>
          <w:rFonts w:hint="eastAsia" w:ascii="宋体" w:hAnsi="宋体" w:eastAsia="Times New Roman" w:cs="宋体"/>
          <w:color w:val="auto"/>
          <w:szCs w:val="21"/>
          <w:highlight w:val="none"/>
          <w:lang w:val="en-US" w:eastAsia="zh-CN"/>
        </w:rPr>
        <w:t xml:space="preserve">第 9.2.1 项补充： </w:t>
      </w:r>
    </w:p>
    <w:p w14:paraId="47D33F87">
      <w:pPr>
        <w:pStyle w:val="9"/>
        <w:tabs>
          <w:tab w:val="left" w:pos="2790"/>
        </w:tabs>
        <w:spacing w:line="400" w:lineRule="exact"/>
        <w:ind w:firstLine="420" w:firstLineChars="200"/>
        <w:rPr>
          <w:rFonts w:hint="eastAsia" w:ascii="宋体" w:hAnsi="宋体" w:eastAsia="Times New Roman" w:cs="宋体"/>
          <w:color w:val="auto"/>
          <w:szCs w:val="21"/>
          <w:highlight w:val="none"/>
          <w:lang w:val="en-US" w:eastAsia="zh-CN"/>
        </w:rPr>
      </w:pPr>
      <w:r>
        <w:rPr>
          <w:rFonts w:hint="eastAsia" w:ascii="宋体" w:hAnsi="宋体" w:eastAsia="Times New Roman" w:cs="宋体"/>
          <w:color w:val="auto"/>
          <w:szCs w:val="21"/>
          <w:highlight w:val="none"/>
          <w:lang w:val="en-US" w:eastAsia="zh-CN"/>
        </w:rPr>
        <w:t>承包人应按《公路水运工程安全生产监督管理办法》、《浙江省交通建设工程质量和安全生产管理 办法》、《浙江省交通建设工程安全生产监督管理实施细则》配备固定专职安全生产管理人员，并履行安全生产管理人员职责。</w:t>
      </w:r>
    </w:p>
    <w:p w14:paraId="446BB438">
      <w:pPr>
        <w:pStyle w:val="9"/>
        <w:tabs>
          <w:tab w:val="left" w:pos="2790"/>
        </w:tabs>
        <w:spacing w:line="400" w:lineRule="exact"/>
        <w:ind w:firstLine="420" w:firstLineChars="200"/>
        <w:rPr>
          <w:rFonts w:hint="eastAsia" w:ascii="宋体" w:hAnsi="宋体" w:eastAsia="Times New Roman" w:cs="宋体"/>
          <w:color w:val="auto"/>
          <w:szCs w:val="21"/>
          <w:highlight w:val="none"/>
          <w:lang w:val="en-US" w:eastAsia="zh-CN"/>
        </w:rPr>
      </w:pPr>
      <w:r>
        <w:rPr>
          <w:rFonts w:hint="eastAsia" w:ascii="宋体" w:hAnsi="宋体" w:eastAsia="Times New Roman" w:cs="宋体"/>
          <w:color w:val="auto"/>
          <w:szCs w:val="21"/>
          <w:highlight w:val="none"/>
          <w:lang w:val="en-US" w:eastAsia="zh-CN"/>
        </w:rPr>
        <w:t>承包人须严格按批准的实施性交通安全组织方案做好施工安全相关组织管理工作。</w:t>
      </w:r>
    </w:p>
    <w:p w14:paraId="1086BC22">
      <w:pPr>
        <w:pStyle w:val="9"/>
        <w:tabs>
          <w:tab w:val="left" w:pos="2790"/>
        </w:tabs>
        <w:spacing w:line="400" w:lineRule="exact"/>
        <w:ind w:firstLine="420" w:firstLineChars="200"/>
        <w:rPr>
          <w:rFonts w:hint="eastAsia" w:ascii="宋体" w:hAnsi="宋体" w:eastAsia="Times New Roman" w:cs="宋体"/>
          <w:color w:val="auto"/>
          <w:szCs w:val="21"/>
          <w:highlight w:val="none"/>
        </w:rPr>
      </w:pPr>
      <w:r>
        <w:rPr>
          <w:rFonts w:hint="eastAsia" w:ascii="宋体" w:hAnsi="宋体" w:eastAsia="Times New Roman" w:cs="宋体"/>
          <w:color w:val="auto"/>
          <w:szCs w:val="21"/>
          <w:highlight w:val="none"/>
          <w:lang w:val="en-US" w:eastAsia="zh-CN"/>
        </w:rPr>
        <w:t xml:space="preserve">监理人发现承包人在施工现场存在安全隐患或未落实安全生产费用的，应当提出要求其改正，施工单位拒不改正的，监理人可暂时停止工程款的计量支付，并及时向发包人报告。 </w:t>
      </w:r>
    </w:p>
    <w:p w14:paraId="22DB35AC">
      <w:pPr>
        <w:pStyle w:val="9"/>
        <w:tabs>
          <w:tab w:val="left" w:pos="2790"/>
        </w:tabs>
        <w:spacing w:line="400" w:lineRule="exact"/>
        <w:ind w:firstLine="420" w:firstLineChars="200"/>
        <w:rPr>
          <w:rFonts w:hint="eastAsia" w:ascii="宋体" w:hAnsi="宋体" w:eastAsia="Times New Roman" w:cs="宋体"/>
          <w:color w:val="auto"/>
          <w:szCs w:val="21"/>
          <w:highlight w:val="none"/>
          <w:lang w:val="en-US" w:eastAsia="zh-CN"/>
        </w:rPr>
      </w:pPr>
      <w:r>
        <w:rPr>
          <w:rFonts w:hint="eastAsia" w:ascii="宋体" w:hAnsi="宋体" w:eastAsia="Times New Roman" w:cs="宋体"/>
          <w:color w:val="auto"/>
          <w:szCs w:val="21"/>
          <w:highlight w:val="none"/>
          <w:lang w:val="en-US" w:eastAsia="zh-CN"/>
        </w:rPr>
        <w:t>第9.2.5项约定为：</w:t>
      </w:r>
    </w:p>
    <w:p w14:paraId="40C75CCE">
      <w:pPr>
        <w:pStyle w:val="9"/>
        <w:tabs>
          <w:tab w:val="left" w:pos="2790"/>
        </w:tabs>
        <w:spacing w:line="400" w:lineRule="exact"/>
        <w:ind w:firstLine="420" w:firstLineChars="200"/>
        <w:rPr>
          <w:rFonts w:hint="eastAsia" w:ascii="宋体" w:hAnsi="宋体" w:eastAsia="Times New Roman" w:cs="宋体"/>
          <w:color w:val="auto"/>
          <w:szCs w:val="21"/>
          <w:highlight w:val="none"/>
          <w:lang w:val="en-US" w:eastAsia="zh-CN"/>
        </w:rPr>
      </w:pPr>
      <w:r>
        <w:rPr>
          <w:rFonts w:hint="eastAsia" w:ascii="宋体" w:hAnsi="宋体" w:eastAsia="Times New Roman" w:cs="宋体"/>
          <w:color w:val="auto"/>
          <w:szCs w:val="21"/>
          <w:highlight w:val="none"/>
          <w:lang w:val="en-US" w:eastAsia="zh-CN"/>
        </w:rPr>
        <w:t>9.2.5</w:t>
      </w:r>
      <w:r>
        <w:rPr>
          <w:rFonts w:hint="eastAsia" w:ascii="宋体" w:hAnsi="宋体" w:eastAsia="Times New Roman" w:cs="宋体"/>
          <w:b/>
          <w:bCs/>
          <w:color w:val="auto"/>
          <w:szCs w:val="21"/>
          <w:highlight w:val="none"/>
          <w:lang w:val="en-US" w:eastAsia="zh-CN"/>
        </w:rPr>
        <w:t>安全生产费应为招标人公布的工程量清单预算的2％</w:t>
      </w:r>
      <w:r>
        <w:rPr>
          <w:rFonts w:hint="eastAsia" w:ascii="宋体" w:hAnsi="宋体" w:eastAsia="Times New Roman" w:cs="宋体"/>
          <w:color w:val="auto"/>
          <w:szCs w:val="21"/>
          <w:highlight w:val="none"/>
          <w:lang w:val="en-US" w:eastAsia="zh-CN"/>
        </w:rPr>
        <w:t>。安全生产费用应用于施工安全防护用具及设施的采购和更新、安全施工措施的落实、安全生产条件的改善，不得挪作他用。如承包人在此基础上增加安全生产费用以满足项目施工需要，则承包人应在本项目工程量清单其他相关子目的单价或总额价中予以考虑，发包人不再另行支付。因采取合同未约定的特殊防护措施增加的费用，由监理人按第3.5款商定或确定。</w:t>
      </w:r>
    </w:p>
    <w:p w14:paraId="6F03D953">
      <w:pPr>
        <w:pStyle w:val="55"/>
        <w:spacing w:line="400" w:lineRule="exact"/>
        <w:ind w:firstLine="422" w:firstLineChars="200"/>
        <w:rPr>
          <w:rFonts w:hint="eastAsia" w:ascii="宋体" w:hAnsi="宋体"/>
          <w:b/>
          <w:bCs/>
          <w:color w:val="auto"/>
          <w:highlight w:val="none"/>
        </w:rPr>
      </w:pPr>
      <w:r>
        <w:rPr>
          <w:rFonts w:hint="eastAsia" w:ascii="宋体" w:hAnsi="宋体"/>
          <w:b/>
          <w:bCs/>
          <w:color w:val="auto"/>
          <w:highlight w:val="none"/>
        </w:rPr>
        <w:t>承包人还应执行浙江省人民代表大会常务委员会2018年9月30日公布的《浙江省交通建设工程质量和安全生产管理条例》的相关规定和要求。安全生产费的使用和支付按浙交[2020]104号省交通运输厅关于印发《关于进一步加强全省交通建设工程安全生产管理工作的若干规定》的通知及浙交〔2021〕12号浙江省交通运输厅关于印发《浙江省交通建设工程安全生产费用管理办法》的通知的相关要求以及相关最新规定办理。</w:t>
      </w:r>
    </w:p>
    <w:p w14:paraId="0BC72362">
      <w:pPr>
        <w:pStyle w:val="55"/>
        <w:spacing w:line="400" w:lineRule="exact"/>
        <w:ind w:firstLine="420" w:firstLineChars="200"/>
        <w:rPr>
          <w:rFonts w:hint="eastAsia" w:ascii="宋体" w:hAnsi="宋体" w:eastAsia="宋体"/>
          <w:b w:val="0"/>
          <w:bCs w:val="0"/>
          <w:color w:val="auto"/>
          <w:highlight w:val="none"/>
          <w:lang w:val="en-US" w:eastAsia="zh-CN"/>
        </w:rPr>
      </w:pPr>
      <w:r>
        <w:rPr>
          <w:rFonts w:hint="eastAsia" w:ascii="宋体" w:hAnsi="宋体" w:eastAsia="宋体"/>
          <w:b w:val="0"/>
          <w:bCs w:val="0"/>
          <w:color w:val="auto"/>
          <w:highlight w:val="none"/>
          <w:lang w:val="en-US" w:eastAsia="zh-CN"/>
        </w:rPr>
        <w:t>承包人需充分考虑安全生产费中安全设施所用任何材料制品的重复使用的成本，本项目合同实施期间发包人不再计算残值或回收利用。</w:t>
      </w:r>
    </w:p>
    <w:p w14:paraId="4E67499A">
      <w:pPr>
        <w:pStyle w:val="44"/>
        <w:spacing w:line="400" w:lineRule="exact"/>
        <w:outlineLvl w:val="3"/>
        <w:rPr>
          <w:rFonts w:hint="eastAsia" w:ascii="宋体" w:hAnsi="宋体"/>
          <w:color w:val="auto"/>
          <w:highlight w:val="none"/>
        </w:rPr>
      </w:pPr>
      <w:r>
        <w:rPr>
          <w:rFonts w:hint="eastAsia" w:ascii="宋体" w:hAnsi="宋体"/>
          <w:color w:val="auto"/>
          <w:highlight w:val="none"/>
        </w:rPr>
        <w:t>9.4</w:t>
      </w:r>
      <w:r>
        <w:rPr>
          <w:rFonts w:hint="eastAsia" w:ascii="宋体" w:hAnsi="宋体"/>
          <w:color w:val="auto"/>
          <w:highlight w:val="none"/>
          <w:lang w:val="en-US" w:eastAsia="zh-CN"/>
        </w:rPr>
        <w:t xml:space="preserve"> </w:t>
      </w:r>
      <w:r>
        <w:rPr>
          <w:rFonts w:hint="eastAsia" w:ascii="宋体" w:hAnsi="宋体"/>
          <w:color w:val="auto"/>
          <w:highlight w:val="none"/>
        </w:rPr>
        <w:t>环境保护</w:t>
      </w:r>
    </w:p>
    <w:p w14:paraId="47AC9875">
      <w:pPr>
        <w:pStyle w:val="55"/>
        <w:tabs>
          <w:tab w:val="left" w:pos="2790"/>
        </w:tabs>
        <w:spacing w:line="400" w:lineRule="exact"/>
        <w:ind w:firstLine="420" w:firstLineChars="200"/>
        <w:rPr>
          <w:rFonts w:ascii="宋体" w:hAnsi="宋体"/>
          <w:color w:val="auto"/>
          <w:highlight w:val="none"/>
        </w:rPr>
      </w:pPr>
      <w:r>
        <w:rPr>
          <w:rFonts w:hint="eastAsia" w:ascii="宋体" w:hAnsi="宋体"/>
          <w:color w:val="auto"/>
          <w:highlight w:val="none"/>
        </w:rPr>
        <w:t>补充第9.</w:t>
      </w:r>
      <w:r>
        <w:rPr>
          <w:rFonts w:ascii="宋体" w:hAnsi="宋体"/>
          <w:color w:val="auto"/>
          <w:highlight w:val="none"/>
        </w:rPr>
        <w:t>4.1</w:t>
      </w:r>
      <w:r>
        <w:rPr>
          <w:rFonts w:hint="eastAsia" w:ascii="宋体" w:hAnsi="宋体"/>
          <w:color w:val="auto"/>
          <w:highlight w:val="none"/>
          <w:lang w:val="en-US" w:eastAsia="zh-CN"/>
        </w:rPr>
        <w:t>1</w:t>
      </w:r>
      <w:r>
        <w:rPr>
          <w:rFonts w:hint="eastAsia" w:ascii="宋体" w:hAnsi="宋体"/>
          <w:color w:val="auto"/>
          <w:highlight w:val="none"/>
        </w:rPr>
        <w:t>、9.4.1</w:t>
      </w:r>
      <w:r>
        <w:rPr>
          <w:rFonts w:hint="eastAsia" w:ascii="宋体" w:hAnsi="宋体"/>
          <w:color w:val="auto"/>
          <w:highlight w:val="none"/>
          <w:lang w:val="en-US" w:eastAsia="zh-CN"/>
        </w:rPr>
        <w:t>2</w:t>
      </w:r>
      <w:r>
        <w:rPr>
          <w:rFonts w:hint="eastAsia" w:ascii="宋体" w:hAnsi="宋体"/>
          <w:color w:val="auto"/>
          <w:highlight w:val="none"/>
        </w:rPr>
        <w:t>项：</w:t>
      </w:r>
    </w:p>
    <w:p w14:paraId="4AFB1DF3">
      <w:pPr>
        <w:pStyle w:val="55"/>
        <w:tabs>
          <w:tab w:val="left" w:pos="2790"/>
        </w:tabs>
        <w:spacing w:line="400" w:lineRule="exact"/>
        <w:ind w:firstLine="420" w:firstLineChars="200"/>
        <w:rPr>
          <w:rFonts w:hint="eastAsia" w:ascii="宋体" w:hAnsi="宋体"/>
          <w:color w:val="auto"/>
          <w:highlight w:val="none"/>
        </w:rPr>
      </w:pPr>
      <w:r>
        <w:rPr>
          <w:rFonts w:hint="eastAsia" w:ascii="宋体" w:hAnsi="宋体"/>
          <w:color w:val="auto"/>
          <w:highlight w:val="none"/>
        </w:rPr>
        <w:t>9.</w:t>
      </w:r>
      <w:r>
        <w:rPr>
          <w:rFonts w:ascii="宋体" w:hAnsi="宋体"/>
          <w:color w:val="auto"/>
          <w:highlight w:val="none"/>
        </w:rPr>
        <w:t>4</w:t>
      </w:r>
      <w:r>
        <w:rPr>
          <w:rFonts w:hint="eastAsia" w:ascii="宋体" w:hAnsi="宋体"/>
          <w:color w:val="auto"/>
          <w:highlight w:val="none"/>
        </w:rPr>
        <w:t>.</w:t>
      </w:r>
      <w:r>
        <w:rPr>
          <w:rFonts w:ascii="宋体" w:hAnsi="宋体"/>
          <w:color w:val="auto"/>
          <w:highlight w:val="none"/>
        </w:rPr>
        <w:t>1</w:t>
      </w:r>
      <w:r>
        <w:rPr>
          <w:rFonts w:hint="eastAsia" w:ascii="宋体" w:hAnsi="宋体"/>
          <w:color w:val="auto"/>
          <w:highlight w:val="none"/>
          <w:lang w:val="en-US" w:eastAsia="zh-CN"/>
        </w:rPr>
        <w:t>1</w:t>
      </w:r>
      <w:r>
        <w:rPr>
          <w:rFonts w:hint="eastAsia" w:ascii="宋体" w:hAnsi="宋体"/>
          <w:color w:val="auto"/>
          <w:highlight w:val="none"/>
        </w:rPr>
        <w:t>承包人在施工前应该根据本项目的实际情况、因地制宜编制完备的施工方案和文明、环保施工保证措施，充分</w:t>
      </w:r>
      <w:r>
        <w:rPr>
          <w:rFonts w:ascii="宋体" w:hAnsi="宋体"/>
          <w:color w:val="auto"/>
          <w:highlight w:val="none"/>
        </w:rPr>
        <w:t>考虑并</w:t>
      </w:r>
      <w:r>
        <w:rPr>
          <w:rFonts w:hint="eastAsia" w:ascii="宋体" w:hAnsi="宋体"/>
          <w:color w:val="auto"/>
          <w:highlight w:val="none"/>
        </w:rPr>
        <w:t>严格执行国家、地方政府、发包人等相关文件制定的关于配合实施“五水共治”的相关规定及</w:t>
      </w:r>
      <w:r>
        <w:rPr>
          <w:rFonts w:ascii="宋体" w:hAnsi="宋体"/>
          <w:color w:val="auto"/>
          <w:highlight w:val="none"/>
        </w:rPr>
        <w:t>后续可能出台的规</w:t>
      </w:r>
      <w:r>
        <w:rPr>
          <w:rFonts w:hint="eastAsia" w:ascii="宋体" w:hAnsi="宋体"/>
          <w:color w:val="auto"/>
          <w:highlight w:val="none"/>
        </w:rPr>
        <w:t>定、要求，施工前按照相关部门的规定要求，制定完善可行的环保监控、洒水防尘、车辆冲洗、道路清扫、防震、防噪措施，同时减少对施工周边地区的干扰。承包人为完成上述工作而可能发生的全部费用计入投标报价中，发包人将不另行支付。如因承包人采取措施不力，造成的一切损失或由于上述原因造成工期的拖延或施工费用的增加，均由承包人自行承担。</w:t>
      </w:r>
    </w:p>
    <w:p w14:paraId="103A2EB1">
      <w:pPr>
        <w:pStyle w:val="56"/>
        <w:tabs>
          <w:tab w:val="left" w:pos="2790"/>
        </w:tabs>
        <w:spacing w:line="400" w:lineRule="exact"/>
        <w:ind w:firstLine="420" w:firstLineChars="200"/>
        <w:rPr>
          <w:rFonts w:ascii="宋体" w:hAnsi="宋体"/>
          <w:color w:val="auto"/>
          <w:highlight w:val="none"/>
        </w:rPr>
      </w:pPr>
      <w:r>
        <w:rPr>
          <w:rFonts w:hint="eastAsia" w:ascii="宋体" w:hAnsi="宋体"/>
          <w:color w:val="auto"/>
          <w:highlight w:val="none"/>
        </w:rPr>
        <w:t>9.</w:t>
      </w:r>
      <w:r>
        <w:rPr>
          <w:rFonts w:ascii="宋体" w:hAnsi="宋体"/>
          <w:color w:val="auto"/>
          <w:highlight w:val="none"/>
        </w:rPr>
        <w:t>4</w:t>
      </w:r>
      <w:r>
        <w:rPr>
          <w:rFonts w:hint="eastAsia" w:ascii="宋体" w:hAnsi="宋体"/>
          <w:color w:val="auto"/>
          <w:highlight w:val="none"/>
        </w:rPr>
        <w:t>.</w:t>
      </w:r>
      <w:r>
        <w:rPr>
          <w:rFonts w:ascii="宋体" w:hAnsi="宋体"/>
          <w:color w:val="auto"/>
          <w:highlight w:val="none"/>
        </w:rPr>
        <w:t>1</w:t>
      </w:r>
      <w:r>
        <w:rPr>
          <w:rFonts w:hint="eastAsia" w:ascii="宋体" w:hAnsi="宋体"/>
          <w:color w:val="auto"/>
          <w:highlight w:val="none"/>
          <w:lang w:val="en-US" w:eastAsia="zh-CN"/>
        </w:rPr>
        <w:t>2</w:t>
      </w:r>
      <w:r>
        <w:rPr>
          <w:rFonts w:hint="eastAsia" w:ascii="宋体" w:hAnsi="宋体"/>
          <w:color w:val="auto"/>
          <w:highlight w:val="none"/>
        </w:rPr>
        <w:t>承包人在施工中应当贯彻“不破坏就是最大的保护”思想，尊重自然植被地貌，原则上不准在主线视线范围内设置借土场（取土坑）、弃土场（弃渣场），确需要的，承包人须采取复绿、排水及防护等措施，保证公路沿线美观、和谐、环保。</w:t>
      </w:r>
      <w:r>
        <w:rPr>
          <w:rFonts w:hint="eastAsia" w:ascii="宋体" w:hAnsi="宋体"/>
          <w:color w:val="auto"/>
          <w:highlight w:val="none"/>
        </w:rPr>
        <w:cr/>
      </w:r>
      <w:r>
        <w:rPr>
          <w:rFonts w:hint="eastAsia" w:ascii="宋体" w:hAnsi="宋体"/>
          <w:color w:val="auto"/>
          <w:highlight w:val="none"/>
        </w:rPr>
        <w:t xml:space="preserve">    承包人对借土场（取土坑）、弃土场（弃渣场）以及其他临时用地须由承包人自行调查确定，设计图纸提供的弃土场仅供承包人参考，选取工作须报监理人审批、发包人同意，并履行相关职能部门的报批程序后，方可开展施工，所采取的复绿、复耕、排水及防护等措施须通过相关部门的环评、水保、土地等验收，承包人所采取的所有措施以及因此增加的费用应认为已包括在投标价之中，发包人不另行支付。若承包人无视借、弃土场的环保、水保等</w:t>
      </w:r>
      <w:r>
        <w:rPr>
          <w:rFonts w:ascii="宋体" w:hAnsi="宋体"/>
          <w:color w:val="auto"/>
          <w:highlight w:val="none"/>
        </w:rPr>
        <w:t>的</w:t>
      </w:r>
      <w:r>
        <w:rPr>
          <w:rFonts w:hint="eastAsia" w:ascii="宋体" w:hAnsi="宋体"/>
          <w:color w:val="auto"/>
          <w:highlight w:val="none"/>
        </w:rPr>
        <w:t>处理要求，发包人有权指定第三方专业施工队伍履行承包人的上述义务，因此所发生的所有费用将在承包人的计量款中直接扣除。</w:t>
      </w:r>
    </w:p>
    <w:p w14:paraId="6352D4B6">
      <w:pPr>
        <w:pStyle w:val="44"/>
        <w:spacing w:line="400" w:lineRule="exact"/>
        <w:ind w:firstLine="420" w:firstLineChars="200"/>
        <w:rPr>
          <w:rFonts w:hint="eastAsia" w:ascii="宋体" w:hAnsi="宋体"/>
          <w:color w:val="auto"/>
          <w:highlight w:val="none"/>
        </w:rPr>
      </w:pPr>
      <w:r>
        <w:rPr>
          <w:rFonts w:hint="eastAsia" w:ascii="宋体" w:hAnsi="宋体"/>
          <w:color w:val="auto"/>
          <w:highlight w:val="none"/>
        </w:rPr>
        <w:t xml:space="preserve"> 承包人应对红线范围外的林木进行保护，施工过程中不得超出本项目红线砍伐树木，否则由此引起的纠纷及损失均由承包人自行负责。 </w:t>
      </w:r>
    </w:p>
    <w:p w14:paraId="36FE2383">
      <w:pPr>
        <w:pStyle w:val="44"/>
        <w:spacing w:line="400" w:lineRule="exact"/>
        <w:outlineLvl w:val="2"/>
        <w:rPr>
          <w:rFonts w:hint="eastAsia" w:ascii="宋体" w:hAnsi="宋体"/>
          <w:color w:val="auto"/>
          <w:sz w:val="28"/>
          <w:szCs w:val="28"/>
          <w:highlight w:val="none"/>
        </w:rPr>
      </w:pPr>
      <w:bookmarkStart w:id="699" w:name="_Toc9074"/>
      <w:r>
        <w:rPr>
          <w:rFonts w:hint="eastAsia" w:ascii="宋体" w:hAnsi="宋体"/>
          <w:color w:val="auto"/>
          <w:sz w:val="28"/>
          <w:szCs w:val="28"/>
          <w:highlight w:val="none"/>
        </w:rPr>
        <w:t>10. 进度计划</w:t>
      </w:r>
      <w:bookmarkEnd w:id="699"/>
    </w:p>
    <w:p w14:paraId="0A8416C5">
      <w:pPr>
        <w:pStyle w:val="44"/>
        <w:spacing w:line="400" w:lineRule="exact"/>
        <w:outlineLvl w:val="3"/>
        <w:rPr>
          <w:rFonts w:hint="eastAsia" w:ascii="宋体" w:hAnsi="宋体"/>
          <w:color w:val="auto"/>
          <w:highlight w:val="none"/>
        </w:rPr>
      </w:pPr>
      <w:r>
        <w:rPr>
          <w:rFonts w:hint="eastAsia" w:ascii="宋体" w:hAnsi="宋体"/>
          <w:color w:val="auto"/>
          <w:highlight w:val="none"/>
        </w:rPr>
        <w:t>10.1  合同进度计划</w:t>
      </w:r>
    </w:p>
    <w:p w14:paraId="37F7237B">
      <w:pPr>
        <w:pStyle w:val="44"/>
        <w:keepNext w:val="0"/>
        <w:keepLines w:val="0"/>
        <w:pageBreakBefore w:val="0"/>
        <w:kinsoku/>
        <w:wordWrap/>
        <w:overflowPunct/>
        <w:topLinePunct w:val="0"/>
        <w:bidi w:val="0"/>
        <w:adjustRightInd/>
        <w:snapToGrid/>
        <w:spacing w:line="400" w:lineRule="exact"/>
        <w:ind w:firstLine="435"/>
        <w:textAlignment w:val="auto"/>
        <w:rPr>
          <w:rFonts w:hint="eastAsia" w:ascii="宋体" w:hAnsi="宋体" w:eastAsia="宋体"/>
          <w:color w:val="auto"/>
          <w:highlight w:val="none"/>
        </w:rPr>
      </w:pPr>
      <w:r>
        <w:rPr>
          <w:rFonts w:hint="eastAsia" w:ascii="宋体" w:hAnsi="宋体"/>
          <w:color w:val="auto"/>
          <w:highlight w:val="none"/>
        </w:rPr>
        <w:t>第10.1款细化为：</w:t>
      </w:r>
    </w:p>
    <w:p w14:paraId="0C67F82C">
      <w:pPr>
        <w:pStyle w:val="44"/>
        <w:keepNext w:val="0"/>
        <w:keepLines w:val="0"/>
        <w:pageBreakBefore w:val="0"/>
        <w:widowControl w:val="0"/>
        <w:kinsoku/>
        <w:wordWrap/>
        <w:overflowPunct/>
        <w:topLinePunct w:val="0"/>
        <w:autoSpaceDE/>
        <w:autoSpaceDN/>
        <w:bidi w:val="0"/>
        <w:adjustRightInd/>
        <w:snapToGrid/>
        <w:spacing w:line="400" w:lineRule="exact"/>
        <w:ind w:firstLine="437"/>
        <w:textAlignment w:val="auto"/>
        <w:rPr>
          <w:rFonts w:hint="eastAsia" w:ascii="宋体" w:hAnsi="宋体"/>
          <w:color w:val="auto"/>
          <w:highlight w:val="none"/>
        </w:rPr>
      </w:pPr>
      <w:r>
        <w:rPr>
          <w:rFonts w:hint="eastAsia" w:ascii="宋体" w:hAnsi="宋体"/>
          <w:color w:val="auto"/>
          <w:highlight w:val="none"/>
        </w:rPr>
        <w:t>承包人编制施工方案的内容应包括（但不限于）：</w:t>
      </w:r>
    </w:p>
    <w:p w14:paraId="0ADE8CF0">
      <w:pPr>
        <w:pStyle w:val="44"/>
        <w:keepNext w:val="0"/>
        <w:keepLines w:val="0"/>
        <w:pageBreakBefore w:val="0"/>
        <w:widowControl w:val="0"/>
        <w:kinsoku/>
        <w:wordWrap/>
        <w:overflowPunct/>
        <w:topLinePunct w:val="0"/>
        <w:autoSpaceDE/>
        <w:autoSpaceDN/>
        <w:bidi w:val="0"/>
        <w:adjustRightInd/>
        <w:snapToGrid/>
        <w:spacing w:line="400" w:lineRule="exact"/>
        <w:ind w:firstLine="437"/>
        <w:textAlignment w:val="auto"/>
        <w:rPr>
          <w:rFonts w:hint="eastAsia" w:ascii="宋体" w:hAnsi="宋体"/>
          <w:color w:val="auto"/>
          <w:highlight w:val="none"/>
        </w:rPr>
      </w:pPr>
      <w:r>
        <w:rPr>
          <w:rFonts w:hint="eastAsia" w:ascii="宋体" w:hAnsi="宋体"/>
          <w:color w:val="auto"/>
          <w:highlight w:val="none"/>
        </w:rPr>
        <w:t>(1)</w:t>
      </w:r>
      <w:r>
        <w:rPr>
          <w:rFonts w:hint="eastAsia" w:ascii="宋体" w:hAnsi="宋体" w:eastAsia="宋体"/>
          <w:color w:val="auto"/>
          <w:highlight w:val="none"/>
          <w:lang w:val="en-US" w:eastAsia="zh-CN"/>
        </w:rPr>
        <w:t>施工组织及现场布置</w:t>
      </w:r>
      <w:r>
        <w:rPr>
          <w:rFonts w:hint="eastAsia" w:ascii="宋体" w:hAnsi="宋体"/>
          <w:color w:val="auto"/>
          <w:highlight w:val="none"/>
        </w:rPr>
        <w:t xml:space="preserve"> （包括交通组织方案）</w:t>
      </w:r>
    </w:p>
    <w:p w14:paraId="1587BC45">
      <w:pPr>
        <w:pStyle w:val="9"/>
        <w:keepNext w:val="0"/>
        <w:keepLines w:val="0"/>
        <w:pageBreakBefore w:val="0"/>
        <w:tabs>
          <w:tab w:val="left" w:pos="2790"/>
        </w:tabs>
        <w:kinsoku/>
        <w:wordWrap/>
        <w:overflowPunct/>
        <w:topLinePunct w:val="0"/>
        <w:bidi w:val="0"/>
        <w:adjustRightInd/>
        <w:snapToGrid/>
        <w:spacing w:line="400" w:lineRule="exact"/>
        <w:ind w:firstLine="420" w:firstLineChars="200"/>
        <w:textAlignment w:val="auto"/>
        <w:rPr>
          <w:rFonts w:hint="eastAsia" w:ascii="宋体" w:hAnsi="宋体" w:eastAsia="宋体"/>
          <w:color w:val="auto"/>
          <w:highlight w:val="none"/>
          <w:lang w:val="en-US" w:eastAsia="zh-CN"/>
        </w:rPr>
      </w:pPr>
      <w:r>
        <w:rPr>
          <w:rFonts w:hint="eastAsia" w:ascii="宋体" w:hAnsi="宋体"/>
          <w:color w:val="auto"/>
          <w:highlight w:val="none"/>
        </w:rPr>
        <w:t>(2)</w:t>
      </w:r>
      <w:r>
        <w:rPr>
          <w:rFonts w:hint="eastAsia" w:ascii="宋体" w:hAnsi="宋体" w:eastAsia="宋体"/>
          <w:color w:val="auto"/>
          <w:highlight w:val="none"/>
          <w:lang w:val="en-US" w:eastAsia="zh-CN"/>
        </w:rPr>
        <w:t>技术人员配置及劳动力安排</w:t>
      </w:r>
    </w:p>
    <w:p w14:paraId="25618611">
      <w:pPr>
        <w:pStyle w:val="11"/>
        <w:keepNext w:val="0"/>
        <w:keepLines w:val="0"/>
        <w:pageBreakBefore w:val="0"/>
        <w:kinsoku/>
        <w:wordWrap/>
        <w:overflowPunct/>
        <w:topLinePunct w:val="0"/>
        <w:bidi w:val="0"/>
        <w:adjustRightInd/>
        <w:snapToGrid/>
        <w:spacing w:line="400" w:lineRule="exact"/>
        <w:textAlignment w:val="auto"/>
        <w:rPr>
          <w:rFonts w:hint="default" w:eastAsia="宋体"/>
          <w:color w:val="auto"/>
          <w:highlight w:val="none"/>
          <w:lang w:val="en-US" w:eastAsia="zh-CN"/>
        </w:rPr>
      </w:pPr>
      <w:r>
        <w:rPr>
          <w:rFonts w:hint="eastAsia" w:ascii="宋体" w:hAnsi="宋体"/>
          <w:color w:val="auto"/>
          <w:highlight w:val="none"/>
        </w:rPr>
        <w:t>(3)</w:t>
      </w:r>
      <w:r>
        <w:rPr>
          <w:rFonts w:hint="eastAsia" w:ascii="宋体" w:hAnsi="宋体"/>
          <w:color w:val="auto"/>
          <w:highlight w:val="none"/>
          <w:lang w:val="en-US" w:eastAsia="zh-CN"/>
        </w:rPr>
        <w:t>养护设备配置（包括质量检测设备）</w:t>
      </w:r>
    </w:p>
    <w:p w14:paraId="1D5035DD">
      <w:pPr>
        <w:pStyle w:val="9"/>
        <w:keepNext w:val="0"/>
        <w:keepLines w:val="0"/>
        <w:pageBreakBefore w:val="0"/>
        <w:tabs>
          <w:tab w:val="left" w:pos="2790"/>
        </w:tabs>
        <w:kinsoku/>
        <w:wordWrap/>
        <w:overflowPunct/>
        <w:topLinePunct w:val="0"/>
        <w:bidi w:val="0"/>
        <w:adjustRightInd/>
        <w:snapToGrid/>
        <w:spacing w:line="400" w:lineRule="exact"/>
        <w:ind w:firstLine="420" w:firstLineChars="200"/>
        <w:textAlignment w:val="auto"/>
        <w:rPr>
          <w:rFonts w:hint="eastAsia" w:ascii="宋体" w:hAnsi="宋体" w:cs="宋体"/>
          <w:color w:val="auto"/>
          <w:szCs w:val="21"/>
          <w:highlight w:val="none"/>
        </w:rPr>
      </w:pPr>
      <w:r>
        <w:rPr>
          <w:rFonts w:hint="eastAsia" w:ascii="宋体" w:hAnsi="宋体"/>
          <w:color w:val="auto"/>
          <w:highlight w:val="none"/>
        </w:rPr>
        <w:t>(</w:t>
      </w:r>
      <w:r>
        <w:rPr>
          <w:rFonts w:hint="eastAsia" w:ascii="宋体" w:hAnsi="宋体" w:eastAsia="宋体"/>
          <w:color w:val="auto"/>
          <w:highlight w:val="none"/>
          <w:lang w:val="en-US" w:eastAsia="zh-CN"/>
        </w:rPr>
        <w:t>4</w:t>
      </w:r>
      <w:r>
        <w:rPr>
          <w:rFonts w:hint="eastAsia" w:ascii="宋体" w:hAnsi="宋体"/>
          <w:color w:val="auto"/>
          <w:highlight w:val="none"/>
        </w:rPr>
        <w:t>)</w:t>
      </w:r>
      <w:r>
        <w:rPr>
          <w:rFonts w:hint="eastAsia" w:ascii="宋体" w:hAnsi="宋体" w:eastAsia="宋体"/>
          <w:color w:val="auto"/>
          <w:highlight w:val="none"/>
          <w:lang w:val="en-US" w:eastAsia="zh-CN"/>
        </w:rPr>
        <w:t>养护</w:t>
      </w:r>
      <w:r>
        <w:rPr>
          <w:rFonts w:hint="eastAsia" w:ascii="宋体" w:hAnsi="宋体"/>
          <w:color w:val="auto"/>
          <w:highlight w:val="none"/>
        </w:rPr>
        <w:t>技术</w:t>
      </w:r>
      <w:r>
        <w:rPr>
          <w:rFonts w:hint="eastAsia" w:ascii="宋体" w:hAnsi="宋体" w:eastAsia="宋体"/>
          <w:color w:val="auto"/>
          <w:highlight w:val="none"/>
          <w:lang w:val="en-US" w:eastAsia="zh-CN"/>
        </w:rPr>
        <w:t>方案及</w:t>
      </w:r>
      <w:r>
        <w:rPr>
          <w:rFonts w:hint="eastAsia" w:ascii="宋体" w:hAnsi="宋体"/>
          <w:color w:val="auto"/>
          <w:highlight w:val="none"/>
        </w:rPr>
        <w:t>措施</w:t>
      </w:r>
      <w:r>
        <w:rPr>
          <w:rFonts w:hint="eastAsia" w:ascii="宋体" w:hAnsi="宋体" w:cs="宋体"/>
          <w:color w:val="auto"/>
          <w:szCs w:val="21"/>
          <w:highlight w:val="none"/>
        </w:rPr>
        <w:t>（尤其对重点、关键和难点工程的施工方案、方法及其措施）</w:t>
      </w:r>
    </w:p>
    <w:p w14:paraId="4D581465">
      <w:pPr>
        <w:pStyle w:val="44"/>
        <w:spacing w:line="400" w:lineRule="exact"/>
        <w:ind w:firstLine="435"/>
        <w:rPr>
          <w:rFonts w:hint="eastAsia" w:ascii="宋体" w:hAnsi="宋体"/>
          <w:color w:val="auto"/>
          <w:highlight w:val="none"/>
        </w:rPr>
      </w:pPr>
      <w:r>
        <w:rPr>
          <w:rFonts w:hint="eastAsia" w:ascii="宋体" w:hAnsi="宋体"/>
          <w:color w:val="auto"/>
          <w:highlight w:val="none"/>
        </w:rPr>
        <w:t>(</w:t>
      </w:r>
      <w:r>
        <w:rPr>
          <w:rFonts w:hint="eastAsia" w:ascii="宋体" w:hAnsi="宋体" w:eastAsia="宋体"/>
          <w:color w:val="auto"/>
          <w:highlight w:val="none"/>
          <w:lang w:val="en-US" w:eastAsia="zh-CN"/>
        </w:rPr>
        <w:t>5</w:t>
      </w:r>
      <w:r>
        <w:rPr>
          <w:rFonts w:hint="eastAsia" w:ascii="宋体" w:hAnsi="宋体"/>
          <w:color w:val="auto"/>
          <w:highlight w:val="none"/>
        </w:rPr>
        <w:t>)</w:t>
      </w:r>
      <w:r>
        <w:rPr>
          <w:rFonts w:hint="eastAsia" w:ascii="宋体" w:hAnsi="宋体" w:eastAsia="宋体"/>
          <w:color w:val="auto"/>
          <w:highlight w:val="none"/>
          <w:lang w:val="en-US" w:eastAsia="zh-CN"/>
        </w:rPr>
        <w:t>质量、安全、进度、文明作业保证和保畅</w:t>
      </w:r>
    </w:p>
    <w:p w14:paraId="3A0AAF44">
      <w:pPr>
        <w:pStyle w:val="44"/>
        <w:spacing w:line="400" w:lineRule="exact"/>
        <w:ind w:firstLine="435"/>
        <w:rPr>
          <w:rFonts w:hint="eastAsia" w:ascii="宋体" w:hAnsi="宋体"/>
          <w:color w:val="auto"/>
          <w:highlight w:val="none"/>
        </w:rPr>
      </w:pPr>
      <w:r>
        <w:rPr>
          <w:rFonts w:hint="eastAsia" w:ascii="宋体" w:hAnsi="宋体"/>
          <w:color w:val="auto"/>
          <w:highlight w:val="none"/>
        </w:rPr>
        <w:t>(</w:t>
      </w:r>
      <w:r>
        <w:rPr>
          <w:rFonts w:hint="eastAsia" w:ascii="宋体" w:hAnsi="宋体" w:eastAsia="宋体"/>
          <w:color w:val="auto"/>
          <w:highlight w:val="none"/>
          <w:lang w:val="en-US" w:eastAsia="zh-CN"/>
        </w:rPr>
        <w:t>6</w:t>
      </w:r>
      <w:r>
        <w:rPr>
          <w:rFonts w:hint="eastAsia" w:ascii="宋体" w:hAnsi="宋体"/>
          <w:color w:val="auto"/>
          <w:highlight w:val="none"/>
        </w:rPr>
        <w:t>)</w:t>
      </w:r>
      <w:r>
        <w:rPr>
          <w:rFonts w:hint="eastAsia" w:ascii="宋体" w:hAnsi="宋体" w:eastAsia="宋体"/>
          <w:color w:val="auto"/>
          <w:highlight w:val="none"/>
          <w:lang w:val="en-US" w:eastAsia="zh-CN"/>
        </w:rPr>
        <w:t>环境保护</w:t>
      </w:r>
      <w:r>
        <w:rPr>
          <w:rFonts w:hint="eastAsia" w:ascii="宋体" w:hAnsi="宋体"/>
          <w:color w:val="auto"/>
          <w:highlight w:val="none"/>
        </w:rPr>
        <w:t>措施</w:t>
      </w:r>
    </w:p>
    <w:p w14:paraId="76C4B989">
      <w:pPr>
        <w:pStyle w:val="44"/>
        <w:spacing w:line="400" w:lineRule="exact"/>
        <w:ind w:firstLine="435"/>
        <w:rPr>
          <w:rFonts w:hint="eastAsia" w:ascii="宋体" w:hAnsi="宋体"/>
          <w:color w:val="auto"/>
          <w:highlight w:val="none"/>
        </w:rPr>
      </w:pPr>
      <w:r>
        <w:rPr>
          <w:rFonts w:hint="eastAsia" w:ascii="宋体" w:hAnsi="宋体"/>
          <w:color w:val="auto"/>
          <w:highlight w:val="none"/>
        </w:rPr>
        <w:t>(</w:t>
      </w:r>
      <w:r>
        <w:rPr>
          <w:rFonts w:hint="eastAsia" w:ascii="宋体" w:hAnsi="宋体" w:eastAsia="宋体"/>
          <w:color w:val="auto"/>
          <w:highlight w:val="none"/>
          <w:lang w:val="en-US" w:eastAsia="zh-CN"/>
        </w:rPr>
        <w:t>7</w:t>
      </w:r>
      <w:r>
        <w:rPr>
          <w:rFonts w:hint="eastAsia" w:ascii="宋体" w:hAnsi="宋体"/>
          <w:color w:val="auto"/>
          <w:highlight w:val="none"/>
        </w:rPr>
        <w:t>)项目风险预测与防范，事故应急预案</w:t>
      </w:r>
    </w:p>
    <w:p w14:paraId="24283D48">
      <w:pPr>
        <w:pStyle w:val="44"/>
        <w:spacing w:line="400" w:lineRule="exact"/>
        <w:ind w:firstLine="435"/>
        <w:rPr>
          <w:rFonts w:hint="eastAsia" w:ascii="宋体" w:hAnsi="宋体"/>
          <w:color w:val="auto"/>
          <w:highlight w:val="none"/>
        </w:rPr>
      </w:pPr>
      <w:r>
        <w:rPr>
          <w:rFonts w:hint="eastAsia" w:ascii="宋体" w:hAnsi="宋体"/>
          <w:color w:val="auto"/>
          <w:highlight w:val="none"/>
        </w:rPr>
        <w:t>(</w:t>
      </w:r>
      <w:r>
        <w:rPr>
          <w:rFonts w:hint="eastAsia" w:ascii="宋体" w:hAnsi="宋体" w:eastAsia="宋体"/>
          <w:color w:val="auto"/>
          <w:highlight w:val="none"/>
          <w:lang w:val="en-US" w:eastAsia="zh-CN"/>
        </w:rPr>
        <w:t>8</w:t>
      </w:r>
      <w:r>
        <w:rPr>
          <w:rFonts w:hint="eastAsia" w:ascii="宋体" w:hAnsi="宋体"/>
          <w:color w:val="auto"/>
          <w:highlight w:val="none"/>
        </w:rPr>
        <w:t>)其他应说明的事项</w:t>
      </w:r>
    </w:p>
    <w:p w14:paraId="350BE910">
      <w:pPr>
        <w:pStyle w:val="44"/>
        <w:spacing w:line="400" w:lineRule="exact"/>
        <w:outlineLvl w:val="2"/>
        <w:rPr>
          <w:rFonts w:hint="eastAsia" w:ascii="宋体" w:hAnsi="宋体"/>
          <w:color w:val="auto"/>
          <w:sz w:val="28"/>
          <w:szCs w:val="28"/>
          <w:highlight w:val="none"/>
        </w:rPr>
      </w:pPr>
      <w:bookmarkStart w:id="700" w:name="_Toc19071"/>
      <w:r>
        <w:rPr>
          <w:rFonts w:hint="eastAsia" w:ascii="宋体" w:hAnsi="宋体"/>
          <w:color w:val="auto"/>
          <w:sz w:val="28"/>
          <w:szCs w:val="28"/>
          <w:highlight w:val="none"/>
        </w:rPr>
        <w:t>11. 开工和交工</w:t>
      </w:r>
      <w:bookmarkEnd w:id="700"/>
    </w:p>
    <w:p w14:paraId="38CFF1A3">
      <w:pPr>
        <w:pStyle w:val="44"/>
        <w:spacing w:line="400" w:lineRule="exact"/>
        <w:outlineLvl w:val="3"/>
        <w:rPr>
          <w:rFonts w:hint="eastAsia" w:ascii="宋体" w:hAnsi="宋体"/>
          <w:color w:val="auto"/>
          <w:highlight w:val="none"/>
        </w:rPr>
      </w:pPr>
      <w:r>
        <w:rPr>
          <w:rFonts w:hint="eastAsia" w:ascii="宋体" w:hAnsi="宋体"/>
          <w:color w:val="auto"/>
          <w:highlight w:val="none"/>
        </w:rPr>
        <w:t>11.4  异常恶劣的气候条件</w:t>
      </w:r>
    </w:p>
    <w:p w14:paraId="67A98DD4">
      <w:pPr>
        <w:pStyle w:val="44"/>
        <w:spacing w:line="400" w:lineRule="exact"/>
        <w:ind w:firstLine="420" w:firstLineChars="200"/>
        <w:rPr>
          <w:rFonts w:hint="eastAsia" w:ascii="宋体" w:hAnsi="宋体"/>
          <w:color w:val="auto"/>
          <w:highlight w:val="none"/>
        </w:rPr>
      </w:pPr>
      <w:r>
        <w:rPr>
          <w:rFonts w:hint="eastAsia" w:ascii="宋体" w:hAnsi="宋体" w:eastAsia="宋体"/>
          <w:color w:val="auto"/>
          <w:highlight w:val="none"/>
          <w:lang w:val="en-US" w:eastAsia="zh-CN"/>
        </w:rPr>
        <w:t>第</w:t>
      </w:r>
      <w:r>
        <w:rPr>
          <w:rFonts w:hint="eastAsia" w:ascii="宋体" w:hAnsi="宋体"/>
          <w:color w:val="auto"/>
          <w:highlight w:val="none"/>
        </w:rPr>
        <w:t>11.4款约定为：</w:t>
      </w:r>
    </w:p>
    <w:p w14:paraId="34949710">
      <w:pPr>
        <w:pStyle w:val="44"/>
        <w:spacing w:line="400" w:lineRule="exact"/>
        <w:ind w:firstLine="420" w:firstLineChars="200"/>
        <w:rPr>
          <w:rFonts w:hint="eastAsia" w:ascii="宋体" w:hAnsi="宋体"/>
          <w:color w:val="auto"/>
          <w:highlight w:val="none"/>
        </w:rPr>
      </w:pPr>
      <w:r>
        <w:rPr>
          <w:rFonts w:hint="eastAsia" w:ascii="宋体" w:hAnsi="宋体"/>
          <w:color w:val="auto"/>
          <w:highlight w:val="none"/>
        </w:rPr>
        <w:t>(1)异常恶劣的气候条件，对本项目而言，是指发生龙卷风、工地受淹、超过桥梁设计洪水位以及不利降水等引起延误的情况。</w:t>
      </w:r>
    </w:p>
    <w:p w14:paraId="530BAEB8">
      <w:pPr>
        <w:pStyle w:val="44"/>
        <w:spacing w:line="400" w:lineRule="exact"/>
        <w:ind w:firstLine="420" w:firstLineChars="200"/>
        <w:rPr>
          <w:rFonts w:hint="eastAsia" w:ascii="宋体" w:hAnsi="宋体"/>
          <w:color w:val="auto"/>
          <w:highlight w:val="none"/>
        </w:rPr>
      </w:pPr>
      <w:r>
        <w:rPr>
          <w:rFonts w:hint="eastAsia" w:ascii="宋体" w:hAnsi="宋体"/>
          <w:color w:val="auto"/>
          <w:highlight w:val="none"/>
        </w:rPr>
        <w:t>(2)不利降水的衡量标准为：</w:t>
      </w:r>
    </w:p>
    <w:p w14:paraId="44492D0E">
      <w:pPr>
        <w:pStyle w:val="44"/>
        <w:spacing w:line="400" w:lineRule="exact"/>
        <w:ind w:firstLine="420" w:firstLineChars="200"/>
        <w:rPr>
          <w:rFonts w:hint="eastAsia" w:ascii="宋体" w:hAnsi="宋体"/>
          <w:color w:val="auto"/>
          <w:highlight w:val="none"/>
        </w:rPr>
      </w:pPr>
      <w:r>
        <w:rPr>
          <w:rFonts w:hint="eastAsia" w:ascii="宋体" w:hAnsi="宋体"/>
          <w:color w:val="auto"/>
          <w:highlight w:val="none"/>
        </w:rPr>
        <w:t>a.按本省气象部门统计的项目所在地降水资料，取最近二十年的平均降水天数为标准；</w:t>
      </w:r>
    </w:p>
    <w:p w14:paraId="50AAD66C">
      <w:pPr>
        <w:pStyle w:val="44"/>
        <w:spacing w:line="400" w:lineRule="exact"/>
        <w:ind w:firstLine="420" w:firstLineChars="200"/>
        <w:rPr>
          <w:rFonts w:hint="eastAsia" w:ascii="宋体" w:hAnsi="宋体"/>
          <w:color w:val="auto"/>
          <w:highlight w:val="none"/>
        </w:rPr>
      </w:pPr>
      <w:r>
        <w:rPr>
          <w:rFonts w:hint="eastAsia" w:ascii="宋体" w:hAnsi="宋体"/>
          <w:color w:val="auto"/>
          <w:highlight w:val="none"/>
        </w:rPr>
        <w:t>b.按项目所在地实际统计的年降水天数与a所指的年降水天数之差，每年计算一次。</w:t>
      </w:r>
    </w:p>
    <w:p w14:paraId="55D85BBF">
      <w:pPr>
        <w:pStyle w:val="44"/>
        <w:spacing w:line="400" w:lineRule="exact"/>
        <w:ind w:firstLine="420" w:firstLineChars="200"/>
        <w:rPr>
          <w:rFonts w:hint="eastAsia" w:ascii="宋体" w:hAnsi="宋体"/>
          <w:color w:val="auto"/>
          <w:highlight w:val="none"/>
        </w:rPr>
      </w:pPr>
      <w:r>
        <w:rPr>
          <w:rFonts w:hint="eastAsia" w:ascii="宋体" w:hAnsi="宋体"/>
          <w:color w:val="auto"/>
          <w:highlight w:val="none"/>
        </w:rPr>
        <w:t>(3)异常恶劣气候的时间，监理人将根据承包人的申请和提交的证明予以评定，但在评定时还将考虑按同等标准，用施工期限内其它月份良好的气候的时间予以抵补。恶劣气候在每个月对工程进度影响的评定，应在整个合同期内予以累计。</w:t>
      </w:r>
    </w:p>
    <w:p w14:paraId="37E455B2">
      <w:pPr>
        <w:pStyle w:val="44"/>
        <w:spacing w:line="400" w:lineRule="exact"/>
        <w:ind w:firstLine="420" w:firstLineChars="200"/>
        <w:rPr>
          <w:rFonts w:hint="eastAsia" w:ascii="宋体" w:hAnsi="宋体"/>
          <w:color w:val="auto"/>
          <w:highlight w:val="none"/>
        </w:rPr>
      </w:pPr>
      <w:r>
        <w:rPr>
          <w:rFonts w:hint="eastAsia" w:ascii="宋体" w:hAnsi="宋体"/>
          <w:color w:val="auto"/>
          <w:highlight w:val="none"/>
        </w:rPr>
        <w:t>(4)若恶劣气候只是对局部工程有影响，承包人应采取合同措施予以弥补，而不能推迟工程的总工期。</w:t>
      </w:r>
    </w:p>
    <w:p w14:paraId="030B399E">
      <w:pPr>
        <w:pStyle w:val="44"/>
        <w:spacing w:line="400" w:lineRule="exact"/>
        <w:ind w:firstLine="420" w:firstLineChars="200"/>
        <w:rPr>
          <w:rFonts w:hint="eastAsia" w:ascii="宋体" w:hAnsi="宋体"/>
          <w:color w:val="auto"/>
          <w:highlight w:val="none"/>
        </w:rPr>
      </w:pPr>
      <w:r>
        <w:rPr>
          <w:rFonts w:hint="eastAsia" w:ascii="宋体" w:hAnsi="宋体"/>
          <w:color w:val="auto"/>
          <w:highlight w:val="none"/>
        </w:rPr>
        <w:t>(5)受本款所述的恶劣气候影响的分项工程，必须在工程施工进度网络计划的关键线路上，监理人方能考虑延长工程总工期。</w:t>
      </w:r>
    </w:p>
    <w:p w14:paraId="34AA8F1C">
      <w:pPr>
        <w:pStyle w:val="44"/>
        <w:spacing w:line="400" w:lineRule="exact"/>
        <w:outlineLvl w:val="2"/>
        <w:rPr>
          <w:rFonts w:hint="eastAsia" w:ascii="宋体" w:hAnsi="宋体"/>
          <w:color w:val="auto"/>
          <w:sz w:val="28"/>
          <w:szCs w:val="28"/>
          <w:highlight w:val="none"/>
        </w:rPr>
      </w:pPr>
      <w:bookmarkStart w:id="701" w:name="_Toc9469"/>
      <w:r>
        <w:rPr>
          <w:rFonts w:hint="eastAsia" w:ascii="宋体" w:hAnsi="宋体"/>
          <w:color w:val="auto"/>
          <w:sz w:val="28"/>
          <w:szCs w:val="28"/>
          <w:highlight w:val="none"/>
        </w:rPr>
        <w:t>12. 暂停施工</w:t>
      </w:r>
      <w:bookmarkEnd w:id="701"/>
    </w:p>
    <w:p w14:paraId="63F72DBD">
      <w:pPr>
        <w:pStyle w:val="44"/>
        <w:spacing w:line="400" w:lineRule="exact"/>
        <w:outlineLvl w:val="3"/>
        <w:rPr>
          <w:rFonts w:hint="eastAsia" w:ascii="宋体" w:hAnsi="宋体"/>
          <w:color w:val="auto"/>
          <w:highlight w:val="none"/>
        </w:rPr>
      </w:pPr>
      <w:r>
        <w:rPr>
          <w:rFonts w:hint="eastAsia" w:ascii="宋体" w:hAnsi="宋体"/>
          <w:color w:val="auto"/>
          <w:highlight w:val="none"/>
        </w:rPr>
        <w:t>12.1  承包人暂停施工的责任</w:t>
      </w:r>
    </w:p>
    <w:p w14:paraId="1A3C7EA7">
      <w:pPr>
        <w:pStyle w:val="44"/>
        <w:spacing w:line="400" w:lineRule="exact"/>
        <w:ind w:firstLine="420" w:firstLineChars="200"/>
        <w:rPr>
          <w:rFonts w:hint="eastAsia" w:ascii="宋体" w:hAnsi="宋体"/>
          <w:color w:val="auto"/>
          <w:highlight w:val="none"/>
        </w:rPr>
      </w:pPr>
      <w:r>
        <w:rPr>
          <w:rFonts w:hint="eastAsia" w:ascii="宋体" w:hAnsi="宋体" w:eastAsia="宋体"/>
          <w:color w:val="auto"/>
          <w:highlight w:val="none"/>
          <w:lang w:val="en-US" w:eastAsia="zh-CN"/>
        </w:rPr>
        <w:t>第</w:t>
      </w:r>
      <w:r>
        <w:rPr>
          <w:rFonts w:hint="eastAsia" w:ascii="宋体" w:hAnsi="宋体"/>
          <w:color w:val="auto"/>
          <w:highlight w:val="none"/>
        </w:rPr>
        <w:t>12.1款（6）项约定：</w:t>
      </w:r>
    </w:p>
    <w:p w14:paraId="396CD0B3">
      <w:pPr>
        <w:pStyle w:val="44"/>
        <w:numPr>
          <w:ilvl w:val="0"/>
          <w:numId w:val="1"/>
        </w:numPr>
        <w:spacing w:line="400" w:lineRule="exact"/>
        <w:ind w:firstLine="420" w:firstLineChars="200"/>
        <w:rPr>
          <w:rFonts w:hint="eastAsia" w:ascii="宋体" w:hAnsi="宋体"/>
          <w:color w:val="auto"/>
          <w:highlight w:val="none"/>
        </w:rPr>
      </w:pPr>
      <w:r>
        <w:rPr>
          <w:rFonts w:hint="eastAsia" w:ascii="宋体" w:hAnsi="宋体"/>
          <w:color w:val="auto"/>
          <w:highlight w:val="none"/>
        </w:rPr>
        <w:t>由承包人承担的其他暂停施工：</w:t>
      </w:r>
      <w:r>
        <w:rPr>
          <w:rFonts w:hint="eastAsia" w:ascii="宋体" w:hAnsi="宋体"/>
          <w:color w:val="auto"/>
          <w:highlight w:val="none"/>
          <w:u w:val="single"/>
        </w:rPr>
        <w:t xml:space="preserve">   无    </w:t>
      </w:r>
      <w:r>
        <w:rPr>
          <w:rFonts w:hint="eastAsia" w:ascii="宋体" w:hAnsi="宋体"/>
          <w:color w:val="auto"/>
          <w:highlight w:val="none"/>
        </w:rPr>
        <w:t xml:space="preserve">。 </w:t>
      </w:r>
    </w:p>
    <w:p w14:paraId="56A3A731">
      <w:pPr>
        <w:pStyle w:val="44"/>
        <w:spacing w:line="400" w:lineRule="exact"/>
        <w:outlineLvl w:val="2"/>
        <w:rPr>
          <w:rFonts w:hint="eastAsia" w:ascii="宋体" w:hAnsi="宋体"/>
          <w:color w:val="auto"/>
          <w:sz w:val="28"/>
          <w:szCs w:val="28"/>
          <w:highlight w:val="none"/>
        </w:rPr>
      </w:pPr>
      <w:bookmarkStart w:id="702" w:name="_Toc16646"/>
      <w:r>
        <w:rPr>
          <w:rFonts w:hint="eastAsia" w:ascii="宋体" w:hAnsi="宋体"/>
          <w:color w:val="auto"/>
          <w:sz w:val="28"/>
          <w:szCs w:val="28"/>
          <w:highlight w:val="none"/>
        </w:rPr>
        <w:t>13. 工程质量</w:t>
      </w:r>
      <w:bookmarkEnd w:id="702"/>
    </w:p>
    <w:p w14:paraId="49C6CC9C">
      <w:pPr>
        <w:pStyle w:val="44"/>
        <w:spacing w:line="400" w:lineRule="exact"/>
        <w:outlineLvl w:val="3"/>
        <w:rPr>
          <w:rFonts w:hint="eastAsia" w:ascii="宋体" w:hAnsi="宋体"/>
          <w:color w:val="auto"/>
          <w:highlight w:val="none"/>
        </w:rPr>
      </w:pPr>
      <w:r>
        <w:rPr>
          <w:rFonts w:hint="eastAsia" w:ascii="宋体" w:hAnsi="宋体"/>
          <w:color w:val="auto"/>
          <w:highlight w:val="none"/>
        </w:rPr>
        <w:t>13.1  工程质量要求</w:t>
      </w:r>
    </w:p>
    <w:p w14:paraId="23CEF46C">
      <w:pPr>
        <w:pStyle w:val="44"/>
        <w:spacing w:line="400" w:lineRule="exact"/>
        <w:ind w:firstLine="420" w:firstLineChars="200"/>
        <w:rPr>
          <w:rFonts w:hint="eastAsia" w:ascii="宋体" w:hAnsi="宋体"/>
          <w:color w:val="auto"/>
          <w:highlight w:val="none"/>
        </w:rPr>
      </w:pPr>
      <w:r>
        <w:rPr>
          <w:rFonts w:hint="eastAsia" w:ascii="宋体" w:hAnsi="宋体"/>
          <w:color w:val="auto"/>
          <w:highlight w:val="none"/>
        </w:rPr>
        <w:t>第13.1.1项细化为：</w:t>
      </w:r>
    </w:p>
    <w:p w14:paraId="55D49C61">
      <w:pPr>
        <w:pStyle w:val="44"/>
        <w:spacing w:line="400" w:lineRule="exact"/>
        <w:ind w:firstLine="420" w:firstLineChars="200"/>
        <w:rPr>
          <w:rFonts w:hint="eastAsia" w:ascii="宋体" w:hAnsi="宋体" w:eastAsia="宋体" w:cs="Times New Roman"/>
          <w:color w:val="auto"/>
          <w:szCs w:val="21"/>
          <w:highlight w:val="none"/>
          <w:lang w:val="en-US" w:eastAsia="zh-CN"/>
        </w:rPr>
      </w:pPr>
      <w:r>
        <w:rPr>
          <w:rFonts w:hint="eastAsia" w:ascii="宋体" w:hAnsi="宋体"/>
          <w:color w:val="auto"/>
          <w:highlight w:val="none"/>
        </w:rPr>
        <w:t>13.1.1工程质量验收按技术规范及《公路</w:t>
      </w:r>
      <w:r>
        <w:rPr>
          <w:rFonts w:hint="eastAsia" w:ascii="宋体" w:hAnsi="宋体" w:eastAsia="宋体"/>
          <w:color w:val="auto"/>
          <w:highlight w:val="none"/>
          <w:lang w:val="en-US" w:eastAsia="zh-CN"/>
        </w:rPr>
        <w:t>养护</w:t>
      </w:r>
      <w:r>
        <w:rPr>
          <w:rFonts w:hint="eastAsia" w:ascii="宋体" w:hAnsi="宋体"/>
          <w:color w:val="auto"/>
          <w:highlight w:val="none"/>
        </w:rPr>
        <w:t>工程质量检验评定标准》</w:t>
      </w:r>
      <w:r>
        <w:rPr>
          <w:rFonts w:hint="eastAsia" w:ascii="宋体" w:hAnsi="宋体" w:eastAsia="宋体"/>
          <w:color w:val="auto"/>
          <w:highlight w:val="none"/>
          <w:lang w:val="en-US" w:eastAsia="zh-CN"/>
        </w:rPr>
        <w:t>JTG5220-2020</w:t>
      </w:r>
      <w:r>
        <w:rPr>
          <w:rFonts w:hint="eastAsia" w:ascii="宋体" w:hAnsi="宋体"/>
          <w:color w:val="auto"/>
          <w:highlight w:val="none"/>
        </w:rPr>
        <w:t>执行。本工程的质量目标为：</w:t>
      </w:r>
      <w:r>
        <w:rPr>
          <w:rFonts w:hint="eastAsia" w:ascii="宋体" w:hAnsi="宋体"/>
          <w:b/>
          <w:bCs/>
          <w:color w:val="auto"/>
          <w:highlight w:val="none"/>
          <w:u w:val="single"/>
        </w:rPr>
        <w:t>标段工程竣（交）工验收的质量评定：合格；技术状况评定：土建部分技术状况评分90分及以上，机电部分技术状况评分98分及以上。</w:t>
      </w:r>
    </w:p>
    <w:p w14:paraId="1AA764DE">
      <w:pPr>
        <w:pStyle w:val="44"/>
        <w:spacing w:line="400" w:lineRule="exact"/>
        <w:ind w:firstLine="420" w:firstLineChars="200"/>
        <w:rPr>
          <w:rFonts w:ascii="宋体" w:hAnsi="宋体"/>
          <w:color w:val="auto"/>
          <w:highlight w:val="none"/>
        </w:rPr>
      </w:pPr>
      <w:r>
        <w:rPr>
          <w:rFonts w:ascii="宋体" w:hAnsi="宋体"/>
          <w:color w:val="auto"/>
          <w:highlight w:val="none"/>
        </w:rPr>
        <w:t>承包人应为本合同的施工建立强有力的质保系统和质检系统，认真执行国家和交通运输部有关加强质量管理的法规与文件，开展全面质量管理，确保工程质量达到目标要求。若由于承包人不重视质量管理，工程验收未能达到目标要求，则按22.1款规定进行违约处理。</w:t>
      </w:r>
    </w:p>
    <w:p w14:paraId="3FAFC33C">
      <w:pPr>
        <w:pStyle w:val="44"/>
        <w:spacing w:line="400" w:lineRule="exact"/>
        <w:outlineLvl w:val="3"/>
        <w:rPr>
          <w:rFonts w:hint="eastAsia" w:ascii="宋体" w:hAnsi="宋体"/>
          <w:color w:val="auto"/>
          <w:highlight w:val="none"/>
        </w:rPr>
      </w:pPr>
      <w:r>
        <w:rPr>
          <w:rFonts w:hint="eastAsia" w:ascii="宋体" w:hAnsi="宋体"/>
          <w:color w:val="auto"/>
          <w:highlight w:val="none"/>
        </w:rPr>
        <w:t>13.2  承包人的质量管理</w:t>
      </w:r>
    </w:p>
    <w:p w14:paraId="0DE0EEAA">
      <w:pPr>
        <w:pStyle w:val="44"/>
        <w:spacing w:line="400" w:lineRule="exact"/>
        <w:ind w:firstLine="420" w:firstLineChars="200"/>
        <w:rPr>
          <w:rFonts w:hint="eastAsia" w:ascii="宋体" w:hAnsi="宋体" w:eastAsia="Times New Roman"/>
          <w:color w:val="auto"/>
          <w:highlight w:val="none"/>
        </w:rPr>
      </w:pPr>
      <w:r>
        <w:rPr>
          <w:rFonts w:hint="eastAsia" w:ascii="宋体" w:hAnsi="宋体" w:eastAsia="Times New Roman"/>
          <w:color w:val="auto"/>
          <w:highlight w:val="none"/>
        </w:rPr>
        <w:t>第13.2.</w:t>
      </w:r>
      <w:r>
        <w:rPr>
          <w:rFonts w:hint="eastAsia" w:ascii="宋体" w:hAnsi="宋体" w:eastAsia="Times New Roman"/>
          <w:color w:val="auto"/>
          <w:highlight w:val="none"/>
          <w:lang w:val="en-US" w:eastAsia="zh-CN"/>
        </w:rPr>
        <w:t>4</w:t>
      </w:r>
      <w:r>
        <w:rPr>
          <w:rFonts w:hint="eastAsia" w:ascii="宋体" w:hAnsi="宋体" w:eastAsia="Times New Roman"/>
          <w:color w:val="auto"/>
          <w:highlight w:val="none"/>
        </w:rPr>
        <w:t>项细化为：</w:t>
      </w:r>
    </w:p>
    <w:p w14:paraId="317672CB">
      <w:pPr>
        <w:pStyle w:val="44"/>
        <w:spacing w:line="400" w:lineRule="exact"/>
        <w:ind w:firstLine="420" w:firstLineChars="200"/>
        <w:rPr>
          <w:rFonts w:hint="eastAsia" w:ascii="宋体" w:hAnsi="宋体"/>
          <w:color w:val="auto"/>
          <w:highlight w:val="none"/>
        </w:rPr>
      </w:pPr>
      <w:r>
        <w:rPr>
          <w:rFonts w:hint="eastAsia" w:ascii="宋体" w:hAnsi="宋体" w:eastAsia="Times New Roman"/>
          <w:color w:val="auto"/>
          <w:highlight w:val="none"/>
        </w:rPr>
        <w:t>13.2.</w:t>
      </w:r>
      <w:r>
        <w:rPr>
          <w:rFonts w:hint="eastAsia" w:ascii="宋体" w:hAnsi="宋体" w:eastAsia="Times New Roman"/>
          <w:color w:val="auto"/>
          <w:highlight w:val="none"/>
          <w:lang w:val="en-US" w:eastAsia="zh-CN"/>
        </w:rPr>
        <w:t xml:space="preserve">4承包人应当建立健全工程质量保证体系，制定质量管理制度，强化工程质量管理措施，完善工程质量目标保障机制；严格遵守国家有关法律、法规、规章及《浙江省交通建设工程质量和安全生产管理条例》，严格执行公路工程强制性技术标准、各类技术规范及规程，全面履行工程合同义务。 </w:t>
      </w:r>
    </w:p>
    <w:p w14:paraId="1A81F1F8">
      <w:pPr>
        <w:pStyle w:val="44"/>
        <w:spacing w:line="400" w:lineRule="exact"/>
        <w:outlineLvl w:val="3"/>
        <w:rPr>
          <w:rFonts w:hint="eastAsia" w:ascii="宋体" w:hAnsi="宋体"/>
          <w:color w:val="auto"/>
          <w:highlight w:val="none"/>
        </w:rPr>
      </w:pPr>
      <w:r>
        <w:rPr>
          <w:rFonts w:hint="eastAsia" w:ascii="宋体" w:hAnsi="宋体"/>
          <w:color w:val="auto"/>
          <w:highlight w:val="none"/>
        </w:rPr>
        <w:t>13.5  工程隐蔽部位覆盖前的检查</w:t>
      </w:r>
    </w:p>
    <w:p w14:paraId="35052953">
      <w:pPr>
        <w:pStyle w:val="44"/>
        <w:spacing w:line="400" w:lineRule="exact"/>
        <w:ind w:firstLine="420" w:firstLineChars="200"/>
        <w:rPr>
          <w:rFonts w:hint="eastAsia" w:ascii="宋体" w:hAnsi="宋体"/>
          <w:color w:val="auto"/>
          <w:highlight w:val="none"/>
        </w:rPr>
      </w:pPr>
      <w:r>
        <w:rPr>
          <w:rFonts w:hint="eastAsia" w:ascii="宋体" w:hAnsi="宋体"/>
          <w:color w:val="auto"/>
          <w:highlight w:val="none"/>
        </w:rPr>
        <w:t>第13.5.1项补充：</w:t>
      </w:r>
    </w:p>
    <w:p w14:paraId="7D6CCD08">
      <w:pPr>
        <w:pStyle w:val="44"/>
        <w:spacing w:line="400" w:lineRule="exact"/>
        <w:ind w:firstLine="420" w:firstLineChars="200"/>
        <w:rPr>
          <w:rFonts w:hint="eastAsia" w:ascii="宋体" w:hAnsi="宋体"/>
          <w:color w:val="auto"/>
          <w:highlight w:val="none"/>
        </w:rPr>
      </w:pPr>
      <w:r>
        <w:rPr>
          <w:rFonts w:hint="eastAsia" w:ascii="宋体" w:hAnsi="宋体"/>
          <w:color w:val="auto"/>
          <w:highlight w:val="none"/>
        </w:rPr>
        <w:t>隐蔽工程覆盖前应经监理人检查签认，分阶段（工序）进行摄像或照相，并向监理人提供相关资料作为计量支付的依据。</w:t>
      </w:r>
    </w:p>
    <w:p w14:paraId="1551E593">
      <w:pPr>
        <w:pStyle w:val="44"/>
        <w:spacing w:line="400" w:lineRule="exact"/>
        <w:ind w:firstLine="420" w:firstLineChars="200"/>
        <w:rPr>
          <w:rFonts w:hint="eastAsia" w:ascii="宋体" w:hAnsi="宋体"/>
          <w:color w:val="auto"/>
          <w:highlight w:val="none"/>
        </w:rPr>
      </w:pPr>
      <w:r>
        <w:rPr>
          <w:rFonts w:hint="eastAsia" w:ascii="宋体" w:hAnsi="宋体"/>
          <w:color w:val="auto"/>
          <w:highlight w:val="none"/>
        </w:rPr>
        <w:t>补充第13.7款：</w:t>
      </w:r>
    </w:p>
    <w:p w14:paraId="47CEC39B">
      <w:pPr>
        <w:pStyle w:val="44"/>
        <w:spacing w:line="400" w:lineRule="exact"/>
        <w:outlineLvl w:val="3"/>
        <w:rPr>
          <w:rFonts w:hint="eastAsia" w:ascii="宋体" w:hAnsi="宋体"/>
          <w:color w:val="auto"/>
          <w:highlight w:val="none"/>
        </w:rPr>
      </w:pPr>
      <w:r>
        <w:rPr>
          <w:rFonts w:hint="eastAsia" w:ascii="宋体" w:hAnsi="宋体"/>
          <w:color w:val="auto"/>
          <w:highlight w:val="none"/>
        </w:rPr>
        <w:t>13.7  质量抽检</w:t>
      </w:r>
    </w:p>
    <w:p w14:paraId="23ECFD33">
      <w:pPr>
        <w:pStyle w:val="44"/>
        <w:spacing w:line="400" w:lineRule="exact"/>
        <w:ind w:firstLine="420" w:firstLineChars="200"/>
        <w:rPr>
          <w:rFonts w:hint="eastAsia" w:ascii="宋体" w:hAnsi="宋体"/>
          <w:color w:val="auto"/>
          <w:highlight w:val="none"/>
        </w:rPr>
      </w:pPr>
      <w:r>
        <w:rPr>
          <w:rFonts w:hint="eastAsia" w:ascii="宋体" w:hAnsi="宋体" w:eastAsia="宋体"/>
          <w:color w:val="auto"/>
          <w:highlight w:val="none"/>
          <w:lang w:val="en-US" w:eastAsia="zh-CN"/>
        </w:rPr>
        <w:t>主管</w:t>
      </w:r>
      <w:r>
        <w:rPr>
          <w:rFonts w:hint="eastAsia" w:ascii="宋体" w:hAnsi="宋体"/>
          <w:color w:val="auto"/>
          <w:highlight w:val="none"/>
        </w:rPr>
        <w:t>交通工程质量监督机构有权对承包人施工质量随时进行抽检，并通过监理人对工程质量实施否决，承包人应积极配合并免费提供试验用的试件。承包人为配合上述工作发生的材料、机械、人员及试验和检验等费用不另行支付。</w:t>
      </w:r>
    </w:p>
    <w:p w14:paraId="09C90C2F">
      <w:pPr>
        <w:pStyle w:val="44"/>
        <w:spacing w:line="400" w:lineRule="exact"/>
        <w:outlineLvl w:val="2"/>
        <w:rPr>
          <w:rFonts w:hint="eastAsia" w:ascii="宋体" w:hAnsi="宋体"/>
          <w:color w:val="auto"/>
          <w:sz w:val="28"/>
          <w:szCs w:val="28"/>
          <w:highlight w:val="none"/>
        </w:rPr>
      </w:pPr>
      <w:bookmarkStart w:id="703" w:name="_Toc23309"/>
      <w:r>
        <w:rPr>
          <w:rFonts w:hint="eastAsia" w:ascii="宋体" w:hAnsi="宋体"/>
          <w:color w:val="auto"/>
          <w:sz w:val="28"/>
          <w:szCs w:val="28"/>
          <w:highlight w:val="none"/>
        </w:rPr>
        <w:t>14. 试验和检验</w:t>
      </w:r>
      <w:bookmarkEnd w:id="703"/>
    </w:p>
    <w:p w14:paraId="02AFCDBA">
      <w:pPr>
        <w:pStyle w:val="44"/>
        <w:spacing w:line="400" w:lineRule="exact"/>
        <w:outlineLvl w:val="3"/>
        <w:rPr>
          <w:rFonts w:hint="eastAsia" w:ascii="宋体" w:hAnsi="宋体"/>
          <w:color w:val="auto"/>
          <w:highlight w:val="none"/>
        </w:rPr>
      </w:pPr>
      <w:r>
        <w:rPr>
          <w:rFonts w:hint="eastAsia" w:ascii="宋体" w:hAnsi="宋体"/>
          <w:color w:val="auto"/>
          <w:highlight w:val="none"/>
        </w:rPr>
        <w:t>14.1  材料、工程设备和工程的试验和检验</w:t>
      </w:r>
    </w:p>
    <w:p w14:paraId="7FAB1899">
      <w:pPr>
        <w:pStyle w:val="44"/>
        <w:spacing w:line="400" w:lineRule="exact"/>
        <w:ind w:firstLine="420" w:firstLineChars="200"/>
        <w:rPr>
          <w:rFonts w:hint="eastAsia" w:ascii="宋体" w:hAnsi="宋体"/>
          <w:color w:val="auto"/>
          <w:highlight w:val="none"/>
        </w:rPr>
      </w:pPr>
      <w:r>
        <w:rPr>
          <w:rFonts w:hint="eastAsia" w:ascii="宋体" w:hAnsi="宋体"/>
          <w:color w:val="auto"/>
          <w:highlight w:val="none"/>
        </w:rPr>
        <w:t>第14.1.3项细化为：</w:t>
      </w:r>
    </w:p>
    <w:p w14:paraId="2737E0EC">
      <w:pPr>
        <w:pStyle w:val="44"/>
        <w:spacing w:line="400" w:lineRule="exact"/>
        <w:ind w:firstLine="420" w:firstLineChars="200"/>
        <w:rPr>
          <w:rFonts w:hint="eastAsia" w:ascii="宋体" w:hAnsi="宋体" w:cs="Times New Roman"/>
          <w:color w:val="auto"/>
          <w:highlight w:val="none"/>
        </w:rPr>
      </w:pPr>
      <w:r>
        <w:rPr>
          <w:rFonts w:hint="eastAsia" w:ascii="宋体" w:hAnsi="宋体"/>
          <w:color w:val="auto"/>
          <w:highlight w:val="none"/>
        </w:rPr>
        <w:t>14.1.3监理人对承包人的试验和检验结果有疑问的，或为查清承包人试验和检验成果的可靠性要求承包人重新试验和检验的，可按合同约定由监理人与承包人共同进行，或由监理人委托给第三方独立的检验单位，该检验单位必须具有国家技术监督局或专业机构的认证资格。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14:paraId="10A7136A">
      <w:pPr>
        <w:pStyle w:val="44"/>
        <w:spacing w:line="400" w:lineRule="exact"/>
        <w:ind w:firstLine="420" w:firstLineChars="200"/>
        <w:rPr>
          <w:rFonts w:ascii="宋体" w:hAnsi="宋体" w:cs="宋体"/>
          <w:color w:val="auto"/>
          <w:highlight w:val="none"/>
        </w:rPr>
      </w:pPr>
      <w:r>
        <w:rPr>
          <w:rFonts w:hint="eastAsia" w:ascii="宋体" w:hAnsi="宋体"/>
          <w:color w:val="auto"/>
          <w:highlight w:val="none"/>
        </w:rPr>
        <w:t>执行本款约定还须符合《关于进一步加强我省公路水运工程试验检测管理工作的若干意见》</w:t>
      </w:r>
      <w:r>
        <w:rPr>
          <w:rFonts w:ascii="宋体" w:hAnsi="宋体" w:cs="宋体"/>
          <w:color w:val="auto"/>
          <w:highlight w:val="none"/>
        </w:rPr>
        <w:t xml:space="preserve"> </w:t>
      </w:r>
      <w:r>
        <w:rPr>
          <w:rFonts w:hint="eastAsia" w:ascii="宋体" w:hAnsi="宋体"/>
          <w:color w:val="auto"/>
          <w:highlight w:val="none"/>
        </w:rPr>
        <w:t>（浙交监〔</w:t>
      </w:r>
      <w:r>
        <w:rPr>
          <w:rFonts w:ascii="宋体" w:hAnsi="宋体" w:cs="宋体"/>
          <w:color w:val="auto"/>
          <w:highlight w:val="none"/>
        </w:rPr>
        <w:t>2015</w:t>
      </w:r>
      <w:r>
        <w:rPr>
          <w:rFonts w:hint="eastAsia" w:ascii="宋体" w:hAnsi="宋体"/>
          <w:color w:val="auto"/>
          <w:highlight w:val="none"/>
        </w:rPr>
        <w:t>〕</w:t>
      </w:r>
      <w:r>
        <w:rPr>
          <w:rFonts w:ascii="宋体" w:hAnsi="宋体" w:cs="宋体"/>
          <w:color w:val="auto"/>
          <w:highlight w:val="none"/>
        </w:rPr>
        <w:t xml:space="preserve">18 </w:t>
      </w:r>
      <w:r>
        <w:rPr>
          <w:rFonts w:hint="eastAsia" w:ascii="宋体" w:hAnsi="宋体"/>
          <w:color w:val="auto"/>
          <w:highlight w:val="none"/>
        </w:rPr>
        <w:t>号）规定。</w:t>
      </w:r>
      <w:r>
        <w:rPr>
          <w:rFonts w:ascii="宋体" w:hAnsi="宋体" w:cs="宋体"/>
          <w:color w:val="auto"/>
          <w:highlight w:val="none"/>
        </w:rPr>
        <w:t xml:space="preserve"> </w:t>
      </w:r>
    </w:p>
    <w:p w14:paraId="161C2BFB">
      <w:pPr>
        <w:pStyle w:val="44"/>
        <w:spacing w:line="400" w:lineRule="exact"/>
        <w:outlineLvl w:val="2"/>
        <w:rPr>
          <w:rFonts w:ascii="宋体" w:hAnsi="宋体"/>
          <w:color w:val="auto"/>
          <w:sz w:val="28"/>
          <w:szCs w:val="28"/>
          <w:highlight w:val="none"/>
        </w:rPr>
      </w:pPr>
      <w:bookmarkStart w:id="704" w:name="_Toc12417"/>
      <w:r>
        <w:rPr>
          <w:rFonts w:hint="eastAsia" w:ascii="宋体" w:hAnsi="宋体"/>
          <w:color w:val="auto"/>
          <w:sz w:val="28"/>
          <w:szCs w:val="28"/>
          <w:highlight w:val="none"/>
        </w:rPr>
        <w:t>15. 变更</w:t>
      </w:r>
      <w:bookmarkEnd w:id="704"/>
    </w:p>
    <w:p w14:paraId="1CA23F5B">
      <w:pPr>
        <w:pStyle w:val="44"/>
        <w:spacing w:line="400" w:lineRule="exact"/>
        <w:outlineLvl w:val="3"/>
        <w:rPr>
          <w:rFonts w:hint="eastAsia" w:ascii="宋体" w:hAnsi="宋体" w:eastAsia="Times New Roman"/>
          <w:color w:val="auto"/>
          <w:highlight w:val="none"/>
        </w:rPr>
      </w:pPr>
      <w:r>
        <w:rPr>
          <w:rFonts w:hint="eastAsia" w:ascii="宋体" w:hAnsi="宋体" w:eastAsia="Times New Roman"/>
          <w:color w:val="auto"/>
          <w:highlight w:val="none"/>
          <w:lang w:val="en-US" w:eastAsia="zh-CN"/>
        </w:rPr>
        <w:t xml:space="preserve">15.1 变更的范围和内容 </w:t>
      </w:r>
    </w:p>
    <w:p w14:paraId="444B1041">
      <w:pPr>
        <w:pStyle w:val="44"/>
        <w:spacing w:line="400" w:lineRule="exact"/>
        <w:ind w:firstLine="420" w:firstLineChars="200"/>
        <w:rPr>
          <w:rFonts w:hint="eastAsia" w:ascii="宋体" w:hAnsi="宋体" w:eastAsia="Times New Roman"/>
          <w:color w:val="auto"/>
          <w:highlight w:val="none"/>
        </w:rPr>
      </w:pPr>
      <w:r>
        <w:rPr>
          <w:rFonts w:hint="eastAsia" w:ascii="宋体" w:hAnsi="宋体" w:eastAsia="Times New Roman"/>
          <w:color w:val="auto"/>
          <w:highlight w:val="none"/>
          <w:lang w:val="en-US" w:eastAsia="zh-CN"/>
        </w:rPr>
        <w:t xml:space="preserve">第 15.1 款补充（6）项： </w:t>
      </w:r>
    </w:p>
    <w:p w14:paraId="782F3CDC">
      <w:pPr>
        <w:pStyle w:val="44"/>
        <w:spacing w:line="400" w:lineRule="exact"/>
        <w:ind w:firstLine="420" w:firstLineChars="200"/>
        <w:rPr>
          <w:rFonts w:hint="eastAsia" w:ascii="宋体" w:hAnsi="宋体" w:eastAsia="Times New Roman"/>
          <w:color w:val="auto"/>
          <w:highlight w:val="none"/>
        </w:rPr>
      </w:pPr>
      <w:r>
        <w:rPr>
          <w:rFonts w:hint="eastAsia" w:ascii="宋体" w:hAnsi="宋体" w:eastAsia="Times New Roman"/>
          <w:color w:val="auto"/>
          <w:highlight w:val="none"/>
          <w:lang w:val="en-US" w:eastAsia="zh-CN"/>
        </w:rPr>
        <w:t>（6）经批复的设计文件不得随意改变，确需设计变更的，必须严格履行审批手续。</w:t>
      </w:r>
    </w:p>
    <w:p w14:paraId="7EBBC754">
      <w:pPr>
        <w:pStyle w:val="44"/>
        <w:spacing w:line="400" w:lineRule="exact"/>
        <w:outlineLvl w:val="3"/>
        <w:rPr>
          <w:rFonts w:hint="eastAsia" w:ascii="宋体" w:hAnsi="宋体"/>
          <w:color w:val="auto"/>
          <w:highlight w:val="none"/>
        </w:rPr>
      </w:pPr>
      <w:r>
        <w:rPr>
          <w:rFonts w:hint="eastAsia" w:ascii="宋体" w:hAnsi="宋体"/>
          <w:color w:val="auto"/>
          <w:highlight w:val="none"/>
        </w:rPr>
        <w:t>15.3  变更程序</w:t>
      </w:r>
    </w:p>
    <w:p w14:paraId="75714FE3">
      <w:pPr>
        <w:pStyle w:val="44"/>
        <w:spacing w:line="400" w:lineRule="exact"/>
        <w:ind w:firstLine="420" w:firstLineChars="200"/>
        <w:rPr>
          <w:rFonts w:hint="eastAsia" w:ascii="宋体" w:hAnsi="宋体"/>
          <w:color w:val="auto"/>
          <w:highlight w:val="none"/>
        </w:rPr>
      </w:pPr>
      <w:r>
        <w:rPr>
          <w:rFonts w:hint="eastAsia" w:ascii="宋体" w:hAnsi="宋体" w:eastAsia="宋体"/>
          <w:color w:val="auto"/>
          <w:highlight w:val="none"/>
          <w:lang w:val="en-US" w:eastAsia="zh-CN"/>
        </w:rPr>
        <w:t>补充</w:t>
      </w:r>
      <w:r>
        <w:rPr>
          <w:rFonts w:hint="eastAsia" w:ascii="宋体" w:hAnsi="宋体"/>
          <w:color w:val="auto"/>
          <w:highlight w:val="none"/>
        </w:rPr>
        <w:t>第15.3.4项：</w:t>
      </w:r>
    </w:p>
    <w:p w14:paraId="34A13E57">
      <w:pPr>
        <w:pStyle w:val="44"/>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outlineLvl w:val="9"/>
        <w:rPr>
          <w:rFonts w:hint="eastAsia" w:ascii="宋体" w:hAnsi="宋体"/>
          <w:color w:val="auto"/>
          <w:highlight w:val="none"/>
        </w:rPr>
      </w:pPr>
      <w:r>
        <w:rPr>
          <w:rFonts w:hint="eastAsia" w:ascii="宋体" w:hAnsi="宋体"/>
          <w:color w:val="auto"/>
          <w:highlight w:val="none"/>
        </w:rPr>
        <w:t>15.3.4设计变更程序应执行《公路工程设计变更管理办法》、《关于进一步规范普通国省道公路养护工程设计变更管理的通知》（浙公路〔2014〕21号）的相关规定。本项目合同实施过程中，如行业主管部门出台新的管理规定，按新规定执行。</w:t>
      </w:r>
    </w:p>
    <w:p w14:paraId="7E27D970">
      <w:pPr>
        <w:pStyle w:val="44"/>
        <w:spacing w:line="400" w:lineRule="exact"/>
        <w:outlineLvl w:val="3"/>
        <w:rPr>
          <w:rFonts w:hint="eastAsia" w:ascii="宋体" w:hAnsi="宋体"/>
          <w:color w:val="auto"/>
          <w:highlight w:val="none"/>
        </w:rPr>
      </w:pPr>
      <w:r>
        <w:rPr>
          <w:rFonts w:hint="eastAsia" w:ascii="宋体" w:hAnsi="宋体"/>
          <w:color w:val="auto"/>
          <w:highlight w:val="none"/>
        </w:rPr>
        <w:t>15.4  变更的估价原则</w:t>
      </w:r>
    </w:p>
    <w:p w14:paraId="7AA87C8C">
      <w:pPr>
        <w:pStyle w:val="44"/>
        <w:spacing w:line="400" w:lineRule="exact"/>
        <w:ind w:firstLine="420" w:firstLineChars="200"/>
        <w:rPr>
          <w:rFonts w:hint="eastAsia" w:ascii="宋体" w:hAnsi="宋体"/>
          <w:color w:val="auto"/>
          <w:highlight w:val="none"/>
        </w:rPr>
      </w:pPr>
      <w:r>
        <w:rPr>
          <w:rFonts w:hint="eastAsia" w:ascii="宋体" w:hAnsi="宋体"/>
          <w:color w:val="auto"/>
          <w:highlight w:val="none"/>
        </w:rPr>
        <w:t>第15.4.</w:t>
      </w:r>
      <w:r>
        <w:rPr>
          <w:rFonts w:hint="eastAsia" w:ascii="宋体" w:hAnsi="宋体" w:eastAsia="宋体"/>
          <w:color w:val="auto"/>
          <w:highlight w:val="none"/>
          <w:lang w:val="en-US" w:eastAsia="zh-CN"/>
        </w:rPr>
        <w:t>3</w:t>
      </w:r>
      <w:r>
        <w:rPr>
          <w:rFonts w:hint="eastAsia" w:ascii="宋体" w:hAnsi="宋体"/>
          <w:color w:val="auto"/>
          <w:highlight w:val="none"/>
        </w:rPr>
        <w:t>项细化为：</w:t>
      </w:r>
    </w:p>
    <w:p w14:paraId="1BC2C32A">
      <w:pPr>
        <w:pStyle w:val="55"/>
        <w:spacing w:line="400" w:lineRule="exact"/>
        <w:ind w:firstLine="420" w:firstLineChars="200"/>
        <w:rPr>
          <w:rFonts w:ascii="宋体" w:hAnsi="宋体"/>
          <w:color w:val="auto"/>
          <w:highlight w:val="none"/>
        </w:rPr>
      </w:pPr>
      <w:r>
        <w:rPr>
          <w:rFonts w:hint="eastAsia" w:ascii="宋体" w:hAnsi="宋体"/>
          <w:color w:val="auto"/>
          <w:highlight w:val="none"/>
        </w:rPr>
        <w:t>15.4.</w:t>
      </w:r>
      <w:r>
        <w:rPr>
          <w:rFonts w:hint="eastAsia" w:ascii="宋体" w:hAnsi="宋体"/>
          <w:color w:val="auto"/>
          <w:highlight w:val="none"/>
          <w:lang w:val="en-US" w:eastAsia="zh-CN"/>
        </w:rPr>
        <w:t>3</w:t>
      </w:r>
      <w:r>
        <w:rPr>
          <w:rFonts w:hint="eastAsia" w:ascii="宋体" w:hAnsi="宋体"/>
          <w:color w:val="auto"/>
          <w:highlight w:val="none"/>
        </w:rPr>
        <w:t>已标价的工程量清单中有适用于变更工作的子目的，采用该子目的单价。但是，如果合同的工程量清单中某一个支付子目所列的“合价”（含变更后的“合价”）超过签约合同价的2％，而且该支付子目变更后的工程实际增（或减）数量超过工程量清单中所列数量的25％，则该支付子目的单价应予以调整，新单价的确定原则适用15.4.</w:t>
      </w:r>
      <w:r>
        <w:rPr>
          <w:rFonts w:hint="eastAsia" w:ascii="宋体" w:hAnsi="宋体"/>
          <w:color w:val="auto"/>
          <w:highlight w:val="none"/>
          <w:lang w:val="en-US" w:eastAsia="zh-CN"/>
        </w:rPr>
        <w:t>5</w:t>
      </w:r>
      <w:r>
        <w:rPr>
          <w:rFonts w:hint="eastAsia" w:ascii="宋体" w:hAnsi="宋体"/>
          <w:color w:val="auto"/>
          <w:highlight w:val="none"/>
        </w:rPr>
        <w:t>项的规定。当支付子目变更后的工程实际增加数量超过工程量清单中所列数量的25％的，调整后的新单价适用于该支付子目超过工程量清单中所列数量的工程数量；当支付子目变更后的工程实际减少数量超过工程量清单中所列数量的25％的，调整</w:t>
      </w:r>
      <w:r>
        <w:rPr>
          <w:rFonts w:ascii="宋体" w:hAnsi="宋体"/>
          <w:color w:val="auto"/>
          <w:highlight w:val="none"/>
        </w:rPr>
        <w:t>后的新单价适用于该支付子目全部工程数量。</w:t>
      </w:r>
    </w:p>
    <w:p w14:paraId="70F57991">
      <w:pPr>
        <w:pStyle w:val="44"/>
        <w:spacing w:line="400" w:lineRule="exact"/>
        <w:ind w:firstLine="420" w:firstLineChars="200"/>
        <w:rPr>
          <w:rFonts w:hint="eastAsia" w:ascii="宋体" w:hAnsi="宋体"/>
          <w:color w:val="auto"/>
          <w:highlight w:val="none"/>
        </w:rPr>
      </w:pPr>
      <w:r>
        <w:rPr>
          <w:rFonts w:hint="eastAsia" w:ascii="宋体" w:hAnsi="宋体" w:eastAsia="宋体"/>
          <w:color w:val="auto"/>
          <w:highlight w:val="none"/>
          <w:lang w:val="en-US" w:eastAsia="zh-CN"/>
        </w:rPr>
        <w:t>第</w:t>
      </w:r>
      <w:r>
        <w:rPr>
          <w:rFonts w:hint="eastAsia" w:ascii="宋体" w:hAnsi="宋体"/>
          <w:color w:val="auto"/>
          <w:highlight w:val="none"/>
        </w:rPr>
        <w:t>15.4.</w:t>
      </w:r>
      <w:r>
        <w:rPr>
          <w:rFonts w:hint="eastAsia" w:ascii="宋体" w:hAnsi="宋体"/>
          <w:color w:val="auto"/>
          <w:highlight w:val="none"/>
          <w:lang w:val="en-US" w:eastAsia="zh-CN"/>
        </w:rPr>
        <w:t>5</w:t>
      </w:r>
      <w:r>
        <w:rPr>
          <w:rFonts w:hint="eastAsia" w:ascii="宋体" w:hAnsi="宋体"/>
          <w:color w:val="auto"/>
          <w:highlight w:val="none"/>
        </w:rPr>
        <w:t>项细化为：</w:t>
      </w:r>
    </w:p>
    <w:p w14:paraId="031A399C">
      <w:pPr>
        <w:pStyle w:val="44"/>
        <w:spacing w:line="400" w:lineRule="exact"/>
        <w:ind w:firstLine="420" w:firstLineChars="200"/>
        <w:rPr>
          <w:rFonts w:hint="eastAsia" w:ascii="宋体" w:hAnsi="宋体"/>
          <w:color w:val="auto"/>
          <w:highlight w:val="none"/>
        </w:rPr>
      </w:pPr>
      <w:r>
        <w:rPr>
          <w:rFonts w:hint="eastAsia" w:ascii="宋体" w:hAnsi="宋体"/>
          <w:color w:val="auto"/>
          <w:highlight w:val="none"/>
        </w:rPr>
        <w:t>15.4.</w:t>
      </w:r>
      <w:r>
        <w:rPr>
          <w:rFonts w:hint="eastAsia" w:ascii="宋体" w:hAnsi="宋体"/>
          <w:color w:val="auto"/>
          <w:highlight w:val="none"/>
          <w:lang w:val="en-US" w:eastAsia="zh-CN"/>
        </w:rPr>
        <w:t>5</w:t>
      </w:r>
      <w:r>
        <w:rPr>
          <w:rFonts w:hint="eastAsia" w:ascii="宋体" w:hAnsi="宋体"/>
          <w:color w:val="auto"/>
          <w:highlight w:val="none"/>
        </w:rPr>
        <w:t>已标价工程量清单中无适用或类似子目的单价，按以下原则进行组价：</w:t>
      </w:r>
    </w:p>
    <w:p w14:paraId="09EC6A52">
      <w:pPr>
        <w:pStyle w:val="44"/>
        <w:spacing w:line="400" w:lineRule="exact"/>
        <w:ind w:firstLine="420" w:firstLineChars="200"/>
        <w:rPr>
          <w:rFonts w:hint="eastAsia" w:ascii="宋体" w:hAnsi="宋体"/>
          <w:color w:val="auto"/>
          <w:highlight w:val="none"/>
        </w:rPr>
      </w:pPr>
      <w:r>
        <w:rPr>
          <w:rFonts w:hint="eastAsia" w:ascii="宋体" w:hAnsi="宋体"/>
          <w:color w:val="auto"/>
          <w:highlight w:val="none"/>
        </w:rPr>
        <w:t>（1）定额套用：采用《浙江省公路养护工程预算定额》、《浙江省公路养护工程预算预算编制办法》、《公路工程预算定额》（JTG/T 3832-2018）及各省补充定额编制，无参照定额的，按类似项目经验编制。</w:t>
      </w:r>
    </w:p>
    <w:p w14:paraId="2DD27E1E">
      <w:pPr>
        <w:pStyle w:val="44"/>
        <w:spacing w:line="400" w:lineRule="exact"/>
        <w:ind w:firstLine="420" w:firstLineChars="200"/>
        <w:rPr>
          <w:rFonts w:hint="eastAsia" w:ascii="宋体" w:hAnsi="宋体"/>
          <w:color w:val="auto"/>
          <w:highlight w:val="none"/>
        </w:rPr>
      </w:pPr>
      <w:r>
        <w:rPr>
          <w:rFonts w:hint="eastAsia" w:ascii="宋体" w:hAnsi="宋体"/>
          <w:color w:val="auto"/>
          <w:highlight w:val="none"/>
        </w:rPr>
        <w:t>（2）取费标准、人工费、机械台班费用：</w:t>
      </w:r>
    </w:p>
    <w:p w14:paraId="03A4B49A">
      <w:pPr>
        <w:pStyle w:val="44"/>
        <w:spacing w:line="400" w:lineRule="exact"/>
        <w:ind w:firstLine="420" w:firstLineChars="200"/>
        <w:rPr>
          <w:rFonts w:hint="eastAsia" w:ascii="宋体" w:hAnsi="宋体" w:eastAsia="宋体"/>
          <w:color w:val="auto"/>
          <w:highlight w:val="none"/>
        </w:rPr>
      </w:pPr>
      <w:r>
        <w:rPr>
          <w:rFonts w:hint="eastAsia" w:ascii="宋体" w:hAnsi="宋体"/>
          <w:color w:val="auto"/>
          <w:highlight w:val="none"/>
        </w:rPr>
        <w:t>采用《浙江省公路养护工程预算定额》的人工单价按</w:t>
      </w:r>
      <w:r>
        <w:rPr>
          <w:rFonts w:hint="eastAsia" w:ascii="宋体" w:hAnsi="宋体"/>
          <w:color w:val="auto"/>
          <w:highlight w:val="none"/>
          <w:lang w:val="en-US" w:eastAsia="zh-CN"/>
        </w:rPr>
        <w:t>77.05</w:t>
      </w:r>
      <w:r>
        <w:rPr>
          <w:rFonts w:hint="eastAsia" w:ascii="宋体" w:hAnsi="宋体"/>
          <w:color w:val="auto"/>
          <w:highlight w:val="none"/>
        </w:rPr>
        <w:t>元/工日计列</w:t>
      </w:r>
      <w:r>
        <w:rPr>
          <w:rFonts w:hint="eastAsia" w:ascii="宋体" w:hAnsi="宋体"/>
          <w:color w:val="auto"/>
          <w:highlight w:val="none"/>
          <w:lang w:eastAsia="zh-CN"/>
        </w:rPr>
        <w:t>，</w:t>
      </w:r>
      <w:r>
        <w:rPr>
          <w:rFonts w:hint="eastAsia" w:ascii="宋体" w:hAnsi="宋体"/>
          <w:color w:val="auto"/>
          <w:highlight w:val="none"/>
        </w:rPr>
        <w:t>采用《公路工程预算定额》（JTG/T 3832-2018）的人工单价按</w:t>
      </w:r>
      <w:r>
        <w:rPr>
          <w:rFonts w:hint="eastAsia" w:ascii="宋体" w:hAnsi="宋体"/>
          <w:color w:val="auto"/>
          <w:highlight w:val="none"/>
          <w:lang w:val="en-US" w:eastAsia="zh-CN"/>
        </w:rPr>
        <w:t>127.66</w:t>
      </w:r>
      <w:r>
        <w:rPr>
          <w:rFonts w:hint="eastAsia" w:ascii="宋体" w:hAnsi="宋体"/>
          <w:color w:val="auto"/>
          <w:highlight w:val="none"/>
        </w:rPr>
        <w:t>元/工日计列；采用《浙江省公路养护工程预算定额》的机械台班单价：按《浙江省公路养护工程机械台班费用定额》计列，采用《公路工程预算定额》（JTG/T 3832-2018）的机械台班</w:t>
      </w:r>
      <w:r>
        <w:rPr>
          <w:rFonts w:hint="eastAsia" w:ascii="宋体" w:hAnsi="宋体" w:eastAsia="宋体"/>
          <w:color w:val="auto"/>
          <w:highlight w:val="none"/>
        </w:rPr>
        <w:t>单价：按</w:t>
      </w:r>
      <w:r>
        <w:rPr>
          <w:rFonts w:hint="eastAsia" w:ascii="宋体" w:hAnsi="宋体" w:eastAsia="宋体"/>
          <w:color w:val="auto"/>
          <w:highlight w:val="none"/>
          <w:lang w:eastAsia="zh-CN"/>
        </w:rPr>
        <w:t>《</w:t>
      </w:r>
      <w:r>
        <w:rPr>
          <w:rFonts w:hint="eastAsia" w:ascii="宋体" w:hAnsi="宋体" w:eastAsia="宋体"/>
          <w:color w:val="auto"/>
          <w:highlight w:val="none"/>
        </w:rPr>
        <w:t>公路工程机械台班费用定额</w:t>
      </w:r>
      <w:r>
        <w:rPr>
          <w:rFonts w:hint="eastAsia" w:ascii="宋体" w:hAnsi="宋体" w:eastAsia="宋体"/>
          <w:color w:val="auto"/>
          <w:highlight w:val="none"/>
          <w:lang w:eastAsia="zh-CN"/>
        </w:rPr>
        <w:t>》（</w:t>
      </w:r>
      <w:r>
        <w:rPr>
          <w:rFonts w:hint="eastAsia" w:ascii="宋体" w:hAnsi="宋体" w:eastAsia="宋体"/>
          <w:color w:val="auto"/>
          <w:highlight w:val="none"/>
        </w:rPr>
        <w:t>JTG-T3833-2018</w:t>
      </w:r>
      <w:r>
        <w:rPr>
          <w:rFonts w:hint="eastAsia" w:ascii="宋体" w:hAnsi="宋体" w:eastAsia="宋体"/>
          <w:color w:val="auto"/>
          <w:highlight w:val="none"/>
          <w:lang w:eastAsia="zh-CN"/>
        </w:rPr>
        <w:t>）</w:t>
      </w:r>
      <w:r>
        <w:rPr>
          <w:rFonts w:hint="eastAsia" w:ascii="宋体" w:hAnsi="宋体" w:eastAsia="宋体"/>
          <w:color w:val="auto"/>
          <w:highlight w:val="none"/>
        </w:rPr>
        <w:t>计列。</w:t>
      </w:r>
    </w:p>
    <w:p w14:paraId="3313B7C7">
      <w:pPr>
        <w:pStyle w:val="44"/>
        <w:spacing w:line="400" w:lineRule="exact"/>
        <w:ind w:firstLine="420" w:firstLineChars="200"/>
        <w:rPr>
          <w:rFonts w:hint="eastAsia" w:ascii="宋体" w:hAnsi="宋体"/>
          <w:color w:val="auto"/>
          <w:highlight w:val="none"/>
        </w:rPr>
      </w:pPr>
      <w:r>
        <w:rPr>
          <w:rFonts w:hint="eastAsia" w:ascii="宋体" w:hAnsi="宋体"/>
          <w:color w:val="auto"/>
          <w:highlight w:val="none"/>
        </w:rPr>
        <w:t>（3）材料（均指含进项税</w:t>
      </w:r>
      <w:r>
        <w:rPr>
          <w:rFonts w:hint="eastAsia" w:ascii="宋体" w:hAnsi="宋体"/>
          <w:color w:val="auto"/>
          <w:highlight w:val="none"/>
        </w:rPr>
        <w:t>市场信息价）：采用发包人最终发布的本项目工程量清单预算中的材料单价。</w:t>
      </w:r>
      <w:r>
        <w:rPr>
          <w:rFonts w:hint="eastAsia" w:ascii="宋体" w:hAnsi="宋体" w:eastAsia="宋体"/>
          <w:color w:val="auto"/>
          <w:highlight w:val="none"/>
          <w:lang w:eastAsia="zh-CN"/>
        </w:rPr>
        <w:t>如本项目工程量清单预算中无相应材料单价，则</w:t>
      </w:r>
      <w:r>
        <w:rPr>
          <w:rFonts w:hint="eastAsia" w:ascii="宋体" w:hAnsi="宋体"/>
          <w:color w:val="auto"/>
          <w:highlight w:val="none"/>
          <w:lang w:eastAsia="zh-CN"/>
        </w:rPr>
        <w:t>：①材料单价采用绍兴市交通工程管理中心发布的《绍兴市公路水运工程材料价格信息》2026年第5期（总第17期）中的绍兴所在地信息价</w:t>
      </w:r>
      <w:r>
        <w:rPr>
          <w:rFonts w:hint="eastAsia" w:ascii="宋体" w:hAnsi="宋体"/>
          <w:color w:val="auto"/>
          <w:highlight w:val="none"/>
          <w:lang w:val="en-US" w:eastAsia="zh-CN"/>
        </w:rPr>
        <w:t>；</w:t>
      </w:r>
      <w:r>
        <w:rPr>
          <w:rFonts w:hint="eastAsia" w:ascii="宋体" w:hAnsi="宋体"/>
          <w:color w:val="auto"/>
          <w:highlight w:val="none"/>
          <w:lang w:eastAsia="zh-CN"/>
        </w:rPr>
        <w:t>②外购材料采用绍兴市交通工程管理中心发布的《绍兴市公路水运工程材料价格信息》2026年第4期（总第16期）的绍兴市信息价。</w:t>
      </w:r>
      <w:r>
        <w:rPr>
          <w:rFonts w:hint="eastAsia" w:ascii="宋体" w:hAnsi="宋体"/>
          <w:color w:val="auto"/>
          <w:highlight w:val="none"/>
        </w:rPr>
        <w:t>如发包人最终发布的本项目工程量清单预算中的材料单价中也无信息价的，由监理人、发包人、承包人三方共同商定；</w:t>
      </w:r>
    </w:p>
    <w:p w14:paraId="04621BA7">
      <w:pPr>
        <w:pStyle w:val="44"/>
        <w:spacing w:line="400" w:lineRule="exact"/>
        <w:ind w:firstLine="420" w:firstLineChars="200"/>
        <w:rPr>
          <w:rFonts w:hint="eastAsia" w:ascii="宋体" w:hAnsi="宋体"/>
          <w:color w:val="auto"/>
          <w:highlight w:val="none"/>
        </w:rPr>
      </w:pPr>
      <w:r>
        <w:rPr>
          <w:rFonts w:hint="eastAsia" w:ascii="宋体" w:hAnsi="宋体"/>
          <w:color w:val="auto"/>
          <w:highlight w:val="none"/>
        </w:rPr>
        <w:t>（4）无法套用上述定额和取费标准的，依次按水运、市政、水利、铁路、建筑定额和取费标准的顺序进行组价；上述定额有区域性的，优先适用浙江定额与取费标准；</w:t>
      </w:r>
    </w:p>
    <w:p w14:paraId="28C6F6D5">
      <w:pPr>
        <w:pStyle w:val="44"/>
        <w:spacing w:line="400" w:lineRule="exact"/>
        <w:ind w:firstLine="420" w:firstLineChars="200"/>
        <w:rPr>
          <w:rFonts w:hint="eastAsia" w:ascii="宋体" w:hAnsi="宋体"/>
          <w:color w:val="auto"/>
          <w:highlight w:val="none"/>
        </w:rPr>
      </w:pPr>
      <w:r>
        <w:rPr>
          <w:rFonts w:hint="eastAsia" w:ascii="宋体" w:hAnsi="宋体"/>
          <w:color w:val="auto"/>
          <w:highlight w:val="none"/>
        </w:rPr>
        <w:t>（5）无法套用任何现行定额的，由承包人报监理人审核，并经发包人审批同意后计取；</w:t>
      </w:r>
    </w:p>
    <w:p w14:paraId="3EFCABD4">
      <w:pPr>
        <w:pStyle w:val="44"/>
        <w:spacing w:line="400" w:lineRule="exact"/>
        <w:ind w:firstLine="420" w:firstLineChars="200"/>
        <w:rPr>
          <w:rFonts w:hint="eastAsia" w:ascii="宋体" w:hAnsi="宋体"/>
          <w:color w:val="auto"/>
          <w:highlight w:val="none"/>
        </w:rPr>
      </w:pPr>
      <w:r>
        <w:rPr>
          <w:rFonts w:hint="eastAsia" w:ascii="宋体" w:hAnsi="宋体"/>
          <w:color w:val="auto"/>
          <w:highlight w:val="none"/>
        </w:rPr>
        <w:t>（6）根据上述原则组价的综合单价，乘以承包人的中标价与招标时发包人公布的工程量清单预算价的比例，作为该子目的单价。</w:t>
      </w:r>
    </w:p>
    <w:p w14:paraId="648F603E">
      <w:pPr>
        <w:pStyle w:val="44"/>
        <w:spacing w:line="400" w:lineRule="exact"/>
        <w:outlineLvl w:val="2"/>
        <w:rPr>
          <w:rFonts w:hint="eastAsia" w:ascii="宋体" w:hAnsi="宋体"/>
          <w:color w:val="auto"/>
          <w:sz w:val="28"/>
          <w:szCs w:val="28"/>
          <w:highlight w:val="none"/>
        </w:rPr>
      </w:pPr>
      <w:bookmarkStart w:id="705" w:name="_Toc15295"/>
      <w:r>
        <w:rPr>
          <w:rFonts w:hint="eastAsia" w:ascii="宋体" w:hAnsi="宋体"/>
          <w:color w:val="auto"/>
          <w:sz w:val="28"/>
          <w:szCs w:val="28"/>
          <w:highlight w:val="none"/>
        </w:rPr>
        <w:t>16. 价格调整</w:t>
      </w:r>
      <w:bookmarkEnd w:id="705"/>
    </w:p>
    <w:p w14:paraId="383F2276">
      <w:pPr>
        <w:pStyle w:val="44"/>
        <w:spacing w:line="400" w:lineRule="exact"/>
        <w:outlineLvl w:val="3"/>
        <w:rPr>
          <w:rFonts w:hint="eastAsia" w:ascii="宋体" w:hAnsi="宋体"/>
          <w:color w:val="auto"/>
          <w:highlight w:val="none"/>
        </w:rPr>
      </w:pPr>
      <w:r>
        <w:rPr>
          <w:rFonts w:hint="eastAsia" w:ascii="宋体" w:hAnsi="宋体"/>
          <w:color w:val="auto"/>
          <w:highlight w:val="none"/>
        </w:rPr>
        <w:t>16.1  物价波动引起的价格调整</w:t>
      </w:r>
    </w:p>
    <w:p w14:paraId="6C9FCEEE">
      <w:pPr>
        <w:pStyle w:val="44"/>
        <w:spacing w:line="400" w:lineRule="exact"/>
        <w:ind w:firstLine="420" w:firstLineChars="200"/>
        <w:rPr>
          <w:rFonts w:hint="eastAsia" w:ascii="宋体" w:hAnsi="宋体"/>
          <w:color w:val="auto"/>
          <w:highlight w:val="none"/>
        </w:rPr>
      </w:pPr>
      <w:r>
        <w:rPr>
          <w:rFonts w:hint="eastAsia" w:ascii="宋体" w:hAnsi="宋体" w:eastAsia="宋体"/>
          <w:color w:val="auto"/>
          <w:highlight w:val="none"/>
          <w:lang w:val="en-US" w:eastAsia="zh-CN"/>
        </w:rPr>
        <w:t>第</w:t>
      </w:r>
      <w:r>
        <w:rPr>
          <w:rFonts w:hint="eastAsia" w:ascii="宋体" w:hAnsi="宋体"/>
          <w:color w:val="auto"/>
          <w:highlight w:val="none"/>
        </w:rPr>
        <w:t>16.1</w:t>
      </w:r>
      <w:r>
        <w:rPr>
          <w:rFonts w:hint="eastAsia" w:ascii="宋体" w:hAnsi="宋体" w:eastAsia="宋体"/>
          <w:color w:val="auto"/>
          <w:highlight w:val="none"/>
          <w:lang w:val="en-US" w:eastAsia="zh-CN"/>
        </w:rPr>
        <w:t>款</w:t>
      </w:r>
      <w:r>
        <w:rPr>
          <w:rFonts w:hint="eastAsia" w:ascii="宋体" w:hAnsi="宋体"/>
          <w:color w:val="auto"/>
          <w:highlight w:val="none"/>
        </w:rPr>
        <w:t>约定为：</w:t>
      </w:r>
    </w:p>
    <w:p w14:paraId="57AACA47">
      <w:pPr>
        <w:pStyle w:val="58"/>
        <w:spacing w:line="400" w:lineRule="exact"/>
        <w:ind w:firstLine="420"/>
        <w:rPr>
          <w:rFonts w:hint="eastAsia" w:ascii="宋体" w:hAnsi="宋体"/>
          <w:color w:val="auto"/>
          <w:highlight w:val="none"/>
        </w:rPr>
      </w:pPr>
      <w:r>
        <w:rPr>
          <w:rFonts w:hint="eastAsia" w:ascii="宋体" w:hAnsi="宋体" w:cs="Calibri"/>
          <w:color w:val="auto"/>
          <w:szCs w:val="21"/>
          <w:highlight w:val="none"/>
        </w:rPr>
        <w:t>本合同</w:t>
      </w:r>
      <w:r>
        <w:rPr>
          <w:rFonts w:hint="eastAsia" w:ascii="宋体" w:hAnsi="宋体" w:cs="Calibri"/>
          <w:color w:val="auto"/>
          <w:szCs w:val="21"/>
          <w:highlight w:val="none"/>
          <w:lang w:val="en-US" w:eastAsia="zh-CN"/>
        </w:rPr>
        <w:t>执行</w:t>
      </w:r>
      <w:r>
        <w:rPr>
          <w:rFonts w:hint="eastAsia" w:ascii="宋体" w:hAnsi="宋体" w:cs="Calibri"/>
          <w:color w:val="auto"/>
          <w:szCs w:val="21"/>
          <w:highlight w:val="none"/>
        </w:rPr>
        <w:t>期间，不进行材料价格调差。</w:t>
      </w:r>
    </w:p>
    <w:p w14:paraId="223F0019">
      <w:pPr>
        <w:pStyle w:val="44"/>
        <w:spacing w:line="400" w:lineRule="exact"/>
        <w:outlineLvl w:val="2"/>
        <w:rPr>
          <w:rFonts w:hint="eastAsia" w:ascii="宋体" w:hAnsi="宋体"/>
          <w:color w:val="auto"/>
          <w:sz w:val="28"/>
          <w:szCs w:val="28"/>
          <w:highlight w:val="none"/>
        </w:rPr>
      </w:pPr>
      <w:bookmarkStart w:id="706" w:name="_Toc21674"/>
      <w:r>
        <w:rPr>
          <w:rFonts w:hint="eastAsia" w:ascii="宋体" w:hAnsi="宋体"/>
          <w:color w:val="auto"/>
          <w:sz w:val="28"/>
          <w:szCs w:val="28"/>
          <w:highlight w:val="none"/>
        </w:rPr>
        <w:t>17. 计量与支付</w:t>
      </w:r>
      <w:bookmarkEnd w:id="706"/>
    </w:p>
    <w:p w14:paraId="77C54C01">
      <w:pPr>
        <w:pStyle w:val="44"/>
        <w:spacing w:line="400" w:lineRule="exact"/>
        <w:outlineLvl w:val="3"/>
        <w:rPr>
          <w:rFonts w:hint="eastAsia" w:ascii="宋体" w:hAnsi="宋体"/>
          <w:color w:val="auto"/>
          <w:highlight w:val="none"/>
        </w:rPr>
      </w:pPr>
      <w:r>
        <w:rPr>
          <w:rFonts w:hint="eastAsia" w:ascii="宋体" w:hAnsi="宋体"/>
          <w:color w:val="auto"/>
          <w:highlight w:val="none"/>
        </w:rPr>
        <w:t>17.2  预付款</w:t>
      </w:r>
    </w:p>
    <w:p w14:paraId="28FB7797">
      <w:pPr>
        <w:pStyle w:val="44"/>
        <w:spacing w:line="400" w:lineRule="exact"/>
        <w:ind w:firstLine="420" w:firstLineChars="200"/>
        <w:rPr>
          <w:rFonts w:hint="eastAsia" w:ascii="宋体" w:hAnsi="宋体"/>
          <w:color w:val="auto"/>
          <w:highlight w:val="none"/>
        </w:rPr>
      </w:pPr>
      <w:r>
        <w:rPr>
          <w:rFonts w:hint="eastAsia" w:ascii="宋体" w:hAnsi="宋体"/>
          <w:color w:val="auto"/>
          <w:highlight w:val="none"/>
        </w:rPr>
        <w:t>17.2.1 预付款</w:t>
      </w:r>
    </w:p>
    <w:p w14:paraId="26AAAC8F">
      <w:pPr>
        <w:pStyle w:val="44"/>
        <w:spacing w:line="400" w:lineRule="exact"/>
        <w:ind w:firstLine="420" w:firstLineChars="200"/>
        <w:rPr>
          <w:rFonts w:hint="eastAsia" w:ascii="宋体" w:hAnsi="宋体"/>
          <w:color w:val="auto"/>
          <w:highlight w:val="none"/>
        </w:rPr>
      </w:pPr>
      <w:r>
        <w:rPr>
          <w:rFonts w:hint="eastAsia" w:ascii="宋体" w:hAnsi="宋体" w:eastAsia="宋体"/>
          <w:color w:val="auto"/>
          <w:highlight w:val="none"/>
          <w:lang w:val="en-US" w:eastAsia="zh-CN"/>
        </w:rPr>
        <w:t>第</w:t>
      </w:r>
      <w:r>
        <w:rPr>
          <w:rFonts w:hint="eastAsia" w:ascii="宋体" w:hAnsi="宋体"/>
          <w:color w:val="auto"/>
          <w:highlight w:val="none"/>
        </w:rPr>
        <w:t>17.2.1（1）、（2）目</w:t>
      </w:r>
      <w:r>
        <w:rPr>
          <w:rFonts w:hint="eastAsia" w:ascii="宋体" w:hAnsi="宋体" w:eastAsia="宋体"/>
          <w:color w:val="auto"/>
          <w:highlight w:val="none"/>
          <w:lang w:val="en-US" w:eastAsia="zh-CN"/>
        </w:rPr>
        <w:t>约定</w:t>
      </w:r>
      <w:r>
        <w:rPr>
          <w:rFonts w:hint="eastAsia" w:ascii="宋体" w:hAnsi="宋体"/>
          <w:color w:val="auto"/>
          <w:highlight w:val="none"/>
        </w:rPr>
        <w:t>为：</w:t>
      </w:r>
    </w:p>
    <w:p w14:paraId="702CDEB9">
      <w:pPr>
        <w:pStyle w:val="55"/>
        <w:snapToGrid w:val="0"/>
        <w:spacing w:line="400" w:lineRule="exact"/>
        <w:ind w:firstLine="420" w:firstLineChars="200"/>
        <w:rPr>
          <w:rFonts w:hint="eastAsia" w:ascii="宋体" w:hAnsi="宋体"/>
          <w:color w:val="auto"/>
          <w:highlight w:val="none"/>
        </w:rPr>
      </w:pPr>
      <w:r>
        <w:rPr>
          <w:rFonts w:hint="eastAsia" w:ascii="宋体" w:hAnsi="宋体"/>
          <w:color w:val="auto"/>
          <w:highlight w:val="none"/>
        </w:rPr>
        <w:t>（1）开工预付款的金额为签约合同价的10％。在承包人签订了合同协议书后、且承包人承诺的主要人员、设备报备完成</w:t>
      </w:r>
      <w:r>
        <w:rPr>
          <w:rFonts w:hint="eastAsia" w:ascii="宋体" w:hAnsi="宋体"/>
          <w:color w:val="auto"/>
          <w:highlight w:val="none"/>
          <w:lang w:eastAsia="zh-CN"/>
        </w:rPr>
        <w:t>，</w:t>
      </w:r>
      <w:r>
        <w:rPr>
          <w:rFonts w:hint="eastAsia" w:ascii="宋体" w:hAnsi="宋体"/>
          <w:color w:val="auto"/>
          <w:highlight w:val="none"/>
          <w:lang w:val="en-US" w:eastAsia="zh-CN"/>
        </w:rPr>
        <w:t>并能满足连续施工需要，</w:t>
      </w:r>
      <w:r>
        <w:rPr>
          <w:rFonts w:hint="eastAsia" w:ascii="宋体" w:hAnsi="宋体"/>
          <w:color w:val="auto"/>
          <w:highlight w:val="none"/>
        </w:rPr>
        <w:t>经监理人</w:t>
      </w:r>
      <w:r>
        <w:rPr>
          <w:rFonts w:hint="eastAsia" w:ascii="宋体" w:hAnsi="宋体"/>
          <w:color w:val="auto"/>
          <w:highlight w:val="none"/>
          <w:lang w:val="en-US" w:eastAsia="zh-CN"/>
        </w:rPr>
        <w:t>核实、发包人批准，且监理人发出开工令后</w:t>
      </w:r>
      <w:r>
        <w:rPr>
          <w:rFonts w:hint="eastAsia" w:ascii="宋体" w:hAnsi="宋体"/>
          <w:color w:val="auto"/>
          <w:highlight w:val="none"/>
        </w:rPr>
        <w:t>，一次性支付开工预付款。</w:t>
      </w:r>
    </w:p>
    <w:p w14:paraId="107E57A3">
      <w:pPr>
        <w:pStyle w:val="55"/>
        <w:snapToGrid w:val="0"/>
        <w:spacing w:line="400" w:lineRule="exact"/>
        <w:ind w:firstLine="420" w:firstLineChars="200"/>
        <w:rPr>
          <w:rFonts w:hint="eastAsia" w:ascii="宋体" w:hAnsi="宋体"/>
          <w:color w:val="auto"/>
          <w:highlight w:val="none"/>
        </w:rPr>
      </w:pPr>
      <w:r>
        <w:rPr>
          <w:rFonts w:hint="eastAsia" w:ascii="宋体" w:hAnsi="宋体"/>
          <w:color w:val="auto"/>
          <w:highlight w:val="none"/>
        </w:rPr>
        <w:t>承包人不得将该预付款用于与本工程无关的支出，监理人有权监督承包人对该项费用的使用，如经查实承包人滥用开工预付款，发包人有权立即将该款收回。</w:t>
      </w:r>
    </w:p>
    <w:p w14:paraId="75B679D5">
      <w:pPr>
        <w:pStyle w:val="55"/>
        <w:snapToGrid w:val="0"/>
        <w:spacing w:line="400" w:lineRule="exact"/>
        <w:ind w:firstLine="420" w:firstLineChars="200"/>
        <w:rPr>
          <w:rFonts w:ascii="宋体" w:hAnsi="宋体"/>
          <w:color w:val="auto"/>
          <w:highlight w:val="none"/>
        </w:rPr>
      </w:pPr>
      <w:r>
        <w:rPr>
          <w:rFonts w:hint="eastAsia" w:ascii="宋体" w:hAnsi="宋体"/>
          <w:color w:val="auto"/>
          <w:highlight w:val="none"/>
        </w:rPr>
        <w:t>（2）本项目</w:t>
      </w:r>
      <w:r>
        <w:rPr>
          <w:rFonts w:hint="eastAsia" w:ascii="宋体" w:hAnsi="宋体"/>
          <w:color w:val="auto"/>
          <w:highlight w:val="none"/>
          <w:lang w:val="en-US" w:eastAsia="zh-CN"/>
        </w:rPr>
        <w:t>不支付材料预付款</w:t>
      </w:r>
      <w:r>
        <w:rPr>
          <w:rFonts w:hint="eastAsia" w:ascii="宋体" w:hAnsi="宋体"/>
          <w:color w:val="auto"/>
          <w:highlight w:val="none"/>
        </w:rPr>
        <w:t>。</w:t>
      </w:r>
    </w:p>
    <w:p w14:paraId="031EBF0C">
      <w:pPr>
        <w:pStyle w:val="44"/>
        <w:spacing w:line="400" w:lineRule="exact"/>
        <w:ind w:firstLine="420" w:firstLineChars="200"/>
        <w:rPr>
          <w:rFonts w:hint="eastAsia" w:ascii="宋体"/>
          <w:color w:val="auto"/>
          <w:highlight w:val="none"/>
        </w:rPr>
      </w:pPr>
      <w:r>
        <w:rPr>
          <w:rFonts w:hint="eastAsia" w:ascii="宋体" w:hAnsi="宋体"/>
          <w:color w:val="auto"/>
          <w:highlight w:val="none"/>
        </w:rPr>
        <w:t>17.2.</w:t>
      </w:r>
      <w:r>
        <w:rPr>
          <w:rFonts w:hint="eastAsia" w:ascii="宋体" w:hAnsi="宋体" w:eastAsia="宋体"/>
          <w:color w:val="auto"/>
          <w:highlight w:val="none"/>
          <w:lang w:val="en-US" w:eastAsia="zh-CN"/>
        </w:rPr>
        <w:t>2</w:t>
      </w:r>
      <w:r>
        <w:rPr>
          <w:rFonts w:hint="eastAsia" w:ascii="宋体" w:hAnsi="宋体"/>
          <w:color w:val="auto"/>
          <w:highlight w:val="none"/>
        </w:rPr>
        <w:t xml:space="preserve">  预付款的扣回与还清 </w:t>
      </w:r>
    </w:p>
    <w:p w14:paraId="4A817C2E">
      <w:pPr>
        <w:pStyle w:val="44"/>
        <w:spacing w:line="400" w:lineRule="exact"/>
        <w:ind w:firstLine="420" w:firstLineChars="200"/>
        <w:rPr>
          <w:rFonts w:hint="eastAsia" w:ascii="宋体" w:hAnsi="宋体" w:eastAsia="Times New Roman"/>
          <w:color w:val="auto"/>
          <w:highlight w:val="none"/>
        </w:rPr>
      </w:pPr>
      <w:r>
        <w:rPr>
          <w:rFonts w:hint="eastAsia" w:ascii="宋体" w:hAnsi="宋体" w:eastAsia="宋体"/>
          <w:color w:val="auto"/>
          <w:highlight w:val="none"/>
          <w:lang w:val="en-US" w:eastAsia="zh-CN"/>
        </w:rPr>
        <w:t>第</w:t>
      </w:r>
      <w:r>
        <w:rPr>
          <w:rFonts w:hint="eastAsia" w:ascii="宋体" w:hAnsi="宋体" w:eastAsia="Times New Roman"/>
          <w:color w:val="auto"/>
          <w:highlight w:val="none"/>
        </w:rPr>
        <w:t xml:space="preserve"> 17.2.3 项（1）、（2）目细化为：</w:t>
      </w:r>
    </w:p>
    <w:p w14:paraId="4D83C4B9">
      <w:pPr>
        <w:pStyle w:val="9"/>
        <w:tabs>
          <w:tab w:val="left" w:pos="2790"/>
        </w:tabs>
        <w:snapToGrid w:val="0"/>
        <w:spacing w:line="400" w:lineRule="exact"/>
        <w:ind w:firstLine="420" w:firstLineChars="200"/>
        <w:rPr>
          <w:rFonts w:hint="eastAsia" w:ascii="宋体"/>
          <w:color w:val="auto"/>
          <w:szCs w:val="21"/>
          <w:highlight w:val="none"/>
        </w:rPr>
      </w:pPr>
      <w:r>
        <w:rPr>
          <w:rFonts w:hint="eastAsia" w:ascii="宋体"/>
          <w:color w:val="auto"/>
          <w:szCs w:val="21"/>
          <w:highlight w:val="none"/>
        </w:rPr>
        <w:t>（l）开工预付款在进度付款证书的累计金额未达到签约合同价的30％之前不予扣回，在达到签约合同价30％之后，开始按工程进度以固定比例（即每完成签约合同价的1％，扣回开工预付款的2％）分期从各月的进度付款证书中扣回，全部金额在进度付款证书的累计金额达到签约合同价的80％时扣完。</w:t>
      </w:r>
    </w:p>
    <w:p w14:paraId="622A1919">
      <w:pPr>
        <w:pStyle w:val="44"/>
        <w:spacing w:line="400" w:lineRule="exact"/>
        <w:ind w:firstLine="420" w:firstLineChars="200"/>
        <w:rPr>
          <w:rFonts w:ascii="宋体" w:hAnsi="宋体"/>
          <w:color w:val="auto"/>
          <w:highlight w:val="none"/>
        </w:rPr>
      </w:pPr>
      <w:r>
        <w:rPr>
          <w:rFonts w:hint="eastAsia" w:ascii="宋体"/>
          <w:color w:val="auto"/>
          <w:highlight w:val="none"/>
        </w:rPr>
        <w:t>（2）</w:t>
      </w:r>
      <w:bookmarkStart w:id="707" w:name="_Hlk17992726"/>
      <w:r>
        <w:rPr>
          <w:rFonts w:hint="eastAsia" w:ascii="宋体" w:hAnsi="宋体" w:eastAsia="宋体"/>
          <w:color w:val="auto"/>
          <w:highlight w:val="none"/>
          <w:lang w:val="en-US" w:eastAsia="zh-CN"/>
        </w:rPr>
        <w:t>删除本目原内容，本项目不适用</w:t>
      </w:r>
      <w:r>
        <w:rPr>
          <w:rFonts w:hint="eastAsia" w:ascii="宋体" w:hAnsi="宋体"/>
          <w:color w:val="auto"/>
          <w:highlight w:val="none"/>
        </w:rPr>
        <w:t>。</w:t>
      </w:r>
    </w:p>
    <w:bookmarkEnd w:id="707"/>
    <w:p w14:paraId="75012D3C">
      <w:pPr>
        <w:pStyle w:val="44"/>
        <w:keepNext/>
        <w:keepLines/>
        <w:spacing w:line="400" w:lineRule="exact"/>
        <w:outlineLvl w:val="3"/>
        <w:rPr>
          <w:rFonts w:hint="eastAsia" w:ascii="宋体" w:hAnsi="宋体"/>
          <w:color w:val="auto"/>
          <w:highlight w:val="none"/>
        </w:rPr>
      </w:pPr>
      <w:r>
        <w:rPr>
          <w:rFonts w:hint="eastAsia" w:ascii="宋体" w:hAnsi="宋体"/>
          <w:color w:val="auto"/>
          <w:highlight w:val="none"/>
        </w:rPr>
        <w:t>17.3 工程进度付款</w:t>
      </w:r>
    </w:p>
    <w:p w14:paraId="0C2B521F">
      <w:pPr>
        <w:pStyle w:val="44"/>
        <w:spacing w:line="400" w:lineRule="exact"/>
        <w:ind w:firstLine="420" w:firstLineChars="200"/>
        <w:rPr>
          <w:rFonts w:hint="eastAsia" w:ascii="宋体" w:hAnsi="宋体"/>
          <w:color w:val="auto"/>
          <w:highlight w:val="none"/>
        </w:rPr>
      </w:pPr>
      <w:r>
        <w:rPr>
          <w:rFonts w:ascii="宋体" w:hAnsi="宋体"/>
          <w:color w:val="auto"/>
          <w:highlight w:val="none"/>
        </w:rPr>
        <w:t xml:space="preserve">17.3.3 </w:t>
      </w:r>
      <w:r>
        <w:rPr>
          <w:rFonts w:hint="eastAsia" w:ascii="宋体" w:hAnsi="宋体"/>
          <w:color w:val="auto"/>
          <w:highlight w:val="none"/>
        </w:rPr>
        <w:t>进度付款证书和支付时间</w:t>
      </w:r>
    </w:p>
    <w:p w14:paraId="472198EC">
      <w:pPr>
        <w:pStyle w:val="44"/>
        <w:spacing w:line="400" w:lineRule="exact"/>
        <w:ind w:firstLine="420" w:firstLineChars="200"/>
        <w:rPr>
          <w:rFonts w:hint="eastAsia" w:ascii="宋体" w:hAnsi="宋体"/>
          <w:color w:val="auto"/>
          <w:highlight w:val="none"/>
        </w:rPr>
      </w:pPr>
      <w:bookmarkStart w:id="708" w:name="_Toc3984"/>
      <w:bookmarkStart w:id="709" w:name="_Toc23532"/>
      <w:bookmarkStart w:id="710" w:name="_Toc41482882"/>
      <w:r>
        <w:rPr>
          <w:rFonts w:hint="eastAsia" w:ascii="宋体" w:hAnsi="宋体"/>
          <w:color w:val="auto"/>
          <w:highlight w:val="none"/>
        </w:rPr>
        <w:t>第</w:t>
      </w:r>
      <w:r>
        <w:rPr>
          <w:rFonts w:ascii="宋体" w:hAnsi="宋体"/>
          <w:color w:val="auto"/>
          <w:highlight w:val="none"/>
        </w:rPr>
        <w:t>17.3.3</w:t>
      </w:r>
      <w:r>
        <w:rPr>
          <w:rFonts w:hint="eastAsia" w:ascii="宋体" w:hAnsi="宋体"/>
          <w:color w:val="auto"/>
          <w:highlight w:val="none"/>
        </w:rPr>
        <w:t>（</w:t>
      </w:r>
      <w:r>
        <w:rPr>
          <w:rFonts w:hint="eastAsia" w:ascii="宋体" w:hAnsi="宋体" w:eastAsia="宋体"/>
          <w:color w:val="auto"/>
          <w:highlight w:val="none"/>
          <w:lang w:val="en-US" w:eastAsia="zh-CN"/>
        </w:rPr>
        <w:t>2</w:t>
      </w:r>
      <w:r>
        <w:rPr>
          <w:rFonts w:hint="eastAsia" w:ascii="宋体" w:hAnsi="宋体"/>
          <w:color w:val="auto"/>
          <w:highlight w:val="none"/>
        </w:rPr>
        <w:t>）目</w:t>
      </w:r>
      <w:r>
        <w:rPr>
          <w:rFonts w:hint="eastAsia" w:ascii="宋体" w:hAnsi="宋体" w:eastAsia="宋体"/>
          <w:color w:val="auto"/>
          <w:highlight w:val="none"/>
          <w:lang w:val="en-US" w:eastAsia="zh-CN"/>
        </w:rPr>
        <w:t>约定为</w:t>
      </w:r>
      <w:r>
        <w:rPr>
          <w:rFonts w:hint="eastAsia" w:ascii="宋体" w:hAnsi="宋体"/>
          <w:color w:val="auto"/>
          <w:highlight w:val="none"/>
        </w:rPr>
        <w:t>：</w:t>
      </w:r>
    </w:p>
    <w:p w14:paraId="36025EAE">
      <w:pPr>
        <w:pStyle w:val="44"/>
        <w:spacing w:line="400" w:lineRule="exact"/>
        <w:ind w:firstLine="420" w:firstLineChars="200"/>
        <w:rPr>
          <w:rFonts w:ascii="宋体" w:hAnsi="宋体" w:eastAsia="Times New Roman"/>
          <w:color w:val="auto"/>
          <w:highlight w:val="none"/>
        </w:rPr>
      </w:pPr>
      <w:r>
        <w:rPr>
          <w:rFonts w:hint="eastAsia" w:ascii="宋体" w:hAnsi="宋体" w:eastAsia="Times New Roman"/>
          <w:color w:val="auto"/>
          <w:highlight w:val="none"/>
        </w:rPr>
        <w:t>（</w:t>
      </w:r>
      <w:r>
        <w:rPr>
          <w:rFonts w:hint="eastAsia" w:ascii="宋体" w:hAnsi="宋体" w:eastAsia="宋体"/>
          <w:color w:val="auto"/>
          <w:highlight w:val="none"/>
          <w:lang w:val="en-US" w:eastAsia="zh-CN"/>
        </w:rPr>
        <w:t>2</w:t>
      </w:r>
      <w:r>
        <w:rPr>
          <w:rFonts w:hint="eastAsia" w:ascii="宋体" w:hAnsi="宋体" w:eastAsia="Times New Roman"/>
          <w:color w:val="auto"/>
          <w:highlight w:val="none"/>
        </w:rPr>
        <w:t>）</w:t>
      </w:r>
      <w:r>
        <w:rPr>
          <w:rFonts w:hint="eastAsia" w:ascii="宋体" w:hAnsi="宋体" w:eastAsia="Times New Roman"/>
          <w:color w:val="auto"/>
          <w:highlight w:val="none"/>
          <w:lang w:val="en-US" w:eastAsia="zh-CN"/>
        </w:rPr>
        <w:t xml:space="preserve">养护工程价款的支付按以下办法进行： </w:t>
      </w:r>
    </w:p>
    <w:p w14:paraId="2FED1737">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jc w:val="left"/>
        <w:textAlignment w:val="auto"/>
        <w:rPr>
          <w:rFonts w:hint="eastAsia" w:ascii="宋体" w:hAnsi="宋体" w:eastAsia="宋体"/>
          <w:color w:val="auto"/>
          <w:highlight w:val="none"/>
          <w:lang w:val="en-US" w:eastAsia="zh-CN"/>
        </w:rPr>
      </w:pPr>
      <w:r>
        <w:rPr>
          <w:rFonts w:hint="eastAsia" w:ascii="宋体" w:hAnsi="宋体" w:eastAsia="Times New Roman"/>
          <w:color w:val="auto"/>
          <w:highlight w:val="none"/>
        </w:rPr>
        <w:t>每期工程进度付款支付至当期应支付工程进度款的</w:t>
      </w:r>
      <w:r>
        <w:rPr>
          <w:rFonts w:hint="eastAsia" w:ascii="宋体" w:hAnsi="宋体" w:eastAsia="宋体"/>
          <w:color w:val="auto"/>
          <w:highlight w:val="none"/>
          <w:lang w:val="en-US" w:eastAsia="zh-CN"/>
        </w:rPr>
        <w:t>85</w:t>
      </w:r>
      <w:r>
        <w:rPr>
          <w:rFonts w:hint="eastAsia" w:ascii="宋体" w:hAnsi="宋体" w:eastAsia="Times New Roman"/>
          <w:color w:val="auto"/>
          <w:highlight w:val="none"/>
        </w:rPr>
        <w:t>%</w:t>
      </w:r>
      <w:r>
        <w:rPr>
          <w:rFonts w:hint="eastAsia" w:ascii="宋体" w:hAnsi="宋体" w:eastAsia="Times New Roman"/>
          <w:color w:val="auto"/>
          <w:highlight w:val="none"/>
          <w:lang w:eastAsia="zh-CN"/>
        </w:rPr>
        <w:t>；</w:t>
      </w:r>
      <w:r>
        <w:rPr>
          <w:rFonts w:hint="eastAsia" w:ascii="宋体" w:hAnsi="宋体" w:eastAsia="Times New Roman"/>
          <w:color w:val="auto"/>
          <w:highlight w:val="none"/>
        </w:rPr>
        <w:t>工程交工验收合格后</w:t>
      </w:r>
      <w:r>
        <w:rPr>
          <w:rFonts w:hint="eastAsia" w:ascii="宋体" w:hAnsi="宋体" w:eastAsia="Times New Roman"/>
          <w:color w:val="auto"/>
          <w:highlight w:val="none"/>
          <w:lang w:val="en-US" w:eastAsia="zh-CN"/>
        </w:rPr>
        <w:t>14个工作日内</w:t>
      </w:r>
      <w:r>
        <w:rPr>
          <w:rFonts w:hint="eastAsia" w:ascii="宋体" w:hAnsi="宋体" w:eastAsia="Times New Roman"/>
          <w:color w:val="auto"/>
          <w:highlight w:val="none"/>
        </w:rPr>
        <w:t>，发包人向承包人累计支付至</w:t>
      </w:r>
      <w:r>
        <w:rPr>
          <w:rFonts w:hint="eastAsia" w:ascii="宋体" w:hAnsi="宋体" w:eastAsia="宋体"/>
          <w:color w:val="auto"/>
          <w:highlight w:val="none"/>
          <w:lang w:val="en-US" w:eastAsia="zh-CN"/>
        </w:rPr>
        <w:t>已经完成并经发包人确认的</w:t>
      </w:r>
      <w:r>
        <w:rPr>
          <w:rFonts w:hint="eastAsia" w:ascii="宋体" w:hAnsi="宋体" w:eastAsia="Times New Roman"/>
          <w:color w:val="auto"/>
          <w:highlight w:val="none"/>
        </w:rPr>
        <w:t>工程</w:t>
      </w:r>
      <w:r>
        <w:rPr>
          <w:rFonts w:hint="eastAsia" w:ascii="宋体" w:hAnsi="宋体" w:eastAsia="Times New Roman"/>
          <w:color w:val="auto"/>
          <w:highlight w:val="none"/>
          <w:lang w:val="en-US" w:eastAsia="zh-CN"/>
        </w:rPr>
        <w:t>进度款的90%（含开工预付款）；</w:t>
      </w:r>
      <w:r>
        <w:rPr>
          <w:rFonts w:hint="eastAsia" w:ascii="宋体" w:hAnsi="宋体" w:eastAsia="Times New Roman"/>
          <w:color w:val="auto"/>
          <w:highlight w:val="none"/>
        </w:rPr>
        <w:t>承包人完成交工资料审查、移交工程及相关资料后，且工程结算审计报告认定后的14</w:t>
      </w:r>
      <w:r>
        <w:rPr>
          <w:rFonts w:hint="eastAsia" w:ascii="宋体" w:hAnsi="宋体" w:eastAsia="Times New Roman"/>
          <w:color w:val="auto"/>
          <w:highlight w:val="none"/>
          <w:lang w:val="en-US" w:eastAsia="zh-CN"/>
        </w:rPr>
        <w:t>个工作日</w:t>
      </w:r>
      <w:r>
        <w:rPr>
          <w:rFonts w:hint="eastAsia" w:ascii="宋体" w:hAnsi="宋体" w:eastAsia="Times New Roman"/>
          <w:color w:val="auto"/>
          <w:highlight w:val="none"/>
        </w:rPr>
        <w:t>内</w:t>
      </w:r>
      <w:r>
        <w:rPr>
          <w:rFonts w:hint="eastAsia" w:ascii="宋体" w:hAnsi="宋体" w:eastAsia="Times New Roman"/>
          <w:color w:val="auto"/>
          <w:highlight w:val="none"/>
          <w:lang w:val="en-US" w:eastAsia="zh-CN"/>
        </w:rPr>
        <w:t>，</w:t>
      </w:r>
      <w:r>
        <w:rPr>
          <w:rFonts w:hint="eastAsia" w:ascii="宋体" w:hAnsi="宋体" w:eastAsia="Times New Roman"/>
          <w:color w:val="auto"/>
          <w:highlight w:val="none"/>
        </w:rPr>
        <w:t>发包人向承包人累计支付至</w:t>
      </w:r>
      <w:r>
        <w:rPr>
          <w:rFonts w:hint="eastAsia" w:ascii="宋体" w:hAnsi="宋体" w:eastAsia="宋体"/>
          <w:color w:val="auto"/>
          <w:highlight w:val="none"/>
          <w:lang w:val="en-US" w:eastAsia="zh-CN"/>
        </w:rPr>
        <w:t>签约合同价</w:t>
      </w:r>
      <w:r>
        <w:rPr>
          <w:rFonts w:hint="eastAsia" w:ascii="宋体" w:hAnsi="宋体" w:eastAsia="Times New Roman"/>
          <w:color w:val="auto"/>
          <w:highlight w:val="none"/>
        </w:rPr>
        <w:t>的98.5%（如承包人以</w:t>
      </w:r>
      <w:r>
        <w:rPr>
          <w:rFonts w:hint="eastAsia" w:ascii="宋体" w:hAnsi="宋体" w:eastAsia="宋体"/>
          <w:color w:val="auto"/>
          <w:highlight w:val="none"/>
          <w:lang w:val="en-US" w:eastAsia="zh-CN"/>
        </w:rPr>
        <w:t>工程</w:t>
      </w:r>
      <w:r>
        <w:rPr>
          <w:rFonts w:hint="eastAsia" w:ascii="宋体" w:hAnsi="宋体" w:eastAsia="Times New Roman"/>
          <w:color w:val="auto"/>
          <w:highlight w:val="none"/>
        </w:rPr>
        <w:t>保函形式缴纳质量保证金的，发包人向承包人支付</w:t>
      </w:r>
      <w:r>
        <w:rPr>
          <w:rFonts w:hint="eastAsia" w:ascii="宋体" w:hAnsi="宋体" w:eastAsia="宋体"/>
          <w:color w:val="auto"/>
          <w:highlight w:val="none"/>
          <w:lang w:val="en-US" w:eastAsia="zh-CN"/>
        </w:rPr>
        <w:t>本阶段工程</w:t>
      </w:r>
      <w:r>
        <w:rPr>
          <w:rFonts w:hint="eastAsia" w:ascii="宋体" w:hAnsi="宋体" w:eastAsia="Times New Roman"/>
          <w:color w:val="auto"/>
          <w:highlight w:val="none"/>
        </w:rPr>
        <w:t>款前，承包人应递交符合招标文件及发包人要求的质保金保函，承包人完成交工资料审查、移交工程及相关资料后，且工程结算审计报告完成后14</w:t>
      </w:r>
      <w:r>
        <w:rPr>
          <w:rFonts w:hint="eastAsia" w:ascii="宋体" w:hAnsi="宋体" w:eastAsia="Times New Roman"/>
          <w:color w:val="auto"/>
          <w:highlight w:val="none"/>
          <w:lang w:val="en-US" w:eastAsia="zh-CN"/>
        </w:rPr>
        <w:t>个工作日</w:t>
      </w:r>
      <w:r>
        <w:rPr>
          <w:rFonts w:hint="eastAsia" w:ascii="宋体" w:hAnsi="宋体" w:eastAsia="Times New Roman"/>
          <w:color w:val="auto"/>
          <w:highlight w:val="none"/>
        </w:rPr>
        <w:t>内，发包人</w:t>
      </w:r>
      <w:r>
        <w:rPr>
          <w:rFonts w:hint="eastAsia" w:ascii="宋体" w:hAnsi="宋体" w:eastAsia="宋体"/>
          <w:color w:val="auto"/>
          <w:highlight w:val="none"/>
          <w:lang w:val="en-US" w:eastAsia="zh-CN"/>
        </w:rPr>
        <w:t>则</w:t>
      </w:r>
      <w:r>
        <w:rPr>
          <w:rFonts w:hint="eastAsia" w:ascii="宋体" w:hAnsi="宋体" w:eastAsia="Times New Roman"/>
          <w:color w:val="auto"/>
          <w:highlight w:val="none"/>
        </w:rPr>
        <w:t>向承包人累计支付至工程价款结算总额的100%）</w:t>
      </w:r>
      <w:r>
        <w:rPr>
          <w:rFonts w:hint="eastAsia" w:ascii="宋体" w:hAnsi="宋体" w:eastAsia="宋体"/>
          <w:color w:val="auto"/>
          <w:highlight w:val="none"/>
          <w:lang w:eastAsia="zh-CN"/>
        </w:rPr>
        <w:t>。</w:t>
      </w:r>
    </w:p>
    <w:p w14:paraId="05EF188A">
      <w:pPr>
        <w:pStyle w:val="44"/>
        <w:spacing w:line="400" w:lineRule="exact"/>
        <w:ind w:firstLine="422" w:firstLineChars="200"/>
        <w:rPr>
          <w:rFonts w:hint="default" w:ascii="宋体" w:hAnsi="宋体" w:eastAsia="宋体"/>
          <w:color w:val="auto"/>
          <w:highlight w:val="none"/>
          <w:lang w:val="en-US" w:eastAsia="zh-CN"/>
        </w:rPr>
      </w:pPr>
      <w:r>
        <w:rPr>
          <w:rFonts w:hint="eastAsia" w:ascii="宋体" w:hAnsi="宋体" w:eastAsia="宋体" w:cs="宋体"/>
          <w:b/>
          <w:bCs/>
          <w:i w:val="0"/>
          <w:iCs w:val="0"/>
          <w:color w:val="auto"/>
          <w:kern w:val="2"/>
          <w:sz w:val="21"/>
          <w:szCs w:val="21"/>
          <w:highlight w:val="none"/>
        </w:rPr>
        <w:t>注：农民工工资款支付：根据《保障农民工工资支付条例》及浙建〔2020〕7号文件，每</w:t>
      </w:r>
      <w:r>
        <w:rPr>
          <w:rFonts w:hint="eastAsia" w:ascii="宋体" w:hAnsi="宋体" w:eastAsia="宋体" w:cs="宋体"/>
          <w:b/>
          <w:bCs/>
          <w:i w:val="0"/>
          <w:iCs w:val="0"/>
          <w:color w:val="auto"/>
          <w:kern w:val="2"/>
          <w:sz w:val="21"/>
          <w:szCs w:val="21"/>
          <w:highlight w:val="none"/>
          <w:lang w:val="en-US" w:eastAsia="zh-CN"/>
        </w:rPr>
        <w:t>期</w:t>
      </w:r>
      <w:r>
        <w:rPr>
          <w:rFonts w:hint="eastAsia" w:ascii="宋体" w:hAnsi="宋体" w:eastAsia="宋体" w:cs="宋体"/>
          <w:b/>
          <w:bCs/>
          <w:i w:val="0"/>
          <w:iCs w:val="0"/>
          <w:color w:val="auto"/>
          <w:kern w:val="2"/>
          <w:sz w:val="21"/>
          <w:szCs w:val="21"/>
          <w:highlight w:val="none"/>
        </w:rPr>
        <w:t>已完成工程量价款的</w:t>
      </w:r>
      <w:r>
        <w:rPr>
          <w:rFonts w:hint="eastAsia" w:ascii="宋体" w:hAnsi="宋体" w:eastAsia="宋体" w:cs="宋体"/>
          <w:b/>
          <w:bCs/>
          <w:i w:val="0"/>
          <w:iCs w:val="0"/>
          <w:color w:val="auto"/>
          <w:kern w:val="2"/>
          <w:sz w:val="21"/>
          <w:szCs w:val="21"/>
          <w:highlight w:val="none"/>
          <w:lang w:val="en-US" w:eastAsia="zh-CN"/>
        </w:rPr>
        <w:t>15</w:t>
      </w:r>
      <w:r>
        <w:rPr>
          <w:rFonts w:hint="eastAsia" w:ascii="宋体" w:hAnsi="宋体" w:eastAsia="宋体" w:cs="宋体"/>
          <w:b/>
          <w:bCs/>
          <w:i w:val="0"/>
          <w:iCs w:val="0"/>
          <w:color w:val="auto"/>
          <w:kern w:val="2"/>
          <w:sz w:val="21"/>
          <w:szCs w:val="21"/>
          <w:highlight w:val="none"/>
        </w:rPr>
        <w:t>%作为工程项目的人工费用由建设单位打入本项目的农民工工资专用账户，此账户专项用于支付农民工工资，不得挪作他用。</w:t>
      </w:r>
      <w:r>
        <w:rPr>
          <w:rFonts w:hint="eastAsia" w:ascii="宋体" w:hAnsi="宋体" w:eastAsia="宋体" w:cs="宋体"/>
          <w:b/>
          <w:bCs/>
          <w:i w:val="0"/>
          <w:iCs w:val="0"/>
          <w:color w:val="auto"/>
          <w:kern w:val="2"/>
          <w:sz w:val="21"/>
          <w:szCs w:val="21"/>
          <w:highlight w:val="none"/>
          <w:lang w:val="en-US" w:eastAsia="zh-CN"/>
        </w:rPr>
        <w:t>农民工工资专用账户应在项目开工前开户完成。</w:t>
      </w:r>
    </w:p>
    <w:p w14:paraId="7A40FB0F">
      <w:pPr>
        <w:pStyle w:val="44"/>
        <w:spacing w:line="400" w:lineRule="exact"/>
        <w:ind w:firstLine="420" w:firstLineChars="200"/>
        <w:rPr>
          <w:rFonts w:hint="eastAsia" w:ascii="宋体" w:hAnsi="宋体"/>
          <w:color w:val="auto"/>
          <w:highlight w:val="none"/>
        </w:rPr>
      </w:pPr>
      <w:r>
        <w:rPr>
          <w:rFonts w:hint="eastAsia" w:ascii="宋体" w:hAnsi="宋体"/>
          <w:color w:val="auto"/>
          <w:highlight w:val="none"/>
        </w:rPr>
        <w:t>第</w:t>
      </w:r>
      <w:r>
        <w:rPr>
          <w:rFonts w:ascii="宋体" w:hAnsi="宋体"/>
          <w:color w:val="auto"/>
          <w:highlight w:val="none"/>
        </w:rPr>
        <w:t>17.3.3</w:t>
      </w:r>
      <w:r>
        <w:rPr>
          <w:rFonts w:hint="eastAsia" w:ascii="宋体" w:hAnsi="宋体" w:eastAsia="宋体"/>
          <w:color w:val="auto"/>
          <w:highlight w:val="none"/>
          <w:lang w:eastAsia="zh-CN"/>
        </w:rPr>
        <w:t>（</w:t>
      </w:r>
      <w:r>
        <w:rPr>
          <w:rFonts w:hint="eastAsia" w:ascii="宋体" w:hAnsi="宋体" w:eastAsia="宋体"/>
          <w:color w:val="auto"/>
          <w:highlight w:val="none"/>
          <w:lang w:val="en-US" w:eastAsia="zh-CN"/>
        </w:rPr>
        <w:t>5</w:t>
      </w:r>
      <w:r>
        <w:rPr>
          <w:rFonts w:hint="eastAsia" w:ascii="宋体" w:hAnsi="宋体" w:eastAsia="宋体"/>
          <w:color w:val="auto"/>
          <w:highlight w:val="none"/>
          <w:lang w:eastAsia="zh-CN"/>
        </w:rPr>
        <w:t>）</w:t>
      </w:r>
      <w:r>
        <w:rPr>
          <w:rFonts w:hint="eastAsia" w:ascii="宋体" w:hAnsi="宋体"/>
          <w:color w:val="auto"/>
          <w:highlight w:val="none"/>
        </w:rPr>
        <w:t>目</w:t>
      </w:r>
      <w:r>
        <w:rPr>
          <w:rFonts w:hint="eastAsia" w:ascii="宋体" w:hAnsi="宋体" w:eastAsia="宋体"/>
          <w:color w:val="auto"/>
          <w:highlight w:val="none"/>
          <w:lang w:val="en-US" w:eastAsia="zh-CN"/>
        </w:rPr>
        <w:t>约定为</w:t>
      </w:r>
      <w:r>
        <w:rPr>
          <w:rFonts w:hint="eastAsia" w:ascii="宋体" w:hAnsi="宋体"/>
          <w:color w:val="auto"/>
          <w:highlight w:val="none"/>
        </w:rPr>
        <w:t>：</w:t>
      </w:r>
    </w:p>
    <w:p w14:paraId="2533B9F5">
      <w:pPr>
        <w:pStyle w:val="44"/>
        <w:spacing w:line="400" w:lineRule="exact"/>
        <w:ind w:firstLine="420" w:firstLineChars="200"/>
        <w:rPr>
          <w:rFonts w:hint="eastAsia" w:ascii="宋体" w:hAnsi="宋体" w:eastAsia="Times New Roman"/>
          <w:color w:val="auto"/>
          <w:highlight w:val="none"/>
          <w:lang w:eastAsia="zh-CN"/>
        </w:rPr>
      </w:pPr>
      <w:r>
        <w:rPr>
          <w:rFonts w:hint="eastAsia" w:ascii="宋体" w:hAnsi="宋体" w:eastAsia="Times New Roman"/>
          <w:color w:val="auto"/>
          <w:highlight w:val="none"/>
          <w:lang w:eastAsia="zh-CN"/>
        </w:rPr>
        <w:t>（</w:t>
      </w:r>
      <w:r>
        <w:rPr>
          <w:rFonts w:hint="eastAsia" w:ascii="宋体" w:hAnsi="宋体" w:eastAsia="Times New Roman"/>
          <w:color w:val="auto"/>
          <w:highlight w:val="none"/>
          <w:lang w:val="en-US" w:eastAsia="zh-CN"/>
        </w:rPr>
        <w:t>5</w:t>
      </w:r>
      <w:r>
        <w:rPr>
          <w:rFonts w:hint="eastAsia" w:ascii="宋体" w:hAnsi="宋体" w:eastAsia="Times New Roman"/>
          <w:color w:val="auto"/>
          <w:highlight w:val="none"/>
          <w:lang w:eastAsia="zh-CN"/>
        </w:rPr>
        <w:t>）</w:t>
      </w:r>
      <w:r>
        <w:rPr>
          <w:rFonts w:hint="eastAsia" w:ascii="宋体" w:hAnsi="宋体" w:eastAsia="Times New Roman"/>
          <w:color w:val="auto"/>
          <w:highlight w:val="none"/>
          <w:lang w:val="en-US" w:eastAsia="zh-CN"/>
        </w:rPr>
        <w:t>本项目资金来源涉及财政资金或上级补助资金的，发包人按照财政资金或上级补助资金到位情况进行支付进度款，由此造成的工程进度款或最终结清付款延期支付的，均不属于发包人逾期支付，为承包人应承担的风险，承包人不得以此为理由提出索赔或赔偿。</w:t>
      </w:r>
    </w:p>
    <w:p w14:paraId="32D2EBB6">
      <w:pPr>
        <w:pStyle w:val="44"/>
        <w:spacing w:line="400" w:lineRule="exact"/>
        <w:ind w:firstLine="420" w:firstLineChars="200"/>
        <w:rPr>
          <w:rFonts w:hint="eastAsia" w:ascii="宋体" w:hAnsi="宋体" w:eastAsia="宋体"/>
          <w:color w:val="auto"/>
          <w:highlight w:val="none"/>
        </w:rPr>
      </w:pPr>
      <w:r>
        <w:rPr>
          <w:rFonts w:hint="eastAsia" w:ascii="宋体" w:hAnsi="宋体" w:eastAsia="宋体"/>
          <w:color w:val="auto"/>
          <w:highlight w:val="none"/>
        </w:rPr>
        <w:t>17.4 质量保证金</w:t>
      </w:r>
    </w:p>
    <w:p w14:paraId="77A7225C">
      <w:pPr>
        <w:pStyle w:val="44"/>
        <w:spacing w:line="400" w:lineRule="exact"/>
        <w:ind w:firstLine="420" w:firstLineChars="200"/>
        <w:rPr>
          <w:rFonts w:hint="eastAsia" w:ascii="宋体" w:hAnsi="宋体" w:eastAsia="宋体"/>
          <w:color w:val="auto"/>
          <w:highlight w:val="none"/>
          <w:lang w:eastAsia="zh-CN"/>
        </w:rPr>
      </w:pPr>
      <w:r>
        <w:rPr>
          <w:rFonts w:hint="eastAsia" w:ascii="宋体" w:hAnsi="宋体" w:eastAsia="宋体"/>
          <w:color w:val="auto"/>
          <w:highlight w:val="none"/>
          <w:lang w:eastAsia="zh-CN"/>
        </w:rPr>
        <w:t>第17.4.1项</w:t>
      </w:r>
      <w:r>
        <w:rPr>
          <w:rFonts w:hint="eastAsia" w:ascii="宋体" w:hAnsi="宋体" w:eastAsia="宋体"/>
          <w:color w:val="auto"/>
          <w:highlight w:val="none"/>
          <w:lang w:val="en-US" w:eastAsia="zh-CN"/>
        </w:rPr>
        <w:t>约定</w:t>
      </w:r>
      <w:r>
        <w:rPr>
          <w:rFonts w:hint="eastAsia" w:ascii="宋体" w:hAnsi="宋体" w:eastAsia="宋体"/>
          <w:color w:val="auto"/>
          <w:highlight w:val="none"/>
          <w:lang w:eastAsia="zh-CN"/>
        </w:rPr>
        <w:t>为：</w:t>
      </w:r>
    </w:p>
    <w:p w14:paraId="35E48D39">
      <w:pPr>
        <w:pStyle w:val="44"/>
        <w:spacing w:line="400" w:lineRule="exact"/>
        <w:ind w:firstLine="420" w:firstLineChars="200"/>
        <w:rPr>
          <w:rFonts w:hint="eastAsia" w:ascii="宋体" w:hAnsi="宋体" w:eastAsia="宋体"/>
          <w:color w:val="auto"/>
          <w:highlight w:val="none"/>
          <w:lang w:val="en-US" w:eastAsia="zh-CN"/>
        </w:rPr>
      </w:pPr>
      <w:r>
        <w:rPr>
          <w:rFonts w:hint="eastAsia" w:ascii="宋体" w:hAnsi="宋体" w:eastAsia="宋体"/>
          <w:color w:val="auto"/>
          <w:highlight w:val="none"/>
          <w:lang w:eastAsia="zh-CN"/>
        </w:rPr>
        <w:t>17.4.1</w:t>
      </w:r>
      <w:r>
        <w:rPr>
          <w:rFonts w:hint="eastAsia" w:ascii="宋体" w:hAnsi="宋体" w:eastAsia="宋体"/>
          <w:color w:val="auto"/>
          <w:highlight w:val="none"/>
        </w:rPr>
        <w:t>如承包人以</w:t>
      </w:r>
      <w:r>
        <w:rPr>
          <w:rFonts w:hint="eastAsia" w:ascii="宋体" w:hAnsi="宋体" w:eastAsia="宋体"/>
          <w:color w:val="auto"/>
          <w:highlight w:val="none"/>
          <w:lang w:val="en-US" w:eastAsia="zh-CN"/>
        </w:rPr>
        <w:t>工程</w:t>
      </w:r>
      <w:r>
        <w:rPr>
          <w:rFonts w:hint="eastAsia" w:ascii="宋体" w:hAnsi="宋体" w:eastAsia="宋体"/>
          <w:color w:val="auto"/>
          <w:highlight w:val="none"/>
        </w:rPr>
        <w:t>保函形式缴纳质量保证金的，承包人应</w:t>
      </w:r>
      <w:r>
        <w:rPr>
          <w:rFonts w:hint="eastAsia" w:ascii="宋体" w:hAnsi="宋体" w:eastAsia="宋体"/>
          <w:color w:val="auto"/>
          <w:highlight w:val="none"/>
          <w:lang w:val="en-US" w:eastAsia="zh-CN"/>
        </w:rPr>
        <w:t>按</w:t>
      </w:r>
      <w:r>
        <w:rPr>
          <w:rFonts w:hint="eastAsia" w:ascii="宋体" w:hAnsi="宋体" w:eastAsia="宋体"/>
          <w:color w:val="auto"/>
          <w:highlight w:val="none"/>
        </w:rPr>
        <w:t>第17.3.3 （</w:t>
      </w:r>
      <w:r>
        <w:rPr>
          <w:rFonts w:hint="eastAsia" w:ascii="宋体" w:hAnsi="宋体" w:eastAsia="宋体"/>
          <w:color w:val="auto"/>
          <w:highlight w:val="none"/>
          <w:lang w:val="en-US" w:eastAsia="zh-CN"/>
        </w:rPr>
        <w:t>2</w:t>
      </w:r>
      <w:r>
        <w:rPr>
          <w:rFonts w:hint="eastAsia" w:ascii="宋体" w:hAnsi="宋体" w:eastAsia="宋体"/>
          <w:color w:val="auto"/>
          <w:highlight w:val="none"/>
        </w:rPr>
        <w:t>）目</w:t>
      </w:r>
      <w:r>
        <w:rPr>
          <w:rFonts w:hint="eastAsia" w:ascii="宋体" w:hAnsi="宋体" w:eastAsia="宋体"/>
          <w:color w:val="auto"/>
          <w:highlight w:val="none"/>
          <w:lang w:val="en-US" w:eastAsia="zh-CN"/>
        </w:rPr>
        <w:t>约定的时间前</w:t>
      </w:r>
      <w:r>
        <w:rPr>
          <w:rFonts w:hint="eastAsia" w:ascii="宋体" w:hAnsi="宋体" w:eastAsia="宋体"/>
          <w:color w:val="auto"/>
          <w:highlight w:val="none"/>
        </w:rPr>
        <w:t>递交符合招标文件及发包人要求的保函</w:t>
      </w:r>
      <w:r>
        <w:rPr>
          <w:rFonts w:hint="eastAsia" w:ascii="宋体" w:hAnsi="宋体" w:eastAsia="宋体"/>
          <w:color w:val="auto"/>
          <w:highlight w:val="none"/>
          <w:lang w:eastAsia="zh-CN"/>
        </w:rPr>
        <w:t>。</w:t>
      </w:r>
      <w:r>
        <w:rPr>
          <w:rFonts w:hint="eastAsia" w:ascii="宋体" w:hAnsi="宋体" w:eastAsia="宋体"/>
          <w:color w:val="auto"/>
          <w:highlight w:val="none"/>
          <w:lang w:val="en-US" w:eastAsia="zh-CN"/>
        </w:rPr>
        <w:t>工程保函包括银行保函、保险机构保证保险保单和融资性担保公司保函），保函金额应符合项目专用合同条款数据表的规定。采用工程保函时，出具保函的机构须具有相应担保能力，且按照发包人批准的格式出具，所需费用由承包人承担。</w:t>
      </w:r>
    </w:p>
    <w:p w14:paraId="2AF6AD7F">
      <w:pPr>
        <w:pStyle w:val="44"/>
        <w:spacing w:line="400" w:lineRule="exact"/>
        <w:ind w:firstLine="420" w:firstLineChars="200"/>
        <w:rPr>
          <w:rFonts w:hint="eastAsia" w:ascii="宋体" w:hAnsi="宋体"/>
          <w:color w:val="auto"/>
          <w:highlight w:val="none"/>
        </w:rPr>
      </w:pPr>
      <w:r>
        <w:rPr>
          <w:rFonts w:hint="eastAsia" w:ascii="宋体" w:hAnsi="宋体"/>
          <w:color w:val="auto"/>
          <w:highlight w:val="none"/>
        </w:rPr>
        <w:t>第17.4.2项</w:t>
      </w:r>
      <w:r>
        <w:rPr>
          <w:rFonts w:hint="eastAsia" w:ascii="宋体" w:hAnsi="宋体" w:eastAsia="Times New Roman"/>
          <w:color w:val="auto"/>
          <w:highlight w:val="none"/>
          <w:lang w:val="en-US" w:eastAsia="zh-CN"/>
        </w:rPr>
        <w:t>约定</w:t>
      </w:r>
      <w:r>
        <w:rPr>
          <w:rFonts w:hint="eastAsia" w:ascii="宋体" w:hAnsi="宋体"/>
          <w:color w:val="auto"/>
          <w:highlight w:val="none"/>
        </w:rPr>
        <w:t>为：</w:t>
      </w:r>
    </w:p>
    <w:p w14:paraId="71C6DE82">
      <w:pPr>
        <w:pStyle w:val="44"/>
        <w:spacing w:line="400" w:lineRule="exact"/>
        <w:ind w:firstLine="420" w:firstLineChars="200"/>
        <w:rPr>
          <w:rFonts w:hint="eastAsia" w:ascii="宋体" w:hAnsi="宋体"/>
          <w:color w:val="auto"/>
          <w:highlight w:val="none"/>
        </w:rPr>
      </w:pPr>
      <w:r>
        <w:rPr>
          <w:rFonts w:hint="eastAsia" w:ascii="宋体" w:hAnsi="宋体"/>
          <w:color w:val="auto"/>
          <w:highlight w:val="none"/>
        </w:rPr>
        <w:t>17.4.2 在第1.1.4.5目约定的缺陷责任期满</w:t>
      </w:r>
      <w:r>
        <w:rPr>
          <w:rFonts w:hint="eastAsia" w:ascii="宋体" w:hAnsi="宋体" w:eastAsia="宋体"/>
          <w:color w:val="auto"/>
          <w:highlight w:val="none"/>
          <w:lang w:val="en-US" w:eastAsia="zh-CN"/>
        </w:rPr>
        <w:t>后</w:t>
      </w:r>
      <w:r>
        <w:rPr>
          <w:rFonts w:hint="eastAsia" w:ascii="宋体" w:hAnsi="宋体"/>
          <w:color w:val="auto"/>
          <w:highlight w:val="none"/>
        </w:rPr>
        <w:t>，发包人应会同承包人按照合同约定的内容核实承包人是否完成缺陷责任</w:t>
      </w:r>
      <w:r>
        <w:rPr>
          <w:rFonts w:hint="eastAsia" w:ascii="宋体" w:hAnsi="宋体" w:eastAsia="宋体"/>
          <w:color w:val="auto"/>
          <w:highlight w:val="none"/>
          <w:lang w:eastAsia="zh-CN"/>
        </w:rPr>
        <w:t>，</w:t>
      </w:r>
      <w:r>
        <w:rPr>
          <w:rFonts w:hint="eastAsia" w:ascii="宋体" w:hAnsi="宋体"/>
          <w:color w:val="auto"/>
          <w:highlight w:val="none"/>
        </w:rPr>
        <w:t>如无异议，</w:t>
      </w:r>
      <w:r>
        <w:rPr>
          <w:rFonts w:hint="eastAsia" w:ascii="宋体" w:hAnsi="宋体" w:eastAsia="宋体"/>
          <w:color w:val="auto"/>
          <w:highlight w:val="none"/>
          <w:lang w:val="en-US" w:eastAsia="zh-CN"/>
        </w:rPr>
        <w:t>发包人在</w:t>
      </w:r>
      <w:r>
        <w:rPr>
          <w:rFonts w:hint="eastAsia" w:ascii="宋体" w:hAnsi="宋体" w:eastAsia="Times New Roman"/>
          <w:color w:val="auto"/>
          <w:highlight w:val="none"/>
        </w:rPr>
        <w:t>缺陷责任期终止证书</w:t>
      </w:r>
      <w:r>
        <w:rPr>
          <w:rFonts w:hint="eastAsia" w:ascii="宋体" w:hAnsi="宋体" w:eastAsia="宋体"/>
          <w:color w:val="auto"/>
          <w:highlight w:val="none"/>
          <w:lang w:val="en-US" w:eastAsia="zh-CN"/>
        </w:rPr>
        <w:t>签发后42</w:t>
      </w:r>
      <w:r>
        <w:rPr>
          <w:rFonts w:hint="eastAsia" w:ascii="宋体" w:hAnsi="宋体"/>
          <w:color w:val="auto"/>
          <w:highlight w:val="none"/>
        </w:rPr>
        <w:t>天内将剩余保证金</w:t>
      </w:r>
      <w:r>
        <w:rPr>
          <w:rFonts w:hint="eastAsia" w:ascii="宋体" w:hAnsi="宋体" w:eastAsia="宋体"/>
          <w:color w:val="auto"/>
          <w:highlight w:val="none"/>
          <w:lang w:eastAsia="zh-CN"/>
        </w:rPr>
        <w:t>（</w:t>
      </w:r>
      <w:r>
        <w:rPr>
          <w:rFonts w:hint="eastAsia" w:ascii="宋体" w:hAnsi="宋体" w:eastAsia="宋体"/>
          <w:color w:val="auto"/>
          <w:highlight w:val="none"/>
          <w:lang w:val="en-US" w:eastAsia="zh-CN"/>
        </w:rPr>
        <w:t>无息</w:t>
      </w:r>
      <w:r>
        <w:rPr>
          <w:rFonts w:hint="eastAsia" w:ascii="宋体" w:hAnsi="宋体" w:eastAsia="宋体"/>
          <w:color w:val="auto"/>
          <w:highlight w:val="none"/>
          <w:lang w:eastAsia="zh-CN"/>
        </w:rPr>
        <w:t>）</w:t>
      </w:r>
      <w:r>
        <w:rPr>
          <w:rFonts w:hint="eastAsia" w:ascii="宋体" w:hAnsi="宋体"/>
          <w:color w:val="auto"/>
          <w:highlight w:val="none"/>
        </w:rPr>
        <w:t>返还承包人。</w:t>
      </w:r>
    </w:p>
    <w:p w14:paraId="7857F7DB">
      <w:pPr>
        <w:pStyle w:val="44"/>
        <w:spacing w:line="400" w:lineRule="exact"/>
        <w:ind w:firstLine="420" w:firstLineChars="200"/>
        <w:rPr>
          <w:rFonts w:hint="eastAsia" w:ascii="宋体" w:hAnsi="宋体" w:eastAsia="宋体"/>
          <w:color w:val="auto"/>
          <w:highlight w:val="none"/>
          <w:lang w:eastAsia="zh-CN"/>
        </w:rPr>
      </w:pPr>
      <w:r>
        <w:rPr>
          <w:rFonts w:hint="eastAsia" w:ascii="宋体" w:hAnsi="宋体" w:eastAsia="宋体"/>
          <w:color w:val="auto"/>
          <w:highlight w:val="none"/>
          <w:lang w:val="en-US" w:eastAsia="zh-CN"/>
        </w:rPr>
        <w:t>采用工程</w:t>
      </w:r>
      <w:r>
        <w:rPr>
          <w:rFonts w:hint="eastAsia" w:ascii="宋体" w:hAnsi="宋体" w:eastAsia="Times New Roman"/>
          <w:color w:val="auto"/>
          <w:highlight w:val="none"/>
        </w:rPr>
        <w:t>保函形式缴纳质量保证金的，保函待工程缺陷责任期终止证书签发之日后自动失效</w:t>
      </w:r>
      <w:r>
        <w:rPr>
          <w:rFonts w:hint="eastAsia" w:ascii="宋体" w:hAnsi="宋体" w:eastAsia="宋体"/>
          <w:color w:val="auto"/>
          <w:highlight w:val="none"/>
          <w:lang w:eastAsia="zh-CN"/>
        </w:rPr>
        <w:t>。</w:t>
      </w:r>
    </w:p>
    <w:p w14:paraId="4D986708">
      <w:pPr>
        <w:pStyle w:val="44"/>
        <w:spacing w:line="400" w:lineRule="exact"/>
        <w:outlineLvl w:val="3"/>
        <w:rPr>
          <w:rFonts w:hint="eastAsia" w:ascii="宋体" w:hAnsi="宋体"/>
          <w:color w:val="auto"/>
          <w:highlight w:val="none"/>
        </w:rPr>
      </w:pPr>
      <w:r>
        <w:rPr>
          <w:rFonts w:hint="eastAsia" w:ascii="宋体" w:hAnsi="宋体"/>
          <w:color w:val="auto"/>
          <w:highlight w:val="none"/>
        </w:rPr>
        <w:t>17.5 交</w:t>
      </w:r>
      <w:r>
        <w:rPr>
          <w:rFonts w:hint="eastAsia" w:ascii="宋体" w:hAnsi="宋体" w:eastAsia="宋体"/>
          <w:color w:val="auto"/>
          <w:highlight w:val="none"/>
          <w:lang w:eastAsia="zh-CN"/>
        </w:rPr>
        <w:t>（</w:t>
      </w:r>
      <w:r>
        <w:rPr>
          <w:rFonts w:hint="eastAsia" w:ascii="宋体" w:hAnsi="宋体" w:eastAsia="宋体"/>
          <w:color w:val="auto"/>
          <w:highlight w:val="none"/>
          <w:lang w:val="en-US" w:eastAsia="zh-CN"/>
        </w:rPr>
        <w:t>竣</w:t>
      </w:r>
      <w:r>
        <w:rPr>
          <w:rFonts w:hint="eastAsia" w:ascii="宋体" w:hAnsi="宋体" w:eastAsia="宋体"/>
          <w:color w:val="auto"/>
          <w:highlight w:val="none"/>
          <w:lang w:eastAsia="zh-CN"/>
        </w:rPr>
        <w:t>）</w:t>
      </w:r>
      <w:r>
        <w:rPr>
          <w:rFonts w:hint="eastAsia" w:ascii="宋体" w:hAnsi="宋体"/>
          <w:color w:val="auto"/>
          <w:highlight w:val="none"/>
        </w:rPr>
        <w:t>工结算</w:t>
      </w:r>
      <w:bookmarkEnd w:id="708"/>
      <w:bookmarkEnd w:id="709"/>
      <w:bookmarkEnd w:id="710"/>
    </w:p>
    <w:p w14:paraId="6E848C80">
      <w:pPr>
        <w:pStyle w:val="44"/>
        <w:spacing w:line="400" w:lineRule="exact"/>
        <w:ind w:firstLine="420" w:firstLineChars="200"/>
        <w:rPr>
          <w:rFonts w:hint="default" w:ascii="宋体" w:hAnsi="宋体" w:eastAsia="宋体"/>
          <w:color w:val="auto"/>
          <w:highlight w:val="none"/>
          <w:lang w:val="en-US" w:eastAsia="zh-CN"/>
        </w:rPr>
      </w:pPr>
      <w:r>
        <w:rPr>
          <w:rFonts w:hint="eastAsia" w:ascii="宋体" w:hAnsi="宋体" w:eastAsia="宋体"/>
          <w:color w:val="auto"/>
          <w:highlight w:val="none"/>
          <w:lang w:val="en-US" w:eastAsia="zh-CN"/>
        </w:rPr>
        <w:t>本款约定为：</w:t>
      </w:r>
    </w:p>
    <w:p w14:paraId="0AFA11E1">
      <w:pPr>
        <w:pStyle w:val="44"/>
        <w:spacing w:line="400" w:lineRule="exact"/>
        <w:ind w:firstLine="420" w:firstLineChars="200"/>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17.5.1 交工付款申请单（适用养护工程）</w:t>
      </w:r>
    </w:p>
    <w:p w14:paraId="3EBBD9CA">
      <w:pPr>
        <w:pStyle w:val="44"/>
        <w:spacing w:line="400" w:lineRule="exact"/>
        <w:ind w:firstLine="420" w:firstLineChars="200"/>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1）交工验收证书签发后42天内，承包人应按专用合同条款约定的份数和期限向监理人提交工付款申请单（包括相关证明材料）。除专用合同条款另有约定外，交工付款申请单应包括下列内容：交工结算合同总价、发包人已支付承包人的工程价款、应扣留的质量保证金、应支付的交工付款金额。</w:t>
      </w:r>
    </w:p>
    <w:p w14:paraId="2AEAA851">
      <w:pPr>
        <w:pStyle w:val="44"/>
        <w:spacing w:line="400" w:lineRule="exact"/>
        <w:ind w:firstLine="420" w:firstLineChars="200"/>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（2）监理人对交工付款申请单有异议的，有权要求承包人进行修正和提供补充资料。经监理人和承包人协商后，由承包人向监理人提交修正后的交工付款申请单。 </w:t>
      </w:r>
    </w:p>
    <w:p w14:paraId="49735725">
      <w:pPr>
        <w:pStyle w:val="44"/>
        <w:spacing w:line="400" w:lineRule="exact"/>
        <w:ind w:firstLine="420" w:firstLineChars="200"/>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17.5.2 交工付款证书及支付时间 </w:t>
      </w:r>
    </w:p>
    <w:p w14:paraId="3EE1B093">
      <w:pPr>
        <w:pStyle w:val="44"/>
        <w:spacing w:line="400" w:lineRule="exact"/>
        <w:ind w:firstLine="420" w:firstLineChars="200"/>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（1）监理人在收到承包人提交的交工付款申请单后的 14 天内完成核查，提出发包人到期应支付给承包人的价款送发包人审核并抄送承包人。发包人应在收到后 14 天内审核完毕，由监理人向承包人出具经发包人签认的交工付款证书。监理人未在约定时间内核查，又未提出具体意见的，视为承包人提交的交工付款申请单已经监理人核查同意；发包人未在约定时间内审核又未提出具体意见的，监理人提出发包人到期应支付给承包人的价款视为已经发包人同意。 </w:t>
      </w:r>
    </w:p>
    <w:p w14:paraId="5E127F15">
      <w:pPr>
        <w:pStyle w:val="44"/>
        <w:spacing w:line="400" w:lineRule="exact"/>
        <w:ind w:firstLine="420" w:firstLineChars="200"/>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（2）发包人应在监理人出具交工付款证书后的 14 天内，将应支付款支付给承包人。发包人不按期支付的，按第 17.3.3（2）目的约定，将逾期付款违约金支付给承包人。 </w:t>
      </w:r>
    </w:p>
    <w:p w14:paraId="6A2012F8">
      <w:pPr>
        <w:pStyle w:val="44"/>
        <w:spacing w:line="400" w:lineRule="exact"/>
        <w:ind w:firstLine="420" w:firstLineChars="200"/>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（3）承包人对发包人签认的交工付款证书有异议的，发包人可出具交工付款申请单中承包人已同意部分的临时付款证书。存在争议的部分，按第 24 条的约定办理。 </w:t>
      </w:r>
    </w:p>
    <w:p w14:paraId="6592C670">
      <w:pPr>
        <w:pStyle w:val="44"/>
        <w:spacing w:line="400" w:lineRule="exact"/>
        <w:ind w:firstLine="420" w:firstLineChars="200"/>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（4）交工付款涉及政府投资资金的，按第 17.3.3（5）目的约定办理。 </w:t>
      </w:r>
    </w:p>
    <w:p w14:paraId="0A11E2D9">
      <w:pPr>
        <w:pStyle w:val="44"/>
        <w:keepNext/>
        <w:keepLines/>
        <w:spacing w:line="400" w:lineRule="exact"/>
        <w:outlineLvl w:val="3"/>
        <w:rPr>
          <w:rFonts w:hint="eastAsia" w:ascii="宋体" w:hAnsi="宋体"/>
          <w:color w:val="auto"/>
          <w:highlight w:val="none"/>
        </w:rPr>
      </w:pPr>
      <w:r>
        <w:rPr>
          <w:rFonts w:hint="eastAsia" w:ascii="宋体" w:hAnsi="宋体"/>
          <w:color w:val="auto"/>
          <w:highlight w:val="none"/>
        </w:rPr>
        <w:t>17.6  最终结清</w:t>
      </w:r>
    </w:p>
    <w:p w14:paraId="4B8F14E9">
      <w:pPr>
        <w:pStyle w:val="44"/>
        <w:snapToGrid w:val="0"/>
        <w:spacing w:line="400" w:lineRule="exact"/>
        <w:ind w:firstLine="420" w:firstLineChars="200"/>
        <w:rPr>
          <w:rFonts w:hint="eastAsia" w:ascii="宋体" w:hAnsi="宋体"/>
          <w:color w:val="auto"/>
          <w:highlight w:val="none"/>
        </w:rPr>
      </w:pPr>
      <w:r>
        <w:rPr>
          <w:rFonts w:hint="eastAsia" w:ascii="宋体" w:hAnsi="宋体"/>
          <w:color w:val="auto"/>
          <w:highlight w:val="none"/>
        </w:rPr>
        <w:t>17.6.2  最终结清证书和支付时间</w:t>
      </w:r>
    </w:p>
    <w:p w14:paraId="1A23D396">
      <w:pPr>
        <w:pStyle w:val="44"/>
        <w:snapToGrid w:val="0"/>
        <w:spacing w:line="400" w:lineRule="exact"/>
        <w:ind w:firstLine="420" w:firstLineChars="200"/>
        <w:rPr>
          <w:rFonts w:hint="eastAsia" w:ascii="宋体" w:hAnsi="宋体"/>
          <w:color w:val="auto"/>
          <w:highlight w:val="none"/>
        </w:rPr>
      </w:pPr>
      <w:r>
        <w:rPr>
          <w:rFonts w:hint="eastAsia" w:ascii="宋体" w:hAnsi="宋体" w:eastAsia="宋体"/>
          <w:color w:val="auto"/>
          <w:highlight w:val="none"/>
          <w:lang w:val="en-US" w:eastAsia="zh-CN"/>
        </w:rPr>
        <w:t>第17.6.2</w:t>
      </w:r>
      <w:r>
        <w:rPr>
          <w:rFonts w:hint="eastAsia" w:ascii="宋体" w:hAnsi="宋体"/>
          <w:color w:val="auto"/>
          <w:highlight w:val="none"/>
        </w:rPr>
        <w:t>(2)</w:t>
      </w:r>
      <w:r>
        <w:rPr>
          <w:rFonts w:hint="eastAsia" w:ascii="宋体" w:hAnsi="宋体" w:eastAsia="宋体"/>
          <w:color w:val="auto"/>
          <w:highlight w:val="none"/>
          <w:lang w:val="en-US" w:eastAsia="zh-CN"/>
        </w:rPr>
        <w:t>目约定</w:t>
      </w:r>
      <w:r>
        <w:rPr>
          <w:rFonts w:hint="eastAsia" w:ascii="宋体" w:hAnsi="宋体"/>
          <w:color w:val="auto"/>
          <w:highlight w:val="none"/>
        </w:rPr>
        <w:t>为：</w:t>
      </w:r>
    </w:p>
    <w:p w14:paraId="35D81DBC">
      <w:pPr>
        <w:pStyle w:val="44"/>
        <w:snapToGrid w:val="0"/>
        <w:spacing w:line="400" w:lineRule="exact"/>
        <w:ind w:firstLine="420" w:firstLineChars="200"/>
        <w:rPr>
          <w:rFonts w:hint="eastAsia" w:ascii="宋体" w:hAnsi="宋体"/>
          <w:color w:val="auto"/>
          <w:highlight w:val="none"/>
        </w:rPr>
      </w:pPr>
      <w:r>
        <w:rPr>
          <w:rFonts w:hint="eastAsia" w:ascii="宋体" w:hAnsi="宋体"/>
          <w:color w:val="auto"/>
          <w:highlight w:val="none"/>
        </w:rPr>
        <w:t>（2）发包人应在监理人出具最终结清证书后的14天内，将应支付款支付给承包人。发包人不按期支付的，按第17.3.3（2）目的约定，将逾期付款违约金支付给承包人。</w:t>
      </w:r>
    </w:p>
    <w:p w14:paraId="548E7D0C">
      <w:pPr>
        <w:pStyle w:val="44"/>
        <w:snapToGrid w:val="0"/>
        <w:spacing w:line="400" w:lineRule="exact"/>
        <w:ind w:firstLine="420" w:firstLineChars="200"/>
        <w:rPr>
          <w:rFonts w:hint="eastAsia" w:ascii="宋体" w:hAnsi="宋体"/>
          <w:color w:val="auto"/>
          <w:highlight w:val="none"/>
        </w:rPr>
      </w:pPr>
      <w:r>
        <w:rPr>
          <w:rFonts w:hint="eastAsia" w:ascii="宋体" w:hAnsi="宋体"/>
          <w:color w:val="auto"/>
          <w:highlight w:val="none"/>
        </w:rPr>
        <w:t xml:space="preserve">最终结清申请证书中的总金额应认为是代表了根据合同规定应付给承包人的全部款项的最后结算。 </w:t>
      </w:r>
    </w:p>
    <w:p w14:paraId="56E9335D">
      <w:pPr>
        <w:pStyle w:val="44"/>
        <w:snapToGrid w:val="0"/>
        <w:spacing w:line="400" w:lineRule="exact"/>
        <w:ind w:firstLine="420" w:firstLineChars="200"/>
        <w:rPr>
          <w:rFonts w:hint="eastAsia" w:ascii="宋体" w:hAnsi="宋体"/>
          <w:color w:val="auto"/>
          <w:highlight w:val="none"/>
        </w:rPr>
      </w:pPr>
      <w:r>
        <w:rPr>
          <w:rFonts w:hint="eastAsia" w:ascii="宋体" w:hAnsi="宋体" w:eastAsia="宋体"/>
          <w:color w:val="auto"/>
          <w:highlight w:val="none"/>
          <w:lang w:val="en-US" w:eastAsia="zh-CN"/>
        </w:rPr>
        <w:t>第17.6.2</w:t>
      </w:r>
      <w:r>
        <w:rPr>
          <w:rFonts w:hint="eastAsia" w:ascii="宋体" w:hAnsi="宋体"/>
          <w:color w:val="auto"/>
          <w:highlight w:val="none"/>
        </w:rPr>
        <w:t>项(</w:t>
      </w:r>
      <w:r>
        <w:rPr>
          <w:rFonts w:hint="eastAsia" w:ascii="宋体" w:hAnsi="宋体" w:eastAsia="宋体"/>
          <w:color w:val="auto"/>
          <w:highlight w:val="none"/>
          <w:lang w:val="en-US" w:eastAsia="zh-CN"/>
        </w:rPr>
        <w:t>4</w:t>
      </w:r>
      <w:r>
        <w:rPr>
          <w:rFonts w:hint="eastAsia" w:ascii="宋体" w:hAnsi="宋体"/>
          <w:color w:val="auto"/>
          <w:highlight w:val="none"/>
        </w:rPr>
        <w:t>)目</w:t>
      </w:r>
      <w:r>
        <w:rPr>
          <w:rFonts w:hint="eastAsia" w:ascii="宋体" w:hAnsi="宋体" w:eastAsia="宋体"/>
          <w:color w:val="auto"/>
          <w:highlight w:val="none"/>
          <w:lang w:val="en-US" w:eastAsia="zh-CN"/>
        </w:rPr>
        <w:t>约定</w:t>
      </w:r>
      <w:r>
        <w:rPr>
          <w:rFonts w:hint="eastAsia" w:ascii="宋体" w:hAnsi="宋体"/>
          <w:color w:val="auto"/>
          <w:highlight w:val="none"/>
        </w:rPr>
        <w:t>为：</w:t>
      </w:r>
    </w:p>
    <w:p w14:paraId="618BE8AE">
      <w:pPr>
        <w:pStyle w:val="44"/>
        <w:snapToGrid w:val="0"/>
        <w:spacing w:line="400" w:lineRule="exact"/>
        <w:ind w:firstLine="420" w:firstLineChars="200"/>
        <w:rPr>
          <w:rFonts w:hint="eastAsia" w:ascii="宋体" w:hAnsi="宋体"/>
          <w:color w:val="auto"/>
          <w:highlight w:val="none"/>
        </w:rPr>
      </w:pPr>
      <w:r>
        <w:rPr>
          <w:rFonts w:hint="eastAsia" w:ascii="宋体" w:hAnsi="宋体" w:eastAsia="Times New Roman"/>
          <w:color w:val="auto"/>
          <w:highlight w:val="none"/>
        </w:rPr>
        <w:t>（</w:t>
      </w:r>
      <w:r>
        <w:rPr>
          <w:rFonts w:hint="eastAsia" w:ascii="宋体" w:hAnsi="宋体" w:eastAsia="Times New Roman"/>
          <w:color w:val="auto"/>
          <w:highlight w:val="none"/>
          <w:lang w:val="en-US" w:eastAsia="zh-CN"/>
        </w:rPr>
        <w:t>4</w:t>
      </w:r>
      <w:r>
        <w:rPr>
          <w:rFonts w:hint="eastAsia" w:ascii="宋体" w:hAnsi="宋体" w:eastAsia="Times New Roman"/>
          <w:color w:val="auto"/>
          <w:highlight w:val="none"/>
        </w:rPr>
        <w:t>）</w:t>
      </w:r>
      <w:r>
        <w:rPr>
          <w:rFonts w:hint="eastAsia" w:ascii="宋体" w:hAnsi="宋体" w:eastAsia="Times New Roman"/>
          <w:color w:val="auto"/>
          <w:highlight w:val="none"/>
          <w:lang w:val="en-US" w:eastAsia="zh-CN"/>
        </w:rPr>
        <w:t xml:space="preserve">最终结清付款涉及财政资金或上级补助资金的，按第17.3.3（5）目的约定办理。 </w:t>
      </w:r>
    </w:p>
    <w:p w14:paraId="7CE10E43">
      <w:pPr>
        <w:pStyle w:val="44"/>
        <w:spacing w:line="400" w:lineRule="exact"/>
        <w:outlineLvl w:val="2"/>
        <w:rPr>
          <w:rFonts w:hint="eastAsia" w:ascii="宋体" w:hAnsi="宋体" w:eastAsia="Times New Roman"/>
          <w:color w:val="auto"/>
          <w:sz w:val="28"/>
          <w:szCs w:val="28"/>
          <w:highlight w:val="none"/>
        </w:rPr>
      </w:pPr>
      <w:bookmarkStart w:id="711" w:name="_Toc421"/>
      <w:r>
        <w:rPr>
          <w:rFonts w:hint="eastAsia" w:ascii="宋体" w:hAnsi="宋体" w:eastAsia="Times New Roman"/>
          <w:color w:val="auto"/>
          <w:sz w:val="28"/>
          <w:szCs w:val="28"/>
          <w:highlight w:val="none"/>
        </w:rPr>
        <w:t>18. 交</w:t>
      </w:r>
      <w:r>
        <w:rPr>
          <w:rFonts w:hint="eastAsia" w:ascii="宋体" w:hAnsi="宋体" w:eastAsia="Times New Roman"/>
          <w:color w:val="auto"/>
          <w:sz w:val="28"/>
          <w:szCs w:val="28"/>
          <w:highlight w:val="none"/>
          <w:lang w:eastAsia="zh-CN"/>
        </w:rPr>
        <w:t>（</w:t>
      </w:r>
      <w:r>
        <w:rPr>
          <w:rFonts w:hint="eastAsia" w:ascii="宋体" w:hAnsi="宋体" w:eastAsia="Times New Roman"/>
          <w:color w:val="auto"/>
          <w:sz w:val="28"/>
          <w:szCs w:val="28"/>
          <w:highlight w:val="none"/>
          <w:lang w:val="en-US" w:eastAsia="zh-CN"/>
        </w:rPr>
        <w:t>竣</w:t>
      </w:r>
      <w:r>
        <w:rPr>
          <w:rFonts w:hint="eastAsia" w:ascii="宋体" w:hAnsi="宋体" w:eastAsia="Times New Roman"/>
          <w:color w:val="auto"/>
          <w:sz w:val="28"/>
          <w:szCs w:val="28"/>
          <w:highlight w:val="none"/>
          <w:lang w:eastAsia="zh-CN"/>
        </w:rPr>
        <w:t>）</w:t>
      </w:r>
      <w:r>
        <w:rPr>
          <w:rFonts w:hint="eastAsia" w:ascii="宋体" w:hAnsi="宋体" w:eastAsia="Times New Roman"/>
          <w:color w:val="auto"/>
          <w:sz w:val="28"/>
          <w:szCs w:val="28"/>
          <w:highlight w:val="none"/>
        </w:rPr>
        <w:t>工验收</w:t>
      </w:r>
      <w:bookmarkEnd w:id="711"/>
    </w:p>
    <w:p w14:paraId="1F205159">
      <w:pPr>
        <w:pStyle w:val="44"/>
        <w:spacing w:line="400" w:lineRule="exact"/>
        <w:outlineLvl w:val="3"/>
        <w:rPr>
          <w:rFonts w:hint="eastAsia" w:ascii="宋体" w:hAnsi="宋体" w:eastAsia="Times New Roman"/>
          <w:color w:val="auto"/>
          <w:highlight w:val="none"/>
        </w:rPr>
      </w:pPr>
      <w:r>
        <w:rPr>
          <w:rFonts w:hint="eastAsia" w:ascii="宋体" w:hAnsi="宋体" w:eastAsia="Times New Roman"/>
          <w:color w:val="auto"/>
          <w:highlight w:val="none"/>
          <w:lang w:val="en-US" w:eastAsia="zh-CN"/>
        </w:rPr>
        <w:t>18.6  试运行</w:t>
      </w:r>
    </w:p>
    <w:p w14:paraId="61AC2D04">
      <w:pPr>
        <w:pStyle w:val="44"/>
        <w:snapToGrid w:val="0"/>
        <w:spacing w:line="400" w:lineRule="exact"/>
        <w:ind w:firstLine="420" w:firstLineChars="200"/>
        <w:rPr>
          <w:rFonts w:hint="eastAsia" w:ascii="宋体" w:hAnsi="宋体" w:eastAsia="Times New Roman"/>
          <w:color w:val="auto"/>
          <w:highlight w:val="none"/>
        </w:rPr>
      </w:pPr>
      <w:r>
        <w:rPr>
          <w:rFonts w:hint="eastAsia" w:ascii="宋体" w:hAnsi="宋体" w:eastAsia="Times New Roman"/>
          <w:color w:val="auto"/>
          <w:highlight w:val="none"/>
          <w:lang w:val="en-US" w:eastAsia="zh-CN"/>
        </w:rPr>
        <w:t xml:space="preserve">第18.6款约定为： </w:t>
      </w:r>
    </w:p>
    <w:p w14:paraId="62485D08">
      <w:pPr>
        <w:pStyle w:val="44"/>
        <w:snapToGrid w:val="0"/>
        <w:spacing w:line="400" w:lineRule="exact"/>
        <w:ind w:firstLine="420" w:firstLineChars="200"/>
        <w:rPr>
          <w:rFonts w:hint="default" w:ascii="宋体" w:hAnsi="宋体" w:eastAsia="宋体"/>
          <w:color w:val="auto"/>
          <w:highlight w:val="none"/>
          <w:lang w:val="en-US" w:eastAsia="zh-CN"/>
        </w:rPr>
      </w:pPr>
      <w:r>
        <w:rPr>
          <w:rFonts w:hint="eastAsia" w:ascii="宋体" w:hAnsi="宋体" w:eastAsia="宋体"/>
          <w:color w:val="auto"/>
          <w:highlight w:val="none"/>
          <w:lang w:val="en-US" w:eastAsia="zh-CN"/>
        </w:rPr>
        <w:t>删除本款原内容，本项目不适用。</w:t>
      </w:r>
    </w:p>
    <w:p w14:paraId="652BBA53">
      <w:pPr>
        <w:pStyle w:val="44"/>
        <w:spacing w:line="400" w:lineRule="exact"/>
        <w:outlineLvl w:val="3"/>
        <w:rPr>
          <w:rFonts w:hint="eastAsia" w:ascii="宋体" w:hAnsi="宋体"/>
          <w:color w:val="auto"/>
          <w:highlight w:val="none"/>
        </w:rPr>
      </w:pPr>
      <w:r>
        <w:rPr>
          <w:rFonts w:hint="eastAsia" w:ascii="宋体" w:hAnsi="宋体"/>
          <w:color w:val="auto"/>
          <w:highlight w:val="none"/>
        </w:rPr>
        <w:t>18.9  竣工文件</w:t>
      </w:r>
    </w:p>
    <w:p w14:paraId="27253FF0">
      <w:pPr>
        <w:pStyle w:val="44"/>
        <w:spacing w:line="400" w:lineRule="exact"/>
        <w:ind w:firstLine="420" w:firstLineChars="200"/>
        <w:rPr>
          <w:rFonts w:hint="eastAsia" w:ascii="宋体" w:hAnsi="宋体"/>
          <w:color w:val="auto"/>
          <w:highlight w:val="none"/>
        </w:rPr>
      </w:pPr>
      <w:r>
        <w:rPr>
          <w:rFonts w:hint="eastAsia" w:ascii="宋体" w:hAnsi="宋体" w:eastAsia="宋体"/>
          <w:color w:val="auto"/>
          <w:highlight w:val="none"/>
          <w:lang w:val="en-US" w:eastAsia="zh-CN"/>
        </w:rPr>
        <w:t>第</w:t>
      </w:r>
      <w:r>
        <w:rPr>
          <w:rFonts w:hint="eastAsia" w:ascii="宋体" w:hAnsi="宋体"/>
          <w:color w:val="auto"/>
          <w:highlight w:val="none"/>
        </w:rPr>
        <w:t>18.9款细化为：</w:t>
      </w:r>
    </w:p>
    <w:p w14:paraId="1A00DA64">
      <w:pPr>
        <w:pStyle w:val="9"/>
        <w:spacing w:line="400" w:lineRule="exact"/>
        <w:ind w:firstLine="420" w:firstLineChars="200"/>
        <w:rPr>
          <w:rFonts w:hint="eastAsia" w:ascii="宋体" w:hAnsi="宋体" w:cs="Calibri"/>
          <w:color w:val="auto"/>
          <w:szCs w:val="21"/>
          <w:highlight w:val="none"/>
        </w:rPr>
      </w:pPr>
      <w:r>
        <w:rPr>
          <w:rFonts w:hint="eastAsia" w:ascii="宋体" w:hAnsi="宋体" w:cs="Calibri"/>
          <w:color w:val="auto"/>
          <w:szCs w:val="21"/>
          <w:highlight w:val="none"/>
        </w:rPr>
        <w:t>竣工文件应按交通运输部2004年第3号令《公路工程竣（交）工验收办法》、交通运输部交公路发〔2010〕65号《公路工程竣（交）工验收办法实施细则》、浙江省交通运输厅《浙江省公路工程竣工文件编制办法》、浙江省交通运输厅《浙江省公路工程竣（交）验收办法》（ZJSP17-2019-0014）、《浙江省交通建设工程质量和安全生产管理条例》（2018 年9月30 日浙江省第十三届人民代表大会常务委员会第五次会议通过）等编制。在缺陷责任期内应为竣工验收补充竣工资料，并在缺陷责任期满45天之前提交。承包人还应按交通运输部交财发〔2000〕207号《交通基本建设项目竣工决算报告编制办法》的规定和要求编制（由承包人实施的部分）竣工决算一式六套，提交监理人审核，同时应提交全套竣工资料的电子文档刻录光盘或其他电子存储介质，费用由承包人承担。</w:t>
      </w:r>
    </w:p>
    <w:p w14:paraId="5C3F1ADE">
      <w:pPr>
        <w:pStyle w:val="9"/>
        <w:spacing w:line="400" w:lineRule="exact"/>
        <w:ind w:firstLine="420" w:firstLineChars="200"/>
        <w:rPr>
          <w:rFonts w:hint="eastAsia" w:ascii="宋体" w:hAnsi="宋体" w:cs="Calibri"/>
          <w:color w:val="auto"/>
          <w:szCs w:val="21"/>
          <w:highlight w:val="none"/>
        </w:rPr>
      </w:pPr>
      <w:r>
        <w:rPr>
          <w:rFonts w:hint="eastAsia" w:ascii="宋体" w:hAnsi="宋体" w:cs="Calibri"/>
          <w:color w:val="auto"/>
          <w:szCs w:val="21"/>
          <w:highlight w:val="none"/>
        </w:rPr>
        <w:t>竣工文件中涉及施工文件的有关表式，应按《浙江省公路建设项目施工统一用表管理系统》（光盘）和浙江省交通建设工程监督管理局检测中心规定的统一试验用表（软件）选用。光盘、软件由承包人自备。</w:t>
      </w:r>
    </w:p>
    <w:p w14:paraId="38CFB503">
      <w:pPr>
        <w:pStyle w:val="44"/>
        <w:spacing w:line="400" w:lineRule="exact"/>
        <w:outlineLvl w:val="2"/>
        <w:rPr>
          <w:rFonts w:hint="eastAsia" w:ascii="宋体" w:hAnsi="宋体"/>
          <w:color w:val="auto"/>
          <w:sz w:val="28"/>
          <w:szCs w:val="28"/>
          <w:highlight w:val="none"/>
        </w:rPr>
      </w:pPr>
      <w:bookmarkStart w:id="712" w:name="_Toc23660"/>
      <w:r>
        <w:rPr>
          <w:rFonts w:hint="eastAsia" w:ascii="宋体" w:hAnsi="宋体"/>
          <w:color w:val="auto"/>
          <w:sz w:val="28"/>
          <w:szCs w:val="28"/>
          <w:highlight w:val="none"/>
        </w:rPr>
        <w:t>20. 保险</w:t>
      </w:r>
      <w:bookmarkEnd w:id="712"/>
    </w:p>
    <w:p w14:paraId="0E584281">
      <w:pPr>
        <w:pStyle w:val="44"/>
        <w:spacing w:line="400" w:lineRule="exact"/>
        <w:outlineLvl w:val="3"/>
        <w:rPr>
          <w:rFonts w:hint="eastAsia" w:ascii="宋体" w:hAnsi="宋体"/>
          <w:color w:val="auto"/>
          <w:highlight w:val="none"/>
        </w:rPr>
      </w:pPr>
      <w:r>
        <w:rPr>
          <w:rFonts w:hint="eastAsia" w:ascii="宋体" w:hAnsi="宋体"/>
          <w:color w:val="auto"/>
          <w:highlight w:val="none"/>
        </w:rPr>
        <w:t xml:space="preserve">20.1 工程保险 </w:t>
      </w:r>
    </w:p>
    <w:p w14:paraId="12323B3B">
      <w:pPr>
        <w:pStyle w:val="44"/>
        <w:spacing w:line="400" w:lineRule="exact"/>
        <w:ind w:firstLine="420" w:firstLineChars="200"/>
        <w:rPr>
          <w:rFonts w:hint="eastAsia" w:ascii="宋体" w:hAnsi="宋体"/>
          <w:color w:val="auto"/>
          <w:highlight w:val="none"/>
        </w:rPr>
      </w:pPr>
      <w:r>
        <w:rPr>
          <w:rFonts w:hint="eastAsia" w:ascii="宋体" w:hAnsi="宋体" w:eastAsia="宋体"/>
          <w:color w:val="auto"/>
          <w:highlight w:val="none"/>
          <w:lang w:val="en-US" w:eastAsia="zh-CN"/>
        </w:rPr>
        <w:t>第</w:t>
      </w:r>
      <w:r>
        <w:rPr>
          <w:rFonts w:hint="eastAsia" w:ascii="宋体" w:hAnsi="宋体"/>
          <w:color w:val="auto"/>
          <w:highlight w:val="none"/>
        </w:rPr>
        <w:t xml:space="preserve"> 20.1 款细化为： </w:t>
      </w:r>
    </w:p>
    <w:p w14:paraId="44DDEBB4">
      <w:pPr>
        <w:pStyle w:val="44"/>
        <w:spacing w:line="400" w:lineRule="exact"/>
        <w:ind w:firstLine="420" w:firstLineChars="200"/>
        <w:rPr>
          <w:rFonts w:hint="eastAsia" w:ascii="宋体" w:hAnsi="宋体"/>
          <w:color w:val="auto"/>
          <w:highlight w:val="none"/>
        </w:rPr>
      </w:pPr>
      <w:r>
        <w:rPr>
          <w:rFonts w:hint="eastAsia" w:ascii="宋体" w:hAnsi="宋体"/>
          <w:color w:val="auto"/>
          <w:highlight w:val="none"/>
        </w:rPr>
        <w:t xml:space="preserve">20.1 建筑工程一切险的投保内容：为本合同工程的永久工程、临时工程和设备及已运至施工工地用于永久工程的材料和设备所投的保险。 </w:t>
      </w:r>
    </w:p>
    <w:p w14:paraId="748AD1D5">
      <w:pPr>
        <w:pStyle w:val="44"/>
        <w:spacing w:line="400" w:lineRule="exact"/>
        <w:ind w:firstLine="420" w:firstLineChars="200"/>
        <w:rPr>
          <w:rFonts w:hint="eastAsia" w:ascii="宋体" w:hAnsi="宋体"/>
          <w:color w:val="auto"/>
          <w:highlight w:val="none"/>
        </w:rPr>
      </w:pPr>
      <w:r>
        <w:rPr>
          <w:rFonts w:hint="eastAsia" w:ascii="宋体" w:hAnsi="宋体"/>
          <w:color w:val="auto"/>
          <w:highlight w:val="none"/>
        </w:rPr>
        <w:t xml:space="preserve">保险金额：工程量清单第100章（不含工程一切险、安全生产责任险和安全生产费）至 </w:t>
      </w:r>
      <w:r>
        <w:rPr>
          <w:rFonts w:hint="eastAsia" w:ascii="宋体" w:hAnsi="宋体"/>
          <w:color w:val="auto"/>
          <w:highlight w:val="none"/>
          <w:lang w:val="en-US" w:eastAsia="zh-CN"/>
        </w:rPr>
        <w:t>900</w:t>
      </w:r>
      <w:r>
        <w:rPr>
          <w:rFonts w:hint="eastAsia" w:ascii="宋体" w:hAnsi="宋体"/>
          <w:color w:val="auto"/>
          <w:highlight w:val="none"/>
        </w:rPr>
        <w:t xml:space="preserve">章的合计金额。 </w:t>
      </w:r>
    </w:p>
    <w:p w14:paraId="0B36C0C0">
      <w:pPr>
        <w:pStyle w:val="44"/>
        <w:spacing w:line="400" w:lineRule="exact"/>
        <w:ind w:firstLine="420" w:firstLineChars="200"/>
        <w:rPr>
          <w:rFonts w:hint="eastAsia" w:ascii="宋体" w:hAnsi="宋体"/>
          <w:color w:val="auto"/>
          <w:highlight w:val="none"/>
        </w:rPr>
      </w:pPr>
      <w:r>
        <w:rPr>
          <w:rFonts w:hint="eastAsia" w:ascii="宋体" w:hAnsi="宋体"/>
          <w:color w:val="auto"/>
          <w:highlight w:val="none"/>
        </w:rPr>
        <w:t xml:space="preserve">保险费率：在项目专用合同条款数据表中约定。建筑工程一切险的保险费投标人在报价时暂按项目专用合同条款数据表中约定的费率报价，列入工程量清单100章内，实际保险费率由发包人按有关规定确定的保险公司约定的保险费率办理，发包人在接到保险单后，将按照实际保险单的费用直接向承包人支付。 </w:t>
      </w:r>
    </w:p>
    <w:p w14:paraId="0101A7D8">
      <w:pPr>
        <w:pStyle w:val="44"/>
        <w:spacing w:line="400" w:lineRule="exact"/>
        <w:ind w:firstLine="420" w:firstLineChars="200"/>
        <w:rPr>
          <w:rFonts w:hint="eastAsia" w:ascii="宋体" w:hAnsi="宋体"/>
          <w:color w:val="auto"/>
          <w:highlight w:val="none"/>
        </w:rPr>
      </w:pPr>
      <w:r>
        <w:rPr>
          <w:rFonts w:hint="eastAsia" w:ascii="宋体" w:hAnsi="宋体"/>
          <w:color w:val="auto"/>
          <w:highlight w:val="none"/>
        </w:rPr>
        <w:t xml:space="preserve">保险期限：开工日起直至本合同工程签发缺陷责任期终止证书止（即合同工期＋缺陷责任期）。 </w:t>
      </w:r>
    </w:p>
    <w:p w14:paraId="5794E94E">
      <w:pPr>
        <w:pStyle w:val="44"/>
        <w:spacing w:line="400" w:lineRule="exact"/>
        <w:ind w:firstLine="420" w:firstLineChars="200"/>
        <w:rPr>
          <w:rFonts w:hint="eastAsia" w:ascii="宋体" w:hAnsi="宋体"/>
          <w:color w:val="auto"/>
          <w:highlight w:val="none"/>
        </w:rPr>
      </w:pPr>
      <w:r>
        <w:rPr>
          <w:rFonts w:hint="eastAsia" w:ascii="宋体" w:hAnsi="宋体"/>
          <w:color w:val="auto"/>
          <w:highlight w:val="none"/>
        </w:rPr>
        <w:t xml:space="preserve">承包人应以发包人和承包人的共同名义投保建筑工程一切险。 </w:t>
      </w:r>
    </w:p>
    <w:p w14:paraId="0126A065">
      <w:pPr>
        <w:pStyle w:val="44"/>
        <w:spacing w:line="400" w:lineRule="exact"/>
        <w:outlineLvl w:val="3"/>
        <w:rPr>
          <w:rFonts w:hint="eastAsia" w:ascii="宋体" w:hAnsi="宋体"/>
          <w:color w:val="auto"/>
          <w:highlight w:val="none"/>
        </w:rPr>
      </w:pPr>
      <w:bookmarkStart w:id="713" w:name="_Toc3771"/>
      <w:bookmarkStart w:id="714" w:name="_Toc22701"/>
      <w:r>
        <w:rPr>
          <w:rFonts w:hint="eastAsia" w:ascii="宋体" w:hAnsi="宋体"/>
          <w:color w:val="auto"/>
          <w:highlight w:val="none"/>
        </w:rPr>
        <w:t>20.2 人员工伤事故的保险</w:t>
      </w:r>
      <w:bookmarkEnd w:id="713"/>
      <w:bookmarkEnd w:id="714"/>
    </w:p>
    <w:p w14:paraId="074F0D9D">
      <w:pPr>
        <w:pStyle w:val="44"/>
        <w:spacing w:line="400" w:lineRule="exact"/>
        <w:ind w:firstLine="420" w:firstLineChars="200"/>
        <w:rPr>
          <w:rFonts w:hint="eastAsia" w:ascii="宋体" w:hAnsi="宋体"/>
          <w:color w:val="auto"/>
          <w:highlight w:val="none"/>
        </w:rPr>
      </w:pPr>
      <w:r>
        <w:rPr>
          <w:rFonts w:hint="eastAsia" w:ascii="宋体" w:hAnsi="宋体"/>
          <w:color w:val="auto"/>
          <w:highlight w:val="none"/>
        </w:rPr>
        <w:t>20.2.1 承包人员工伤事故的保险</w:t>
      </w:r>
    </w:p>
    <w:p w14:paraId="00B863C2">
      <w:pPr>
        <w:pStyle w:val="44"/>
        <w:spacing w:line="400" w:lineRule="exact"/>
        <w:ind w:firstLine="420" w:firstLineChars="200"/>
        <w:rPr>
          <w:rFonts w:hint="default" w:ascii="宋体" w:hAnsi="宋体" w:eastAsia="Times New Roman"/>
          <w:color w:val="auto"/>
          <w:highlight w:val="none"/>
        </w:rPr>
      </w:pPr>
      <w:bookmarkStart w:id="715" w:name="_Toc385159037"/>
      <w:bookmarkStart w:id="716" w:name="_Toc385862960"/>
      <w:bookmarkStart w:id="717" w:name="_Toc382132734"/>
      <w:r>
        <w:rPr>
          <w:rFonts w:hint="eastAsia" w:ascii="宋体" w:hAnsi="宋体" w:eastAsia="Times New Roman"/>
          <w:color w:val="auto"/>
          <w:highlight w:val="none"/>
          <w:lang w:val="en-US" w:eastAsia="zh-CN"/>
        </w:rPr>
        <w:t>第</w:t>
      </w:r>
      <w:r>
        <w:rPr>
          <w:rFonts w:hint="eastAsia" w:ascii="宋体" w:hAnsi="宋体" w:eastAsia="Times New Roman"/>
          <w:color w:val="auto"/>
          <w:highlight w:val="none"/>
        </w:rPr>
        <w:t xml:space="preserve"> 20.2.1</w:t>
      </w:r>
      <w:r>
        <w:rPr>
          <w:rFonts w:hint="eastAsia" w:ascii="宋体" w:hAnsi="宋体" w:eastAsia="Times New Roman"/>
          <w:color w:val="auto"/>
          <w:highlight w:val="none"/>
          <w:lang w:val="en-US" w:eastAsia="zh-CN"/>
        </w:rPr>
        <w:t>项</w:t>
      </w:r>
      <w:r>
        <w:rPr>
          <w:rFonts w:hint="eastAsia" w:ascii="宋体" w:hAnsi="宋体" w:eastAsia="Times New Roman"/>
          <w:color w:val="auto"/>
          <w:highlight w:val="none"/>
        </w:rPr>
        <w:t xml:space="preserve">细化为： </w:t>
      </w:r>
    </w:p>
    <w:p w14:paraId="3FE77BDC">
      <w:pPr>
        <w:pStyle w:val="44"/>
        <w:spacing w:line="400" w:lineRule="exact"/>
        <w:ind w:firstLine="420" w:firstLineChars="200"/>
        <w:rPr>
          <w:rFonts w:hint="eastAsia" w:ascii="宋体" w:hAnsi="宋体" w:eastAsia="Times New Roman"/>
          <w:color w:val="auto"/>
          <w:highlight w:val="none"/>
        </w:rPr>
      </w:pPr>
      <w:r>
        <w:rPr>
          <w:rFonts w:hint="eastAsia" w:ascii="宋体" w:hAnsi="宋体" w:eastAsia="Times New Roman"/>
          <w:color w:val="auto"/>
          <w:highlight w:val="none"/>
          <w:lang w:val="en-US" w:eastAsia="zh-CN"/>
        </w:rPr>
        <w:t xml:space="preserve">承包人应按《浙江省人力资源和社会保障厅等六部门转发人力资源社会保障部等六部门关于铁路、公路、水运、水利、能源、机场工程建设项目参加工伤保险工作的通知》等规定，在开工前及时办理农民工工伤保险，并要求其劳务合作单位也应进行此项保险农民工工伤保险已包含在安全生产责任保险中，发包人不再单独支付。 </w:t>
      </w:r>
    </w:p>
    <w:p w14:paraId="668FFB8E">
      <w:pPr>
        <w:pStyle w:val="44"/>
        <w:spacing w:line="400" w:lineRule="exact"/>
        <w:outlineLvl w:val="3"/>
        <w:rPr>
          <w:rFonts w:hint="eastAsia" w:ascii="宋体" w:hAnsi="宋体" w:eastAsia="宋体"/>
          <w:color w:val="auto"/>
          <w:highlight w:val="none"/>
        </w:rPr>
      </w:pPr>
      <w:r>
        <w:rPr>
          <w:rFonts w:hint="eastAsia" w:ascii="宋体" w:hAnsi="宋体" w:eastAsia="宋体"/>
          <w:color w:val="auto"/>
          <w:highlight w:val="none"/>
        </w:rPr>
        <w:t>20.3 人身意外伤害险</w:t>
      </w:r>
      <w:bookmarkEnd w:id="715"/>
      <w:bookmarkEnd w:id="716"/>
      <w:bookmarkEnd w:id="717"/>
    </w:p>
    <w:p w14:paraId="65411E02">
      <w:pPr>
        <w:pStyle w:val="44"/>
        <w:spacing w:line="400" w:lineRule="exact"/>
        <w:ind w:firstLine="420" w:firstLineChars="200"/>
        <w:rPr>
          <w:rFonts w:hint="eastAsia" w:ascii="宋体" w:hAnsi="宋体"/>
          <w:color w:val="auto"/>
          <w:highlight w:val="none"/>
        </w:rPr>
      </w:pPr>
      <w:r>
        <w:rPr>
          <w:rFonts w:hint="eastAsia" w:ascii="宋体" w:hAnsi="宋体" w:eastAsia="宋体"/>
          <w:color w:val="auto"/>
          <w:highlight w:val="none"/>
          <w:lang w:val="en-US" w:eastAsia="zh-CN"/>
        </w:rPr>
        <w:t>第</w:t>
      </w:r>
      <w:r>
        <w:rPr>
          <w:rFonts w:hint="eastAsia" w:ascii="宋体" w:hAnsi="宋体"/>
          <w:color w:val="auto"/>
          <w:highlight w:val="none"/>
        </w:rPr>
        <w:t xml:space="preserve"> 20.3.2款细化为： </w:t>
      </w:r>
    </w:p>
    <w:p w14:paraId="1EA15E35">
      <w:pPr>
        <w:pStyle w:val="9"/>
        <w:spacing w:line="420" w:lineRule="exact"/>
        <w:ind w:firstLine="420" w:firstLineChars="200"/>
        <w:rPr>
          <w:color w:val="auto"/>
          <w:szCs w:val="21"/>
          <w:highlight w:val="none"/>
        </w:rPr>
      </w:pPr>
      <w:r>
        <w:rPr>
          <w:color w:val="auto"/>
          <w:szCs w:val="21"/>
          <w:highlight w:val="none"/>
        </w:rPr>
        <w:t>20.3.2  承包人应在整个施工期间为其现场机构雇用的全部人员，投保人身意外伤害险，缴纳保险费，并要求其分包人也进行此项保险。</w:t>
      </w:r>
    </w:p>
    <w:p w14:paraId="10B96E32">
      <w:pPr>
        <w:pStyle w:val="9"/>
        <w:spacing w:line="420" w:lineRule="exact"/>
        <w:ind w:firstLine="420" w:firstLineChars="200"/>
        <w:rPr>
          <w:rFonts w:hint="eastAsia" w:ascii="宋体" w:hAnsi="宋体"/>
          <w:color w:val="auto"/>
          <w:highlight w:val="none"/>
        </w:rPr>
      </w:pPr>
      <w:r>
        <w:rPr>
          <w:color w:val="auto"/>
          <w:szCs w:val="21"/>
          <w:highlight w:val="none"/>
        </w:rPr>
        <w:t>承包人对其为本工程合同工作的人员进行人身意外伤害保险，</w:t>
      </w:r>
      <w:r>
        <w:rPr>
          <w:rFonts w:hint="eastAsia"/>
          <w:color w:val="auto"/>
          <w:szCs w:val="21"/>
          <w:highlight w:val="none"/>
        </w:rPr>
        <w:t>投保金额不低于100万元/人/年</w:t>
      </w:r>
      <w:r>
        <w:rPr>
          <w:color w:val="auto"/>
          <w:szCs w:val="21"/>
          <w:highlight w:val="none"/>
        </w:rPr>
        <w:t>，按议定的保险费率办理。保险费</w:t>
      </w:r>
      <w:r>
        <w:rPr>
          <w:rFonts w:hint="eastAsia"/>
          <w:color w:val="auto"/>
          <w:szCs w:val="21"/>
          <w:highlight w:val="none"/>
        </w:rPr>
        <w:t>均视为已包含在投标报价中，由承包人自行承担，发包人不另行支付</w:t>
      </w:r>
      <w:r>
        <w:rPr>
          <w:color w:val="auto"/>
          <w:szCs w:val="21"/>
          <w:highlight w:val="none"/>
        </w:rPr>
        <w:t>。</w:t>
      </w:r>
    </w:p>
    <w:p w14:paraId="4A3B693D">
      <w:pPr>
        <w:pStyle w:val="44"/>
        <w:spacing w:line="400" w:lineRule="exact"/>
        <w:outlineLvl w:val="3"/>
        <w:rPr>
          <w:rFonts w:hint="eastAsia" w:ascii="宋体" w:hAnsi="宋体" w:eastAsia="宋体"/>
          <w:color w:val="auto"/>
          <w:highlight w:val="none"/>
        </w:rPr>
      </w:pPr>
      <w:r>
        <w:rPr>
          <w:rFonts w:hint="eastAsia" w:ascii="宋体" w:hAnsi="宋体" w:eastAsia="宋体"/>
          <w:color w:val="auto"/>
          <w:highlight w:val="none"/>
          <w:lang w:val="en-US" w:eastAsia="zh-CN"/>
        </w:rPr>
        <w:t xml:space="preserve">20.4 第三者责任险 </w:t>
      </w:r>
    </w:p>
    <w:p w14:paraId="420A7F55">
      <w:pPr>
        <w:pStyle w:val="9"/>
        <w:spacing w:line="420" w:lineRule="exact"/>
        <w:ind w:firstLine="420" w:firstLineChars="200"/>
        <w:rPr>
          <w:rFonts w:ascii="Times New Roman" w:hAnsi="Times New Roman" w:eastAsia="Times New Roman" w:cs="Times New Roman"/>
          <w:color w:val="auto"/>
          <w:szCs w:val="21"/>
          <w:highlight w:val="none"/>
        </w:rPr>
      </w:pPr>
      <w:r>
        <w:rPr>
          <w:rFonts w:hint="eastAsia" w:ascii="Times New Roman" w:hAnsi="Times New Roman" w:eastAsia="Times New Roman" w:cs="Times New Roman"/>
          <w:color w:val="auto"/>
          <w:szCs w:val="21"/>
          <w:highlight w:val="none"/>
          <w:lang w:val="en-US" w:eastAsia="zh-CN"/>
        </w:rPr>
        <w:t xml:space="preserve">第 20.4.2 项细化为： </w:t>
      </w:r>
    </w:p>
    <w:p w14:paraId="3CA27656">
      <w:pPr>
        <w:pStyle w:val="9"/>
        <w:spacing w:line="420" w:lineRule="exact"/>
        <w:ind w:firstLine="420" w:firstLineChars="200"/>
        <w:rPr>
          <w:rFonts w:hint="eastAsia"/>
          <w:color w:val="auto"/>
          <w:highlight w:val="none"/>
        </w:rPr>
      </w:pPr>
      <w:r>
        <w:rPr>
          <w:rFonts w:hint="eastAsia" w:ascii="Times New Roman" w:hAnsi="Times New Roman" w:eastAsia="Times New Roman" w:cs="Times New Roman"/>
          <w:color w:val="auto"/>
          <w:szCs w:val="21"/>
          <w:highlight w:val="none"/>
          <w:lang w:val="en-US" w:eastAsia="zh-CN"/>
        </w:rPr>
        <w:t>20.4.2 在缺陷责任期终止证书颁发前，承包人应以承包人和发包人的共同名义，投保第三者责任险，</w:t>
      </w:r>
      <w:r>
        <w:rPr>
          <w:rFonts w:hint="default" w:ascii="Times New Roman" w:hAnsi="Times New Roman" w:eastAsia="宋体" w:cs="Times New Roman"/>
          <w:color w:val="auto"/>
          <w:szCs w:val="21"/>
          <w:highlight w:val="none"/>
          <w:lang w:val="en-US" w:eastAsia="zh-CN"/>
        </w:rPr>
        <w:t>第三者责任险的最低投保额不低于</w:t>
      </w:r>
      <w:r>
        <w:rPr>
          <w:rFonts w:hint="eastAsia" w:ascii="Times New Roman" w:hAnsi="Times New Roman" w:eastAsia="宋体" w:cs="Times New Roman"/>
          <w:color w:val="auto"/>
          <w:szCs w:val="21"/>
          <w:highlight w:val="none"/>
          <w:lang w:val="en-US" w:eastAsia="zh-CN"/>
        </w:rPr>
        <w:t>1</w:t>
      </w:r>
      <w:r>
        <w:rPr>
          <w:rFonts w:hint="default" w:ascii="Times New Roman" w:hAnsi="Times New Roman" w:eastAsia="宋体" w:cs="Times New Roman"/>
          <w:color w:val="auto"/>
          <w:szCs w:val="21"/>
          <w:highlight w:val="none"/>
          <w:lang w:val="en-US" w:eastAsia="zh-CN"/>
        </w:rPr>
        <w:t>00万元，事故免赔次数不限</w:t>
      </w:r>
      <w:r>
        <w:rPr>
          <w:rFonts w:hint="eastAsia" w:ascii="Times New Roman" w:hAnsi="Times New Roman" w:eastAsia="宋体" w:cs="Times New Roman"/>
          <w:color w:val="auto"/>
          <w:szCs w:val="21"/>
          <w:highlight w:val="none"/>
          <w:lang w:val="en-US" w:eastAsia="zh-CN"/>
        </w:rPr>
        <w:t>（不计免赔额），</w:t>
      </w:r>
      <w:r>
        <w:rPr>
          <w:rFonts w:hint="eastAsia" w:ascii="Times New Roman" w:hAnsi="Times New Roman" w:eastAsia="Times New Roman" w:cs="Times New Roman"/>
          <w:color w:val="auto"/>
          <w:szCs w:val="21"/>
          <w:highlight w:val="none"/>
          <w:lang w:val="en-US" w:eastAsia="zh-CN"/>
        </w:rPr>
        <w:t>第三者责任险已包含在安全生产责任保险中，发包人不再单独支付。</w:t>
      </w:r>
    </w:p>
    <w:p w14:paraId="1A7FB66B">
      <w:pPr>
        <w:pStyle w:val="44"/>
        <w:spacing w:line="400" w:lineRule="exact"/>
        <w:outlineLvl w:val="3"/>
        <w:rPr>
          <w:rFonts w:hint="eastAsia" w:ascii="宋体" w:hAnsi="宋体" w:eastAsia="Times New Roman"/>
          <w:color w:val="auto"/>
          <w:highlight w:val="none"/>
        </w:rPr>
      </w:pPr>
      <w:r>
        <w:rPr>
          <w:rFonts w:hint="eastAsia" w:ascii="宋体" w:hAnsi="宋体"/>
          <w:color w:val="auto"/>
          <w:highlight w:val="none"/>
        </w:rPr>
        <w:t>20.</w:t>
      </w:r>
      <w:r>
        <w:rPr>
          <w:rFonts w:hint="eastAsia" w:ascii="宋体" w:hAnsi="宋体" w:eastAsia="宋体"/>
          <w:color w:val="auto"/>
          <w:highlight w:val="none"/>
          <w:lang w:val="en-US" w:eastAsia="zh-CN"/>
        </w:rPr>
        <w:t>5</w:t>
      </w:r>
      <w:r>
        <w:rPr>
          <w:rFonts w:hint="eastAsia" w:ascii="宋体" w:hAnsi="宋体"/>
          <w:color w:val="auto"/>
          <w:highlight w:val="none"/>
        </w:rPr>
        <w:t xml:space="preserve"> </w:t>
      </w:r>
      <w:r>
        <w:rPr>
          <w:rFonts w:hint="eastAsia" w:ascii="宋体" w:hAnsi="宋体" w:eastAsia="宋体" w:cs="Calibri"/>
          <w:color w:val="auto"/>
          <w:szCs w:val="21"/>
          <w:highlight w:val="none"/>
          <w:lang w:val="en-US" w:eastAsia="zh-CN"/>
        </w:rPr>
        <w:t>其他保险</w:t>
      </w:r>
      <w:r>
        <w:rPr>
          <w:rFonts w:hint="eastAsia" w:ascii="宋体" w:hAnsi="宋体" w:eastAsia="Times New Roman"/>
          <w:color w:val="auto"/>
          <w:highlight w:val="none"/>
        </w:rPr>
        <w:t xml:space="preserve"> </w:t>
      </w:r>
    </w:p>
    <w:p w14:paraId="6E8F49E0">
      <w:pPr>
        <w:pStyle w:val="9"/>
        <w:spacing w:line="420" w:lineRule="exact"/>
        <w:ind w:firstLine="420" w:firstLineChars="200"/>
        <w:rPr>
          <w:rFonts w:hint="eastAsia" w:ascii="Times New Roman" w:hAnsi="Times New Roman" w:eastAsia="Times New Roman" w:cs="Times New Roman"/>
          <w:color w:val="auto"/>
          <w:szCs w:val="21"/>
          <w:highlight w:val="none"/>
          <w:lang w:val="en-US" w:eastAsia="zh-CN"/>
        </w:rPr>
      </w:pPr>
      <w:r>
        <w:rPr>
          <w:rFonts w:hint="eastAsia" w:ascii="Times New Roman" w:hAnsi="Times New Roman" w:eastAsia="Times New Roman" w:cs="Times New Roman"/>
          <w:color w:val="auto"/>
          <w:szCs w:val="21"/>
          <w:highlight w:val="none"/>
          <w:lang w:val="en-US" w:eastAsia="zh-CN"/>
        </w:rPr>
        <w:t xml:space="preserve">第20.5款细化为： </w:t>
      </w:r>
    </w:p>
    <w:p w14:paraId="4B00EAD4">
      <w:pPr>
        <w:pStyle w:val="9"/>
        <w:spacing w:line="420" w:lineRule="exact"/>
        <w:ind w:firstLine="420" w:firstLineChars="200"/>
        <w:rPr>
          <w:rFonts w:hint="eastAsia" w:ascii="Times New Roman" w:hAnsi="Times New Roman" w:eastAsia="Times New Roman" w:cs="Times New Roman"/>
          <w:color w:val="auto"/>
          <w:szCs w:val="21"/>
          <w:highlight w:val="none"/>
          <w:lang w:val="en-US" w:eastAsia="zh-CN"/>
        </w:rPr>
      </w:pPr>
      <w:r>
        <w:rPr>
          <w:rFonts w:hint="eastAsia" w:ascii="Times New Roman" w:hAnsi="Times New Roman" w:eastAsia="Times New Roman" w:cs="Times New Roman"/>
          <w:color w:val="auto"/>
          <w:szCs w:val="21"/>
          <w:highlight w:val="none"/>
          <w:lang w:val="en-US" w:eastAsia="zh-CN"/>
        </w:rPr>
        <w:t xml:space="preserve">承包人应为其施工设备等办理保险，其投保金额应足以现场重置。 </w:t>
      </w:r>
    </w:p>
    <w:p w14:paraId="39BF1F55">
      <w:pPr>
        <w:pStyle w:val="9"/>
        <w:spacing w:line="420" w:lineRule="exact"/>
        <w:ind w:firstLine="420" w:firstLineChars="200"/>
        <w:rPr>
          <w:rFonts w:hint="eastAsia" w:ascii="Times New Roman" w:hAnsi="Times New Roman" w:eastAsia="Times New Roman" w:cs="Times New Roman"/>
          <w:color w:val="auto"/>
          <w:szCs w:val="21"/>
          <w:highlight w:val="none"/>
          <w:lang w:val="en-US" w:eastAsia="zh-CN"/>
        </w:rPr>
      </w:pPr>
      <w:r>
        <w:rPr>
          <w:rFonts w:hint="eastAsia" w:ascii="Times New Roman" w:hAnsi="Times New Roman" w:eastAsia="Times New Roman" w:cs="Times New Roman"/>
          <w:color w:val="auto"/>
          <w:szCs w:val="21"/>
          <w:highlight w:val="none"/>
          <w:lang w:val="en-US" w:eastAsia="zh-CN"/>
        </w:rPr>
        <w:t xml:space="preserve">承包人应办理法律法规规定必须投保的其他保险，如安全生产责任保险。 </w:t>
      </w:r>
    </w:p>
    <w:p w14:paraId="56FFD182">
      <w:pPr>
        <w:pStyle w:val="9"/>
        <w:spacing w:line="420" w:lineRule="exact"/>
        <w:ind w:firstLine="420" w:firstLineChars="200"/>
        <w:rPr>
          <w:rFonts w:hint="eastAsia" w:ascii="Times New Roman" w:hAnsi="Times New Roman" w:eastAsia="Times New Roman" w:cs="Times New Roman"/>
          <w:color w:val="auto"/>
          <w:szCs w:val="21"/>
          <w:highlight w:val="none"/>
          <w:lang w:val="en-US" w:eastAsia="zh-CN"/>
        </w:rPr>
      </w:pPr>
      <w:r>
        <w:rPr>
          <w:rFonts w:hint="eastAsia" w:ascii="Times New Roman" w:hAnsi="Times New Roman" w:eastAsia="Times New Roman" w:cs="Times New Roman"/>
          <w:color w:val="auto"/>
          <w:szCs w:val="21"/>
          <w:highlight w:val="none"/>
          <w:lang w:val="en-US" w:eastAsia="zh-CN"/>
        </w:rPr>
        <w:t xml:space="preserve">承包人为本项目办理保险的一切费用，除在工程量清单中另有列明外，均视为已包含在合同价中，不另行支付。 </w:t>
      </w:r>
    </w:p>
    <w:p w14:paraId="3582AF55">
      <w:pPr>
        <w:pStyle w:val="9"/>
        <w:spacing w:line="420" w:lineRule="exact"/>
        <w:ind w:firstLine="420" w:firstLineChars="200"/>
        <w:rPr>
          <w:rFonts w:hint="eastAsia" w:ascii="Times New Roman" w:hAnsi="Times New Roman" w:eastAsia="Times New Roman" w:cs="Times New Roman"/>
          <w:color w:val="auto"/>
          <w:szCs w:val="21"/>
          <w:highlight w:val="none"/>
          <w:lang w:val="en-US" w:eastAsia="zh-CN"/>
        </w:rPr>
      </w:pPr>
      <w:r>
        <w:rPr>
          <w:rFonts w:hint="eastAsia" w:ascii="Times New Roman" w:hAnsi="Times New Roman" w:eastAsia="Times New Roman" w:cs="Times New Roman"/>
          <w:color w:val="auto"/>
          <w:szCs w:val="21"/>
          <w:highlight w:val="none"/>
          <w:lang w:val="en-US" w:eastAsia="zh-CN"/>
        </w:rPr>
        <w:t xml:space="preserve">根据《中华人民共和国安全生产法》(2021 修订版)、浙政办发《浙江省人民政府办公厅转发省安监局等部门关于在高危行业全面推进安全生产责任保险的通知》〔2017〕146 号文件、《关于进一步推进我省安全生产责任保险规范化工作的通知》浙应急法〔2020〕9 号文件要求，承包人在整个项目实施期间对本标段工程投保安全生产责任制保险。 </w:t>
      </w:r>
    </w:p>
    <w:p w14:paraId="7885712D">
      <w:pPr>
        <w:pStyle w:val="9"/>
        <w:spacing w:line="420" w:lineRule="exact"/>
        <w:ind w:firstLine="420" w:firstLineChars="200"/>
        <w:rPr>
          <w:rFonts w:hint="eastAsia" w:ascii="Times New Roman" w:hAnsi="Times New Roman" w:eastAsia="Times New Roman" w:cs="Times New Roman"/>
          <w:color w:val="auto"/>
          <w:szCs w:val="21"/>
          <w:highlight w:val="none"/>
          <w:lang w:val="en-US" w:eastAsia="zh-CN"/>
        </w:rPr>
      </w:pPr>
      <w:r>
        <w:rPr>
          <w:rFonts w:hint="eastAsia" w:ascii="Times New Roman" w:hAnsi="Times New Roman" w:eastAsia="Times New Roman" w:cs="Times New Roman"/>
          <w:color w:val="auto"/>
          <w:szCs w:val="21"/>
          <w:highlight w:val="none"/>
          <w:lang w:val="en-US" w:eastAsia="zh-CN"/>
        </w:rPr>
        <w:t>安全生产责任保险金额：</w:t>
      </w:r>
      <w:r>
        <w:rPr>
          <w:rFonts w:hint="default" w:ascii="Times New Roman" w:hAnsi="Times New Roman" w:eastAsia="宋体" w:cs="Times New Roman"/>
          <w:color w:val="auto"/>
          <w:szCs w:val="21"/>
          <w:highlight w:val="none"/>
        </w:rPr>
        <w:t>工程量清单第100章（不含</w:t>
      </w:r>
      <w:r>
        <w:rPr>
          <w:rFonts w:hint="default" w:ascii="Times New Roman" w:hAnsi="Times New Roman" w:eastAsia="宋体" w:cs="Times New Roman"/>
          <w:color w:val="auto"/>
          <w:szCs w:val="21"/>
          <w:highlight w:val="none"/>
          <w:lang w:val="en-US" w:eastAsia="zh-CN"/>
        </w:rPr>
        <w:t>安全生产费、</w:t>
      </w:r>
      <w:r>
        <w:rPr>
          <w:rFonts w:hint="default" w:ascii="Times New Roman" w:hAnsi="Times New Roman" w:eastAsia="宋体" w:cs="Times New Roman"/>
          <w:color w:val="auto"/>
          <w:szCs w:val="21"/>
          <w:highlight w:val="none"/>
        </w:rPr>
        <w:t>建筑工程一切险及</w:t>
      </w:r>
      <w:r>
        <w:rPr>
          <w:rFonts w:hint="default" w:ascii="Times New Roman" w:hAnsi="Times New Roman" w:eastAsia="宋体" w:cs="Times New Roman"/>
          <w:color w:val="auto"/>
          <w:szCs w:val="21"/>
          <w:highlight w:val="none"/>
          <w:lang w:val="en-US" w:eastAsia="zh-CN"/>
        </w:rPr>
        <w:t>安全生产</w:t>
      </w:r>
      <w:r>
        <w:rPr>
          <w:rFonts w:hint="default" w:ascii="Times New Roman" w:hAnsi="Times New Roman" w:eastAsia="宋体" w:cs="Times New Roman"/>
          <w:color w:val="auto"/>
          <w:szCs w:val="21"/>
          <w:highlight w:val="none"/>
        </w:rPr>
        <w:t>责任险的保险费）至</w:t>
      </w:r>
      <w:r>
        <w:rPr>
          <w:rFonts w:hint="eastAsia" w:eastAsia="宋体" w:cs="Times New Roman"/>
          <w:color w:val="auto"/>
          <w:szCs w:val="21"/>
          <w:highlight w:val="none"/>
          <w:lang w:val="en-US" w:eastAsia="zh-CN"/>
        </w:rPr>
        <w:t>900</w:t>
      </w:r>
      <w:r>
        <w:rPr>
          <w:rFonts w:hint="default" w:ascii="Times New Roman" w:hAnsi="Times New Roman" w:eastAsia="宋体" w:cs="Times New Roman"/>
          <w:color w:val="auto"/>
          <w:szCs w:val="21"/>
          <w:highlight w:val="none"/>
        </w:rPr>
        <w:t>章的合计金额</w:t>
      </w:r>
    </w:p>
    <w:p w14:paraId="0E39EAC8">
      <w:pPr>
        <w:pStyle w:val="9"/>
        <w:spacing w:line="420" w:lineRule="exact"/>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安全生产责任险的</w:t>
      </w:r>
      <w:r>
        <w:rPr>
          <w:rFonts w:hint="default" w:ascii="Times New Roman" w:hAnsi="Times New Roman" w:eastAsia="宋体" w:cs="Times New Roman"/>
          <w:color w:val="auto"/>
          <w:szCs w:val="21"/>
          <w:highlight w:val="none"/>
        </w:rPr>
        <w:t>保险费率：在项目专用合同条款数据表中约定。</w:t>
      </w:r>
      <w:r>
        <w:rPr>
          <w:rFonts w:hint="default" w:ascii="Times New Roman" w:hAnsi="Times New Roman" w:eastAsia="宋体" w:cs="Times New Roman"/>
          <w:color w:val="auto"/>
          <w:szCs w:val="21"/>
          <w:highlight w:val="none"/>
          <w:lang w:val="en-US" w:eastAsia="zh-CN"/>
        </w:rPr>
        <w:t>安全生产责任险</w:t>
      </w:r>
      <w:r>
        <w:rPr>
          <w:rFonts w:hint="default" w:ascii="Times New Roman" w:hAnsi="Times New Roman" w:eastAsia="宋体" w:cs="Times New Roman"/>
          <w:color w:val="auto"/>
          <w:szCs w:val="21"/>
          <w:highlight w:val="none"/>
        </w:rPr>
        <w:t>的保险费投标人在报价时暂按项目专用合同条款数据表中约定的费率报价，列入工程量清单100章内，实际保险费率按发包人按有关规定确定的保险公司约定的保险费率办理，且该费率不高于专用合同条款数据表中约定的费率，若高于专用合同条款数据表中约定的费率则超出部分由承包人承担。发包人在接到保险单后，将按照实际保险单的费用直接向承包人支付。</w:t>
      </w:r>
    </w:p>
    <w:p w14:paraId="3C1E18C3">
      <w:pPr>
        <w:pStyle w:val="9"/>
        <w:spacing w:line="420" w:lineRule="exact"/>
        <w:ind w:firstLine="420" w:firstLineChars="200"/>
        <w:rPr>
          <w:rFonts w:hint="eastAsia" w:ascii="Times New Roman" w:hAnsi="Times New Roman" w:eastAsia="Times New Roman" w:cs="Times New Roman"/>
          <w:color w:val="auto"/>
          <w:szCs w:val="21"/>
          <w:highlight w:val="none"/>
          <w:lang w:val="en-US" w:eastAsia="zh-CN"/>
        </w:rPr>
      </w:pPr>
      <w:r>
        <w:rPr>
          <w:rFonts w:hint="eastAsia" w:ascii="Times New Roman" w:hAnsi="Times New Roman" w:eastAsia="Times New Roman" w:cs="Times New Roman"/>
          <w:color w:val="auto"/>
          <w:szCs w:val="21"/>
          <w:highlight w:val="none"/>
          <w:lang w:val="en-US" w:eastAsia="zh-CN"/>
        </w:rPr>
        <w:t xml:space="preserve">安全生产责任保险的保险期限：保险合同签订日起直至本合同工程签发缺陷责任期终止证书止。 </w:t>
      </w:r>
    </w:p>
    <w:p w14:paraId="1A44BDB5">
      <w:pPr>
        <w:pStyle w:val="70"/>
        <w:tabs>
          <w:tab w:val="left" w:pos="2790"/>
        </w:tabs>
        <w:spacing w:line="400" w:lineRule="exact"/>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安全生产责任险的保险机构由发包人和承包人联合确定，相关保险投保应服从发包人同意实施要求</w:t>
      </w:r>
      <w:r>
        <w:rPr>
          <w:rFonts w:hint="default" w:ascii="Times New Roman" w:hAnsi="Times New Roman" w:eastAsia="宋体" w:cs="Times New Roman"/>
          <w:color w:val="auto"/>
          <w:szCs w:val="21"/>
          <w:highlight w:val="none"/>
        </w:rPr>
        <w:t>。</w:t>
      </w:r>
    </w:p>
    <w:p w14:paraId="049A0216">
      <w:pPr>
        <w:pStyle w:val="44"/>
        <w:spacing w:line="400" w:lineRule="exact"/>
        <w:outlineLvl w:val="3"/>
        <w:rPr>
          <w:rFonts w:hint="eastAsia" w:ascii="宋体" w:hAnsi="宋体"/>
          <w:color w:val="auto"/>
          <w:highlight w:val="none"/>
        </w:rPr>
      </w:pPr>
      <w:r>
        <w:rPr>
          <w:rFonts w:hint="eastAsia" w:ascii="宋体" w:hAnsi="宋体"/>
          <w:color w:val="auto"/>
          <w:highlight w:val="none"/>
        </w:rPr>
        <w:t>20.6  对各项保险的一般要求</w:t>
      </w:r>
    </w:p>
    <w:p w14:paraId="5A95FC8A">
      <w:pPr>
        <w:pStyle w:val="70"/>
        <w:tabs>
          <w:tab w:val="left" w:pos="2790"/>
        </w:tabs>
        <w:spacing w:line="400" w:lineRule="exact"/>
        <w:ind w:firstLine="420" w:firstLineChars="200"/>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20.6.1 保险凭证 </w:t>
      </w:r>
    </w:p>
    <w:p w14:paraId="35369787">
      <w:pPr>
        <w:pStyle w:val="70"/>
        <w:tabs>
          <w:tab w:val="left" w:pos="2790"/>
        </w:tabs>
        <w:spacing w:line="400" w:lineRule="exact"/>
        <w:ind w:firstLine="420" w:firstLineChars="200"/>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第20.6.1项约定为： </w:t>
      </w:r>
    </w:p>
    <w:p w14:paraId="673C8F72">
      <w:pPr>
        <w:pStyle w:val="70"/>
        <w:tabs>
          <w:tab w:val="left" w:pos="2790"/>
        </w:tabs>
        <w:spacing w:line="400" w:lineRule="exact"/>
        <w:ind w:firstLine="420" w:firstLineChars="20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承包人向发包人提交各项保险生效的证据和保险单副本的期限：开工后28天内。</w:t>
      </w:r>
    </w:p>
    <w:p w14:paraId="6E973483">
      <w:pPr>
        <w:pStyle w:val="44"/>
        <w:spacing w:line="400" w:lineRule="exact"/>
        <w:ind w:firstLine="420" w:firstLineChars="200"/>
        <w:rPr>
          <w:rFonts w:hint="eastAsia" w:ascii="宋体" w:hAnsi="宋体"/>
          <w:color w:val="auto"/>
          <w:highlight w:val="none"/>
        </w:rPr>
      </w:pPr>
      <w:r>
        <w:rPr>
          <w:rFonts w:hint="eastAsia" w:ascii="宋体" w:hAnsi="宋体"/>
          <w:color w:val="auto"/>
          <w:highlight w:val="none"/>
        </w:rPr>
        <w:t>20.6.4  保险金不足的补偿</w:t>
      </w:r>
    </w:p>
    <w:p w14:paraId="72D04A09">
      <w:pPr>
        <w:pStyle w:val="44"/>
        <w:spacing w:line="400" w:lineRule="exact"/>
        <w:ind w:firstLine="420" w:firstLineChars="200"/>
        <w:rPr>
          <w:rFonts w:hint="eastAsia" w:ascii="宋体" w:hAnsi="宋体"/>
          <w:color w:val="auto"/>
          <w:highlight w:val="none"/>
        </w:rPr>
      </w:pPr>
      <w:r>
        <w:rPr>
          <w:rFonts w:hint="eastAsia" w:ascii="宋体" w:hAnsi="宋体"/>
          <w:color w:val="auto"/>
          <w:highlight w:val="none"/>
        </w:rPr>
        <w:t>第20.6.4</w:t>
      </w:r>
      <w:r>
        <w:rPr>
          <w:rFonts w:hint="eastAsia" w:ascii="宋体" w:hAnsi="宋体" w:eastAsia="宋体"/>
          <w:color w:val="auto"/>
          <w:highlight w:val="none"/>
          <w:lang w:val="en-US" w:eastAsia="zh-CN"/>
        </w:rPr>
        <w:t>项</w:t>
      </w:r>
      <w:r>
        <w:rPr>
          <w:rFonts w:hint="eastAsia" w:ascii="宋体" w:hAnsi="宋体"/>
          <w:color w:val="auto"/>
          <w:highlight w:val="none"/>
        </w:rPr>
        <w:t>细化为：</w:t>
      </w:r>
    </w:p>
    <w:p w14:paraId="1DA983C1">
      <w:pPr>
        <w:pStyle w:val="44"/>
        <w:spacing w:line="400" w:lineRule="exact"/>
        <w:ind w:firstLine="420" w:firstLineChars="200"/>
        <w:rPr>
          <w:rFonts w:hint="eastAsia" w:ascii="宋体" w:hAnsi="宋体"/>
          <w:color w:val="auto"/>
          <w:highlight w:val="none"/>
        </w:rPr>
      </w:pPr>
      <w:r>
        <w:rPr>
          <w:rFonts w:hint="eastAsia" w:ascii="宋体" w:hAnsi="宋体"/>
          <w:color w:val="auto"/>
          <w:highlight w:val="none"/>
        </w:rPr>
        <w:t>20.6.4保险金的赔偿金额以有资质的公估单位确定的金额为准，免赔额和超过赔偿限额的部分由承包人承担。</w:t>
      </w:r>
    </w:p>
    <w:p w14:paraId="47F5BEB8">
      <w:pPr>
        <w:pStyle w:val="44"/>
        <w:spacing w:line="400" w:lineRule="exact"/>
        <w:outlineLvl w:val="2"/>
        <w:rPr>
          <w:rFonts w:ascii="宋体" w:hAnsi="宋体"/>
          <w:color w:val="auto"/>
          <w:sz w:val="28"/>
          <w:szCs w:val="28"/>
          <w:highlight w:val="none"/>
        </w:rPr>
      </w:pPr>
      <w:bookmarkStart w:id="718" w:name="_Toc262895557"/>
      <w:bookmarkStart w:id="719" w:name="_Toc474496524"/>
      <w:bookmarkStart w:id="720" w:name="_Toc17631"/>
      <w:bookmarkStart w:id="721" w:name="_Toc245538894"/>
      <w:bookmarkStart w:id="722" w:name="_Toc19795"/>
      <w:r>
        <w:rPr>
          <w:rFonts w:hint="eastAsia" w:ascii="宋体" w:hAnsi="宋体"/>
          <w:color w:val="auto"/>
          <w:sz w:val="28"/>
          <w:szCs w:val="28"/>
          <w:highlight w:val="none"/>
        </w:rPr>
        <w:t>22.违约</w:t>
      </w:r>
      <w:bookmarkEnd w:id="718"/>
      <w:bookmarkEnd w:id="719"/>
      <w:bookmarkEnd w:id="720"/>
      <w:bookmarkEnd w:id="721"/>
      <w:bookmarkEnd w:id="722"/>
    </w:p>
    <w:p w14:paraId="01EC553E">
      <w:pPr>
        <w:pStyle w:val="44"/>
        <w:spacing w:line="400" w:lineRule="exact"/>
        <w:outlineLvl w:val="3"/>
        <w:rPr>
          <w:rFonts w:ascii="宋体" w:hAnsi="宋体"/>
          <w:color w:val="auto"/>
          <w:highlight w:val="none"/>
        </w:rPr>
      </w:pPr>
      <w:bookmarkStart w:id="723" w:name="_Toc474496525"/>
      <w:bookmarkStart w:id="724" w:name="_Toc245538895"/>
      <w:bookmarkStart w:id="725" w:name="_Toc262895558"/>
      <w:r>
        <w:rPr>
          <w:rFonts w:hint="eastAsia" w:ascii="宋体" w:hAnsi="宋体"/>
          <w:color w:val="auto"/>
          <w:highlight w:val="none"/>
        </w:rPr>
        <w:t>22.1承包人违约</w:t>
      </w:r>
      <w:bookmarkEnd w:id="723"/>
      <w:bookmarkEnd w:id="724"/>
      <w:bookmarkEnd w:id="725"/>
    </w:p>
    <w:p w14:paraId="4AB4E403">
      <w:pPr>
        <w:pStyle w:val="44"/>
        <w:spacing w:line="400" w:lineRule="exact"/>
        <w:ind w:firstLine="420" w:firstLineChars="200"/>
        <w:rPr>
          <w:rFonts w:ascii="宋体" w:hAnsi="宋体"/>
          <w:color w:val="auto"/>
          <w:highlight w:val="none"/>
        </w:rPr>
      </w:pPr>
      <w:r>
        <w:rPr>
          <w:rFonts w:hint="eastAsia" w:ascii="宋体" w:hAnsi="宋体"/>
          <w:color w:val="auto"/>
          <w:highlight w:val="none"/>
        </w:rPr>
        <w:t>22.1.1  承包人违约的情形</w:t>
      </w:r>
    </w:p>
    <w:p w14:paraId="60F08A8E">
      <w:pPr>
        <w:pStyle w:val="44"/>
        <w:spacing w:line="400" w:lineRule="exact"/>
        <w:ind w:firstLine="420" w:firstLineChars="200"/>
        <w:rPr>
          <w:rFonts w:ascii="宋体" w:hAnsi="宋体"/>
          <w:color w:val="auto"/>
          <w:highlight w:val="none"/>
        </w:rPr>
      </w:pPr>
      <w:r>
        <w:rPr>
          <w:rFonts w:hint="eastAsia" w:ascii="宋体" w:hAnsi="宋体"/>
          <w:color w:val="auto"/>
          <w:highlight w:val="none"/>
        </w:rPr>
        <w:t xml:space="preserve"> </w:t>
      </w:r>
      <w:r>
        <w:rPr>
          <w:rFonts w:hint="eastAsia" w:ascii="宋体" w:hAnsi="宋体" w:eastAsia="宋体"/>
          <w:color w:val="auto"/>
          <w:highlight w:val="none"/>
          <w:lang w:val="en-US" w:eastAsia="zh-CN"/>
        </w:rPr>
        <w:t>第</w:t>
      </w:r>
      <w:r>
        <w:rPr>
          <w:rFonts w:ascii="宋体" w:hAnsi="宋体"/>
          <w:color w:val="auto"/>
          <w:highlight w:val="none"/>
        </w:rPr>
        <w:t>22.1.1</w:t>
      </w:r>
      <w:r>
        <w:rPr>
          <w:rFonts w:hint="eastAsia" w:ascii="宋体" w:hAnsi="宋体"/>
          <w:color w:val="auto"/>
          <w:highlight w:val="none"/>
        </w:rPr>
        <w:t>项细化为：</w:t>
      </w:r>
    </w:p>
    <w:p w14:paraId="739ED6A8">
      <w:pPr>
        <w:pStyle w:val="44"/>
        <w:spacing w:line="400" w:lineRule="exact"/>
        <w:ind w:firstLine="420" w:firstLineChars="200"/>
        <w:rPr>
          <w:rFonts w:ascii="宋体" w:hAnsi="宋体"/>
          <w:color w:val="auto"/>
          <w:highlight w:val="none"/>
        </w:rPr>
      </w:pPr>
      <w:r>
        <w:rPr>
          <w:rFonts w:hint="eastAsia" w:ascii="宋体" w:hAnsi="宋体"/>
          <w:color w:val="auto"/>
          <w:highlight w:val="none"/>
        </w:rPr>
        <w:t>在履行合同过程中发生的下列</w:t>
      </w:r>
      <w:r>
        <w:rPr>
          <w:rFonts w:hint="eastAsia" w:ascii="宋体" w:hAnsi="宋体" w:eastAsia="宋体"/>
          <w:color w:val="auto"/>
          <w:highlight w:val="none"/>
          <w:lang w:val="en-US" w:eastAsia="zh-CN"/>
        </w:rPr>
        <w:t>情况</w:t>
      </w:r>
      <w:r>
        <w:rPr>
          <w:rFonts w:hint="eastAsia" w:ascii="宋体" w:hAnsi="宋体"/>
          <w:color w:val="auto"/>
          <w:highlight w:val="none"/>
        </w:rPr>
        <w:t>属承包人违约：</w:t>
      </w:r>
    </w:p>
    <w:p w14:paraId="755D4DAD">
      <w:pPr>
        <w:pStyle w:val="44"/>
        <w:spacing w:line="400" w:lineRule="exact"/>
        <w:ind w:firstLine="420" w:firstLineChars="200"/>
        <w:rPr>
          <w:rFonts w:ascii="宋体" w:hAnsi="宋体"/>
          <w:color w:val="auto"/>
          <w:highlight w:val="none"/>
        </w:rPr>
      </w:pPr>
      <w:r>
        <w:rPr>
          <w:rFonts w:hint="eastAsia" w:ascii="宋体" w:hAnsi="宋体"/>
          <w:color w:val="auto"/>
          <w:highlight w:val="none"/>
        </w:rPr>
        <w:t>（1）承包人违反第1.8款或第4.3款的约定，私自将合同的全部或部分权利转让给其他人，或私自将合同的全部或部分义务转移给其他人；</w:t>
      </w:r>
    </w:p>
    <w:p w14:paraId="455C815D">
      <w:pPr>
        <w:pStyle w:val="44"/>
        <w:spacing w:line="400" w:lineRule="exact"/>
        <w:ind w:firstLine="420" w:firstLineChars="200"/>
        <w:rPr>
          <w:rFonts w:ascii="宋体" w:hAnsi="宋体"/>
          <w:color w:val="auto"/>
          <w:highlight w:val="none"/>
        </w:rPr>
      </w:pPr>
      <w:r>
        <w:rPr>
          <w:rFonts w:hint="eastAsia" w:ascii="宋体" w:hAnsi="宋体"/>
          <w:color w:val="auto"/>
          <w:highlight w:val="none"/>
        </w:rPr>
        <w:t>（2）承包人违反第5.3款或第6.4款的约定，未经监理人批准，私自将已按合同约定进入施工场地的施工设备、临时设施、材料或工程设备撤离施工场地；</w:t>
      </w:r>
    </w:p>
    <w:p w14:paraId="12FC265F">
      <w:pPr>
        <w:pStyle w:val="44"/>
        <w:spacing w:line="400" w:lineRule="exact"/>
        <w:ind w:firstLine="420" w:firstLineChars="200"/>
        <w:rPr>
          <w:rFonts w:ascii="宋体" w:hAnsi="宋体"/>
          <w:color w:val="auto"/>
          <w:highlight w:val="none"/>
        </w:rPr>
      </w:pPr>
      <w:r>
        <w:rPr>
          <w:rFonts w:hint="eastAsia" w:ascii="宋体" w:hAnsi="宋体"/>
          <w:color w:val="auto"/>
          <w:highlight w:val="none"/>
        </w:rPr>
        <w:t>（3）承包人违反第5.4款的约定使用了不合格材料或工程设备，工程质量达不到标准要求，又拒绝清除不合格工程；</w:t>
      </w:r>
    </w:p>
    <w:p w14:paraId="329FC86B">
      <w:pPr>
        <w:pStyle w:val="44"/>
        <w:spacing w:line="400" w:lineRule="exact"/>
        <w:ind w:firstLine="420" w:firstLineChars="200"/>
        <w:rPr>
          <w:rFonts w:ascii="宋体" w:hAnsi="宋体"/>
          <w:color w:val="auto"/>
          <w:highlight w:val="none"/>
        </w:rPr>
      </w:pPr>
      <w:r>
        <w:rPr>
          <w:rFonts w:hint="eastAsia" w:ascii="宋体" w:hAnsi="宋体"/>
          <w:color w:val="auto"/>
          <w:highlight w:val="none"/>
        </w:rPr>
        <w:t>（4）承包人未能按合同进度计划及时完成合同约定的工作，已造成或预期造成工期延误；</w:t>
      </w:r>
    </w:p>
    <w:p w14:paraId="34D17C6D">
      <w:pPr>
        <w:pStyle w:val="44"/>
        <w:spacing w:line="400" w:lineRule="exact"/>
        <w:ind w:firstLine="420" w:firstLineChars="200"/>
        <w:rPr>
          <w:rFonts w:ascii="宋体" w:hAnsi="宋体"/>
          <w:color w:val="auto"/>
          <w:highlight w:val="none"/>
        </w:rPr>
      </w:pPr>
      <w:r>
        <w:rPr>
          <w:rFonts w:hint="eastAsia" w:ascii="宋体" w:hAnsi="宋体"/>
          <w:color w:val="auto"/>
          <w:highlight w:val="none"/>
        </w:rPr>
        <w:t>（5）承包人在缺陷责任期内，未能对工程接收证书所列的缺陷清单的内容或缺陷责任期内发生的缺陷进行修复，而又拒绝按监理人指示再进行修补；</w:t>
      </w:r>
    </w:p>
    <w:p w14:paraId="037E1416">
      <w:pPr>
        <w:pStyle w:val="44"/>
        <w:spacing w:line="400" w:lineRule="exact"/>
        <w:ind w:firstLine="420" w:firstLineChars="200"/>
        <w:rPr>
          <w:rFonts w:ascii="宋体" w:hAnsi="宋体"/>
          <w:color w:val="auto"/>
          <w:highlight w:val="none"/>
        </w:rPr>
      </w:pPr>
      <w:r>
        <w:rPr>
          <w:rFonts w:hint="eastAsia" w:ascii="宋体" w:hAnsi="宋体"/>
          <w:color w:val="auto"/>
          <w:highlight w:val="none"/>
        </w:rPr>
        <w:t>（6）承包人无法继续履行或明确表示不履行或实质上已停止履行合同；</w:t>
      </w:r>
    </w:p>
    <w:p w14:paraId="5CFC6A96">
      <w:pPr>
        <w:pStyle w:val="44"/>
        <w:spacing w:line="400" w:lineRule="exact"/>
        <w:ind w:firstLine="420" w:firstLineChars="200"/>
        <w:rPr>
          <w:rFonts w:ascii="宋体" w:hAnsi="宋体"/>
          <w:color w:val="auto"/>
          <w:highlight w:val="none"/>
        </w:rPr>
      </w:pPr>
      <w:r>
        <w:rPr>
          <w:rFonts w:hint="eastAsia" w:ascii="宋体" w:hAnsi="宋体"/>
          <w:color w:val="auto"/>
          <w:highlight w:val="none"/>
        </w:rPr>
        <w:t>（7）项目已具备开工条件，因承包人原因，承包人未能按期开工；</w:t>
      </w:r>
    </w:p>
    <w:p w14:paraId="2CEEBDEF">
      <w:pPr>
        <w:pStyle w:val="44"/>
        <w:spacing w:line="400" w:lineRule="exact"/>
        <w:ind w:firstLine="420" w:firstLineChars="200"/>
        <w:rPr>
          <w:rFonts w:ascii="宋体" w:hAnsi="宋体"/>
          <w:color w:val="auto"/>
          <w:highlight w:val="none"/>
        </w:rPr>
      </w:pPr>
      <w:r>
        <w:rPr>
          <w:rFonts w:hint="eastAsia" w:ascii="宋体" w:hAnsi="宋体"/>
          <w:color w:val="auto"/>
          <w:highlight w:val="none"/>
        </w:rPr>
        <w:t>（8）承包人违反第</w:t>
      </w:r>
      <w:r>
        <w:rPr>
          <w:rFonts w:hint="eastAsia" w:ascii="宋体" w:hAnsi="宋体" w:eastAsia="宋体"/>
          <w:color w:val="auto"/>
          <w:highlight w:val="none"/>
          <w:lang w:val="en-US" w:eastAsia="zh-CN"/>
        </w:rPr>
        <w:t>4.6款或</w:t>
      </w:r>
      <w:r>
        <w:rPr>
          <w:rFonts w:hint="eastAsia" w:ascii="宋体" w:hAnsi="宋体"/>
          <w:color w:val="auto"/>
          <w:highlight w:val="none"/>
        </w:rPr>
        <w:t>6.3款的规定，未按承诺或未按监理人的要求及时配备合</w:t>
      </w:r>
      <w:r>
        <w:rPr>
          <w:rFonts w:hint="eastAsia" w:ascii="宋体" w:hAnsi="宋体" w:eastAsia="宋体"/>
          <w:color w:val="auto"/>
          <w:highlight w:val="none"/>
          <w:lang w:val="en-US" w:eastAsia="zh-CN"/>
        </w:rPr>
        <w:t>称职的主要管理人员、技术骨干或</w:t>
      </w:r>
      <w:r>
        <w:rPr>
          <w:rFonts w:hint="eastAsia" w:ascii="宋体" w:hAnsi="宋体"/>
          <w:color w:val="auto"/>
          <w:highlight w:val="none"/>
        </w:rPr>
        <w:t>关键施工设备；</w:t>
      </w:r>
    </w:p>
    <w:p w14:paraId="59D3D4F0">
      <w:pPr>
        <w:pStyle w:val="44"/>
        <w:spacing w:line="400" w:lineRule="exact"/>
        <w:ind w:firstLine="420" w:firstLineChars="200"/>
        <w:rPr>
          <w:rFonts w:ascii="宋体" w:hAnsi="宋体"/>
          <w:color w:val="auto"/>
          <w:highlight w:val="none"/>
        </w:rPr>
      </w:pPr>
      <w:r>
        <w:rPr>
          <w:rFonts w:hint="eastAsia" w:ascii="宋体" w:hAnsi="宋体"/>
          <w:color w:val="auto"/>
          <w:highlight w:val="none"/>
        </w:rPr>
        <w:t>（9）经监理人和发包人检查，发现承包人有安全问题或有违反安全管理规章制度的情形；</w:t>
      </w:r>
    </w:p>
    <w:p w14:paraId="4E1814A2">
      <w:pPr>
        <w:pStyle w:val="44"/>
        <w:spacing w:line="400" w:lineRule="exact"/>
        <w:ind w:firstLine="420" w:firstLineChars="200"/>
        <w:rPr>
          <w:rFonts w:ascii="宋体" w:hAnsi="宋体"/>
          <w:color w:val="auto"/>
          <w:highlight w:val="none"/>
        </w:rPr>
      </w:pPr>
      <w:r>
        <w:rPr>
          <w:rFonts w:hint="eastAsia" w:ascii="宋体" w:hAnsi="宋体"/>
          <w:color w:val="auto"/>
          <w:highlight w:val="none"/>
        </w:rPr>
        <w:t>（10）承包人违反第13.1.1项约定，工程质量未达到</w:t>
      </w:r>
      <w:r>
        <w:rPr>
          <w:rFonts w:hint="eastAsia" w:ascii="宋体" w:hAnsi="宋体" w:eastAsia="宋体"/>
          <w:color w:val="auto"/>
          <w:highlight w:val="none"/>
          <w:lang w:val="en-US" w:eastAsia="zh-CN"/>
        </w:rPr>
        <w:t>约定质量目标</w:t>
      </w:r>
      <w:r>
        <w:rPr>
          <w:rFonts w:hint="eastAsia" w:ascii="宋体" w:hAnsi="宋体"/>
          <w:color w:val="auto"/>
          <w:highlight w:val="none"/>
        </w:rPr>
        <w:t>要求的；</w:t>
      </w:r>
    </w:p>
    <w:p w14:paraId="4FD51830">
      <w:pPr>
        <w:pStyle w:val="44"/>
        <w:spacing w:line="400" w:lineRule="exact"/>
        <w:ind w:firstLine="420" w:firstLineChars="200"/>
        <w:rPr>
          <w:rFonts w:ascii="宋体" w:hAnsi="宋体"/>
          <w:color w:val="auto"/>
          <w:highlight w:val="none"/>
        </w:rPr>
      </w:pPr>
      <w:r>
        <w:rPr>
          <w:rFonts w:hint="eastAsia" w:ascii="宋体" w:hAnsi="宋体"/>
          <w:color w:val="auto"/>
          <w:highlight w:val="none"/>
        </w:rPr>
        <w:t>（11）承包人违反第4.9</w:t>
      </w:r>
      <w:r>
        <w:rPr>
          <w:rFonts w:hint="eastAsia" w:ascii="宋体" w:hAnsi="宋体" w:eastAsia="宋体"/>
          <w:color w:val="auto"/>
          <w:highlight w:val="none"/>
          <w:lang w:val="en-US" w:eastAsia="zh-CN"/>
        </w:rPr>
        <w:t>及17.2</w:t>
      </w:r>
      <w:r>
        <w:rPr>
          <w:rFonts w:hint="eastAsia" w:ascii="宋体" w:hAnsi="宋体"/>
          <w:color w:val="auto"/>
          <w:highlight w:val="none"/>
        </w:rPr>
        <w:t>款的约定，将发包人支付给承包人的各项价款转移或用于其他工程；</w:t>
      </w:r>
    </w:p>
    <w:p w14:paraId="1D678385">
      <w:pPr>
        <w:pStyle w:val="44"/>
        <w:spacing w:line="400" w:lineRule="exact"/>
        <w:ind w:firstLine="420" w:firstLineChars="200"/>
        <w:rPr>
          <w:rFonts w:hint="eastAsia" w:ascii="宋体" w:hAnsi="宋体" w:eastAsia="宋体"/>
          <w:color w:val="auto"/>
          <w:highlight w:val="none"/>
          <w:lang w:eastAsia="zh-CN"/>
        </w:rPr>
      </w:pPr>
      <w:r>
        <w:rPr>
          <w:rFonts w:hint="eastAsia" w:ascii="宋体" w:hAnsi="宋体"/>
          <w:color w:val="auto"/>
          <w:highlight w:val="none"/>
        </w:rPr>
        <w:t>（1</w:t>
      </w:r>
      <w:r>
        <w:rPr>
          <w:rFonts w:hint="eastAsia" w:ascii="宋体" w:hAnsi="宋体" w:eastAsia="宋体"/>
          <w:color w:val="auto"/>
          <w:highlight w:val="none"/>
          <w:lang w:val="en-US" w:eastAsia="zh-CN"/>
        </w:rPr>
        <w:t>2</w:t>
      </w:r>
      <w:r>
        <w:rPr>
          <w:rFonts w:hint="eastAsia" w:ascii="宋体" w:hAnsi="宋体"/>
          <w:color w:val="auto"/>
          <w:highlight w:val="none"/>
        </w:rPr>
        <w:t>）承包人违反投标人须知3.5款的规定，在合同实施期间发现承包人在投标时提供了虚假资料的；</w:t>
      </w:r>
    </w:p>
    <w:p w14:paraId="07C64A03">
      <w:pPr>
        <w:pStyle w:val="44"/>
        <w:spacing w:line="400" w:lineRule="exact"/>
        <w:ind w:firstLine="420" w:firstLineChars="200"/>
        <w:rPr>
          <w:rFonts w:hint="eastAsia" w:ascii="宋体" w:hAnsi="宋体" w:eastAsia="Times New Roman"/>
          <w:color w:val="auto"/>
          <w:highlight w:val="none"/>
          <w:lang w:val="en-US" w:eastAsia="zh-CN"/>
        </w:rPr>
      </w:pPr>
      <w:r>
        <w:rPr>
          <w:rFonts w:hint="eastAsia" w:ascii="宋体" w:hAnsi="宋体"/>
          <w:color w:val="auto"/>
          <w:highlight w:val="none"/>
        </w:rPr>
        <w:t>（1</w:t>
      </w:r>
      <w:r>
        <w:rPr>
          <w:rFonts w:hint="eastAsia" w:ascii="宋体" w:hAnsi="宋体" w:eastAsia="宋体"/>
          <w:color w:val="auto"/>
          <w:highlight w:val="none"/>
          <w:lang w:val="en-US" w:eastAsia="zh-CN"/>
        </w:rPr>
        <w:t>3</w:t>
      </w:r>
      <w:r>
        <w:rPr>
          <w:rFonts w:hint="eastAsia" w:ascii="宋体" w:hAnsi="宋体"/>
          <w:color w:val="auto"/>
          <w:highlight w:val="none"/>
        </w:rPr>
        <w:t>）</w:t>
      </w:r>
      <w:r>
        <w:rPr>
          <w:rFonts w:hint="eastAsia" w:ascii="宋体" w:hAnsi="宋体" w:eastAsia="Times New Roman"/>
          <w:color w:val="auto"/>
          <w:highlight w:val="none"/>
          <w:lang w:val="en-US" w:eastAsia="zh-CN"/>
        </w:rPr>
        <w:t xml:space="preserve">安全目标未达到招标文件规定要求的。 </w:t>
      </w:r>
    </w:p>
    <w:p w14:paraId="169417D2">
      <w:pPr>
        <w:pStyle w:val="44"/>
        <w:spacing w:line="400" w:lineRule="exact"/>
        <w:ind w:firstLine="420" w:firstLineChars="200"/>
        <w:rPr>
          <w:rFonts w:ascii="宋体" w:hAnsi="宋体"/>
          <w:color w:val="auto"/>
          <w:highlight w:val="none"/>
        </w:rPr>
      </w:pPr>
      <w:r>
        <w:rPr>
          <w:rFonts w:hint="eastAsia" w:ascii="宋体" w:hAnsi="宋体"/>
          <w:color w:val="auto"/>
          <w:highlight w:val="none"/>
        </w:rPr>
        <w:t>22.1.2  对承包人违约的处理</w:t>
      </w:r>
    </w:p>
    <w:p w14:paraId="6538ECE5">
      <w:pPr>
        <w:pStyle w:val="44"/>
        <w:spacing w:line="400" w:lineRule="exact"/>
        <w:ind w:firstLine="420" w:firstLineChars="200"/>
        <w:rPr>
          <w:rFonts w:ascii="宋体" w:hAnsi="宋体"/>
          <w:color w:val="auto"/>
          <w:highlight w:val="none"/>
        </w:rPr>
      </w:pPr>
      <w:r>
        <w:rPr>
          <w:rFonts w:hint="eastAsia" w:ascii="宋体" w:hAnsi="宋体"/>
          <w:color w:val="auto"/>
          <w:highlight w:val="none"/>
        </w:rPr>
        <w:t xml:space="preserve"> </w:t>
      </w:r>
      <w:r>
        <w:rPr>
          <w:rFonts w:hint="eastAsia" w:ascii="宋体" w:hAnsi="宋体" w:eastAsia="宋体"/>
          <w:color w:val="auto"/>
          <w:highlight w:val="none"/>
          <w:lang w:val="en-US" w:eastAsia="zh-CN"/>
        </w:rPr>
        <w:t>第</w:t>
      </w:r>
      <w:r>
        <w:rPr>
          <w:rFonts w:hint="eastAsia" w:ascii="宋体" w:hAnsi="宋体"/>
          <w:color w:val="auto"/>
          <w:highlight w:val="none"/>
        </w:rPr>
        <w:t>22.1.2项细化为：</w:t>
      </w:r>
    </w:p>
    <w:p w14:paraId="1B46A33A">
      <w:pPr>
        <w:pStyle w:val="44"/>
        <w:spacing w:line="400" w:lineRule="exact"/>
        <w:ind w:firstLine="420" w:firstLineChars="200"/>
        <w:rPr>
          <w:rFonts w:hint="eastAsia" w:ascii="宋体" w:hAnsi="宋体"/>
          <w:color w:val="auto"/>
          <w:highlight w:val="none"/>
        </w:rPr>
      </w:pPr>
      <w:r>
        <w:rPr>
          <w:rFonts w:hint="eastAsia" w:ascii="宋体" w:hAnsi="宋体"/>
          <w:color w:val="auto"/>
          <w:highlight w:val="none"/>
        </w:rPr>
        <w:t>（1）承包人发生第22.1.1（6）目约定的违约情形时，发包人可通知承包人立即解除合同，履约保证金不予返还，赔偿发包人的全部损失</w:t>
      </w:r>
      <w:r>
        <w:rPr>
          <w:rFonts w:hint="eastAsia" w:ascii="宋体" w:hAnsi="宋体" w:eastAsia="宋体"/>
          <w:color w:val="auto"/>
          <w:highlight w:val="none"/>
          <w:lang w:eastAsia="zh-CN"/>
        </w:rPr>
        <w:t>，</w:t>
      </w:r>
      <w:r>
        <w:rPr>
          <w:rFonts w:hint="eastAsia" w:ascii="宋体" w:hAnsi="宋体" w:eastAsia="宋体"/>
          <w:color w:val="auto"/>
          <w:highlight w:val="none"/>
          <w:lang w:val="en-US" w:eastAsia="zh-CN"/>
        </w:rPr>
        <w:t>并按有关法律处理</w:t>
      </w:r>
      <w:r>
        <w:rPr>
          <w:rFonts w:hint="eastAsia" w:ascii="宋体" w:hAnsi="宋体"/>
          <w:color w:val="auto"/>
          <w:highlight w:val="none"/>
        </w:rPr>
        <w:t>。</w:t>
      </w:r>
    </w:p>
    <w:p w14:paraId="5DB1D2BC">
      <w:pPr>
        <w:pStyle w:val="44"/>
        <w:spacing w:line="400" w:lineRule="exact"/>
        <w:ind w:firstLine="420" w:firstLineChars="200"/>
        <w:rPr>
          <w:rFonts w:ascii="宋体" w:hAnsi="宋体"/>
          <w:color w:val="auto"/>
          <w:highlight w:val="none"/>
        </w:rPr>
      </w:pPr>
      <w:r>
        <w:rPr>
          <w:rFonts w:hint="eastAsia" w:ascii="宋体" w:hAnsi="宋体"/>
          <w:color w:val="auto"/>
          <w:highlight w:val="none"/>
        </w:rPr>
        <w:t>（2）承包人发生除第22.1.1（6）目约定以外的其他违约情形时，监理人可向承包人发出整改通知，要求其在指定的期限内改正。承包人应承担其违约所引起的费用增加、发包人损失和（或）工期延误。</w:t>
      </w:r>
    </w:p>
    <w:p w14:paraId="2B77BD60">
      <w:pPr>
        <w:pStyle w:val="44"/>
        <w:spacing w:line="400" w:lineRule="exact"/>
        <w:ind w:firstLine="420" w:firstLineChars="200"/>
        <w:rPr>
          <w:rFonts w:ascii="宋体" w:hAnsi="宋体"/>
          <w:color w:val="auto"/>
          <w:highlight w:val="none"/>
        </w:rPr>
      </w:pPr>
      <w:r>
        <w:rPr>
          <w:rFonts w:hint="eastAsia" w:ascii="宋体" w:hAnsi="宋体"/>
          <w:color w:val="auto"/>
          <w:highlight w:val="none"/>
        </w:rPr>
        <w:t>（3）经检查证明承包人已采取了有效措施纠正违约行为，具备复工条件的，可由监理人签发复工通知复工。</w:t>
      </w:r>
    </w:p>
    <w:p w14:paraId="6F247625">
      <w:pPr>
        <w:pStyle w:val="44"/>
        <w:spacing w:line="400" w:lineRule="exact"/>
        <w:ind w:firstLine="420" w:firstLineChars="200"/>
        <w:rPr>
          <w:rFonts w:ascii="宋体" w:hAnsi="宋体"/>
          <w:color w:val="auto"/>
          <w:highlight w:val="none"/>
        </w:rPr>
      </w:pPr>
      <w:r>
        <w:rPr>
          <w:rFonts w:hint="eastAsia" w:ascii="宋体" w:hAnsi="宋体"/>
          <w:color w:val="auto"/>
          <w:highlight w:val="none"/>
        </w:rPr>
        <w:t>（4）承包人发生第22.1.1项约定的违约情形时，无论发包人是否解除合同，发包人均有权向承包人课以违约金，并由发包人将其违约行为上报省级交通主管部门，作为不良记录纳入公路建设市场信用信息管理系统。具体约定如下：</w:t>
      </w:r>
    </w:p>
    <w:p w14:paraId="3245FB84">
      <w:pPr>
        <w:pStyle w:val="44"/>
        <w:spacing w:line="400" w:lineRule="exact"/>
        <w:ind w:firstLine="420" w:firstLineChars="200"/>
        <w:rPr>
          <w:rFonts w:hint="eastAsia" w:ascii="宋体" w:hAnsi="宋体" w:eastAsia="宋体"/>
          <w:color w:val="auto"/>
          <w:highlight w:val="none"/>
          <w:lang w:eastAsia="zh-CN"/>
        </w:rPr>
      </w:pPr>
      <w:r>
        <w:rPr>
          <w:rFonts w:hint="eastAsia" w:ascii="宋体" w:hAnsi="宋体"/>
          <w:color w:val="auto"/>
          <w:highlight w:val="none"/>
        </w:rPr>
        <w:t>a.承包人发生第22.1.1项（1）目中违反第1.8款约定的情形，除责令立即纠正外，并课以不超过</w:t>
      </w:r>
      <w:r>
        <w:rPr>
          <w:rFonts w:hint="eastAsia" w:ascii="宋体" w:hAnsi="宋体" w:eastAsia="宋体"/>
          <w:color w:val="auto"/>
          <w:highlight w:val="none"/>
          <w:lang w:val="en-US" w:eastAsia="zh-CN"/>
        </w:rPr>
        <w:t>1</w:t>
      </w:r>
      <w:r>
        <w:rPr>
          <w:rFonts w:hint="eastAsia" w:ascii="宋体" w:hAnsi="宋体"/>
          <w:color w:val="auto"/>
          <w:highlight w:val="none"/>
        </w:rPr>
        <w:t>%签约合同价的违约金；发生第22.1.1项（1）目中违反第4.3款约定的情形，在发包人向承包人发出书面通知的14天内未见纠正后，发包人将酌情向承包人课以不超过</w:t>
      </w:r>
      <w:r>
        <w:rPr>
          <w:rFonts w:hint="eastAsia" w:ascii="宋体" w:hAnsi="宋体" w:eastAsia="宋体"/>
          <w:color w:val="auto"/>
          <w:highlight w:val="none"/>
          <w:lang w:val="en-US" w:eastAsia="zh-CN"/>
        </w:rPr>
        <w:t>1</w:t>
      </w:r>
      <w:r>
        <w:rPr>
          <w:rFonts w:hint="eastAsia" w:ascii="宋体" w:hAnsi="宋体"/>
          <w:color w:val="auto"/>
          <w:highlight w:val="none"/>
        </w:rPr>
        <w:t>%签约合同价的违约金。即使缴纳了违约金，承包人仍应按合同规定继续实施和完成本合同工程及其缺陷修复</w:t>
      </w:r>
      <w:r>
        <w:rPr>
          <w:rFonts w:hint="eastAsia" w:ascii="宋体" w:hAnsi="宋体"/>
          <w:color w:val="auto"/>
          <w:highlight w:val="none"/>
          <w:lang w:eastAsia="zh-CN"/>
        </w:rPr>
        <w:t>；</w:t>
      </w:r>
    </w:p>
    <w:p w14:paraId="43837D49">
      <w:pPr>
        <w:pStyle w:val="44"/>
        <w:spacing w:line="400" w:lineRule="exact"/>
        <w:ind w:firstLine="420" w:firstLineChars="200"/>
        <w:rPr>
          <w:rFonts w:hint="eastAsia" w:ascii="宋体" w:hAnsi="宋体" w:eastAsia="Times New Roman"/>
          <w:color w:val="auto"/>
          <w:highlight w:val="none"/>
          <w:lang w:val="en-US" w:eastAsia="zh-CN"/>
        </w:rPr>
      </w:pPr>
      <w:r>
        <w:rPr>
          <w:rFonts w:hint="eastAsia" w:ascii="宋体" w:hAnsi="宋体" w:eastAsia="Times New Roman"/>
          <w:color w:val="auto"/>
          <w:highlight w:val="none"/>
          <w:lang w:val="en-US" w:eastAsia="zh-CN"/>
        </w:rPr>
        <w:t>b.承包人发生第22.1.1项（2）目中违反第5.3款约定的情形，在发包人向承包人发出书面通知的14天内未见纠正后，发包人将向承包人课以不超过材料和工程设备价值两倍的违约金；发生第22.1.1项（2）目中违反第6.4款约定的情形，在发包人向承包人发出书面通知的14天内未见纠正后，发包人将向承包人课以不超过其台班费两倍的违约金；</w:t>
      </w:r>
    </w:p>
    <w:p w14:paraId="7457C9B5">
      <w:pPr>
        <w:pStyle w:val="44"/>
        <w:spacing w:line="400" w:lineRule="exact"/>
        <w:ind w:firstLine="420" w:firstLineChars="200"/>
        <w:rPr>
          <w:rFonts w:hint="eastAsia" w:ascii="宋体" w:hAnsi="宋体" w:eastAsia="宋体"/>
          <w:color w:val="auto"/>
          <w:highlight w:val="none"/>
          <w:lang w:eastAsia="zh-CN"/>
        </w:rPr>
      </w:pPr>
      <w:r>
        <w:rPr>
          <w:rFonts w:hint="eastAsia" w:ascii="宋体" w:hAnsi="宋体"/>
          <w:color w:val="auto"/>
          <w:highlight w:val="none"/>
        </w:rPr>
        <w:t>c.承包人发生第22.1.1项（3）目情形，在发包人向承包人发出书面通知的14天内未见纠正后，发包人将按每一情形酌情向承包人课以不超过0.5%签约合同价的违约金。即使缴纳了违约金，承包人仍应按合同规定继续实施和完成本合同工程及其缺陷修复</w:t>
      </w:r>
      <w:r>
        <w:rPr>
          <w:rFonts w:hint="eastAsia" w:ascii="宋体" w:hAnsi="宋体"/>
          <w:color w:val="auto"/>
          <w:highlight w:val="none"/>
          <w:lang w:eastAsia="zh-CN"/>
        </w:rPr>
        <w:t>；</w:t>
      </w:r>
    </w:p>
    <w:p w14:paraId="4463EB8B">
      <w:pPr>
        <w:pStyle w:val="44"/>
        <w:spacing w:line="400" w:lineRule="exact"/>
        <w:ind w:firstLine="420" w:firstLineChars="200"/>
        <w:rPr>
          <w:rFonts w:hint="eastAsia" w:ascii="宋体" w:hAnsi="宋体" w:eastAsia="宋体"/>
          <w:color w:val="auto"/>
          <w:highlight w:val="none"/>
          <w:lang w:eastAsia="zh-CN"/>
        </w:rPr>
      </w:pPr>
      <w:r>
        <w:rPr>
          <w:rFonts w:hint="eastAsia" w:ascii="宋体" w:hAnsi="宋体"/>
          <w:color w:val="auto"/>
          <w:highlight w:val="none"/>
        </w:rPr>
        <w:t>d.承包人发生第22.1.1项（4）目情形,则按第11.5款规定处理</w:t>
      </w:r>
      <w:r>
        <w:rPr>
          <w:rFonts w:hint="eastAsia" w:ascii="宋体" w:hAnsi="宋体"/>
          <w:color w:val="auto"/>
          <w:highlight w:val="none"/>
          <w:lang w:eastAsia="zh-CN"/>
        </w:rPr>
        <w:t>；</w:t>
      </w:r>
    </w:p>
    <w:p w14:paraId="67825ADF">
      <w:pPr>
        <w:pStyle w:val="44"/>
        <w:spacing w:line="400" w:lineRule="exact"/>
        <w:ind w:firstLine="420" w:firstLineChars="200"/>
        <w:rPr>
          <w:rFonts w:hint="eastAsia" w:ascii="宋体" w:hAnsi="宋体" w:eastAsia="宋体"/>
          <w:color w:val="auto"/>
          <w:highlight w:val="none"/>
          <w:lang w:eastAsia="zh-CN"/>
        </w:rPr>
      </w:pPr>
      <w:r>
        <w:rPr>
          <w:rFonts w:hint="eastAsia" w:ascii="宋体" w:hAnsi="宋体"/>
          <w:color w:val="auto"/>
          <w:highlight w:val="none"/>
        </w:rPr>
        <w:t>e.承包人发生第22.1.1项（5）目情形,则按第19.2.4项规定处理</w:t>
      </w:r>
      <w:r>
        <w:rPr>
          <w:rFonts w:hint="eastAsia" w:ascii="宋体" w:hAnsi="宋体"/>
          <w:color w:val="auto"/>
          <w:highlight w:val="none"/>
          <w:lang w:eastAsia="zh-CN"/>
        </w:rPr>
        <w:t>；</w:t>
      </w:r>
    </w:p>
    <w:p w14:paraId="3788B234">
      <w:pPr>
        <w:pStyle w:val="44"/>
        <w:spacing w:line="400" w:lineRule="exact"/>
        <w:ind w:firstLine="420" w:firstLineChars="200"/>
        <w:rPr>
          <w:rFonts w:hint="eastAsia" w:ascii="宋体" w:hAnsi="宋体" w:eastAsia="Times New Roman"/>
          <w:color w:val="auto"/>
          <w:highlight w:val="none"/>
        </w:rPr>
      </w:pPr>
      <w:r>
        <w:rPr>
          <w:rFonts w:hint="eastAsia" w:ascii="宋体" w:hAnsi="宋体" w:eastAsia="Times New Roman"/>
          <w:color w:val="auto"/>
          <w:highlight w:val="none"/>
        </w:rPr>
        <w:t>f.承包人发生第22.1.1项（7）目情形,发包人有权按第11.5款规定的逾期交工违约金金额的二分之一乘以未按期开工天数处以违约金；</w:t>
      </w:r>
    </w:p>
    <w:p w14:paraId="166FEA04">
      <w:pPr>
        <w:pStyle w:val="44"/>
        <w:spacing w:line="400" w:lineRule="exact"/>
        <w:ind w:firstLine="420" w:firstLineChars="200"/>
        <w:rPr>
          <w:rFonts w:hint="eastAsia" w:ascii="宋体" w:hAnsi="宋体" w:eastAsia="Times New Roman"/>
          <w:color w:val="auto"/>
          <w:highlight w:val="none"/>
        </w:rPr>
      </w:pPr>
      <w:r>
        <w:rPr>
          <w:rFonts w:hint="eastAsia" w:ascii="宋体" w:hAnsi="宋体" w:eastAsia="Times New Roman"/>
          <w:color w:val="auto"/>
          <w:highlight w:val="none"/>
        </w:rPr>
        <w:t>g</w:t>
      </w:r>
      <w:bookmarkStart w:id="726" w:name="OLE_LINK4"/>
      <w:r>
        <w:rPr>
          <w:rFonts w:hint="eastAsia" w:ascii="宋体" w:hAnsi="宋体" w:eastAsia="Times New Roman"/>
          <w:color w:val="auto"/>
          <w:highlight w:val="none"/>
        </w:rPr>
        <w:t>.</w:t>
      </w:r>
      <w:bookmarkEnd w:id="726"/>
      <w:r>
        <w:rPr>
          <w:rFonts w:hint="eastAsia" w:ascii="宋体" w:hAnsi="宋体" w:eastAsia="Times New Roman"/>
          <w:color w:val="auto"/>
          <w:highlight w:val="none"/>
        </w:rPr>
        <w:t>承包人发生第22.1.1项（8）目</w:t>
      </w:r>
      <w:r>
        <w:rPr>
          <w:rFonts w:hint="eastAsia" w:ascii="宋体" w:hAnsi="宋体" w:eastAsia="Times New Roman"/>
          <w:color w:val="auto"/>
          <w:highlight w:val="none"/>
          <w:lang w:val="en-US" w:eastAsia="zh-CN"/>
        </w:rPr>
        <w:t>违反第 4.6 款约定的</w:t>
      </w:r>
      <w:r>
        <w:rPr>
          <w:rFonts w:hint="eastAsia" w:ascii="宋体" w:hAnsi="宋体" w:eastAsia="Times New Roman"/>
          <w:color w:val="auto"/>
          <w:highlight w:val="none"/>
        </w:rPr>
        <w:t>情形, 项目经理或项目</w:t>
      </w:r>
      <w:r>
        <w:rPr>
          <w:rFonts w:hint="eastAsia" w:ascii="宋体" w:hAnsi="宋体" w:eastAsia="Times New Roman"/>
          <w:color w:val="auto"/>
          <w:highlight w:val="none"/>
          <w:lang w:val="en-US" w:eastAsia="zh-CN"/>
        </w:rPr>
        <w:t>技术负责人</w:t>
      </w:r>
      <w:r>
        <w:rPr>
          <w:rFonts w:hint="eastAsia" w:ascii="宋体" w:hAnsi="宋体" w:eastAsia="Times New Roman"/>
          <w:color w:val="auto"/>
          <w:highlight w:val="none"/>
        </w:rPr>
        <w:t>未经发包人同意擅自离开工地，每天课以违约金3000元／人；在完工前若每月在工地天数不足22天（特殊情况经监理人批准报发包人同意例外）者，每不足一天课以违约金1000元／人；承包人更换项目经理（除4.6.8条规定情形外），课以3万元/人次的违约金；承包人更换项目</w:t>
      </w:r>
      <w:r>
        <w:rPr>
          <w:rFonts w:hint="eastAsia" w:ascii="宋体" w:hAnsi="宋体" w:eastAsia="Times New Roman"/>
          <w:color w:val="auto"/>
          <w:highlight w:val="none"/>
          <w:lang w:val="en-US" w:eastAsia="zh-CN"/>
        </w:rPr>
        <w:t>技术负责人</w:t>
      </w:r>
      <w:r>
        <w:rPr>
          <w:rFonts w:hint="eastAsia" w:ascii="宋体" w:hAnsi="宋体" w:eastAsia="Times New Roman"/>
          <w:color w:val="auto"/>
          <w:highlight w:val="none"/>
        </w:rPr>
        <w:t>（除4.6.8条规定情形外），课以3万元/人次的违约金；其他（除4.6.8条规定情形外）主要人员未经发包人同意擅自离开工地，每天课以违约金1000元／人；若每月在工地天数不足22天（特殊情况经监理人批准报发包人同意例外）者，每不足一天课以违约金1000元／人。承包人更换其他人员（除4.6.8条规定情形外），课以1万元/人次的违约金</w:t>
      </w:r>
      <w:r>
        <w:rPr>
          <w:rFonts w:hint="eastAsia" w:ascii="宋体" w:hAnsi="宋体" w:eastAsia="宋体"/>
          <w:color w:val="auto"/>
          <w:highlight w:val="none"/>
          <w:lang w:eastAsia="zh-CN"/>
        </w:rPr>
        <w:t>；</w:t>
      </w:r>
      <w:r>
        <w:rPr>
          <w:rFonts w:hint="eastAsia" w:ascii="宋体" w:hAnsi="宋体" w:eastAsia="Times New Roman"/>
          <w:color w:val="auto"/>
          <w:highlight w:val="none"/>
        </w:rPr>
        <w:t xml:space="preserve"> </w:t>
      </w:r>
    </w:p>
    <w:p w14:paraId="3C17925C">
      <w:pPr>
        <w:pStyle w:val="44"/>
        <w:spacing w:line="400" w:lineRule="exact"/>
        <w:ind w:firstLine="420" w:firstLineChars="200"/>
        <w:rPr>
          <w:rFonts w:hint="eastAsia" w:ascii="宋体" w:hAnsi="宋体" w:eastAsia="Times New Roman"/>
          <w:color w:val="auto"/>
          <w:highlight w:val="none"/>
        </w:rPr>
      </w:pPr>
      <w:r>
        <w:rPr>
          <w:rFonts w:hint="eastAsia" w:ascii="宋体" w:hAnsi="宋体" w:eastAsia="Times New Roman"/>
          <w:color w:val="auto"/>
          <w:highlight w:val="none"/>
          <w:lang w:val="en-US" w:eastAsia="zh-CN"/>
        </w:rPr>
        <w:t>发生第 22.1.1 项(8)目违反第 6.3 款约定的情形，在发包人向承包人发出书面通知的 14 天内未见纠正后，发包人将向承包人课以不超过0.5％签约合同价的违约金；</w:t>
      </w:r>
    </w:p>
    <w:p w14:paraId="594229AF">
      <w:pPr>
        <w:pStyle w:val="44"/>
        <w:spacing w:line="400" w:lineRule="exact"/>
        <w:ind w:firstLine="420" w:firstLineChars="200"/>
        <w:rPr>
          <w:rFonts w:hint="eastAsia" w:ascii="宋体" w:hAnsi="宋体" w:eastAsia="宋体"/>
          <w:color w:val="auto"/>
          <w:highlight w:val="none"/>
          <w:lang w:eastAsia="zh-CN"/>
        </w:rPr>
      </w:pPr>
      <w:r>
        <w:rPr>
          <w:rFonts w:hint="eastAsia" w:ascii="宋体" w:hAnsi="宋体"/>
          <w:color w:val="auto"/>
          <w:highlight w:val="none"/>
        </w:rPr>
        <w:t>h.承包人发生第22.1.1项（9）目情形，发包人将责令整改；情节严重的，将停工整顿，，课以</w:t>
      </w:r>
      <w:r>
        <w:rPr>
          <w:rFonts w:hint="eastAsia" w:ascii="宋体" w:hAnsi="宋体" w:eastAsia="宋体"/>
          <w:color w:val="auto"/>
          <w:highlight w:val="none"/>
          <w:lang w:val="en-US" w:eastAsia="zh-CN"/>
        </w:rPr>
        <w:t>1</w:t>
      </w:r>
      <w:r>
        <w:rPr>
          <w:rFonts w:hint="eastAsia" w:ascii="宋体" w:hAnsi="宋体"/>
          <w:color w:val="auto"/>
          <w:highlight w:val="none"/>
        </w:rPr>
        <w:t>%签约合同价的违约金</w:t>
      </w:r>
      <w:r>
        <w:rPr>
          <w:rFonts w:hint="eastAsia" w:ascii="宋体" w:hAnsi="宋体"/>
          <w:color w:val="auto"/>
          <w:highlight w:val="none"/>
          <w:lang w:eastAsia="zh-CN"/>
        </w:rPr>
        <w:t>；</w:t>
      </w:r>
    </w:p>
    <w:p w14:paraId="20AD22D3">
      <w:pPr>
        <w:pStyle w:val="44"/>
        <w:spacing w:line="400" w:lineRule="exact"/>
        <w:ind w:firstLine="420" w:firstLineChars="200"/>
        <w:rPr>
          <w:rFonts w:hint="eastAsia" w:ascii="宋体" w:hAnsi="宋体" w:eastAsia="宋体"/>
          <w:color w:val="auto"/>
          <w:highlight w:val="none"/>
          <w:lang w:eastAsia="zh-CN"/>
        </w:rPr>
      </w:pPr>
      <w:r>
        <w:rPr>
          <w:rFonts w:hint="eastAsia" w:ascii="宋体" w:hAnsi="宋体"/>
          <w:color w:val="auto"/>
          <w:highlight w:val="none"/>
        </w:rPr>
        <w:t>i.承包人发生第22.1.1项（10）目情形，则课以不超过</w:t>
      </w:r>
      <w:r>
        <w:rPr>
          <w:rFonts w:hint="eastAsia" w:ascii="宋体" w:hAnsi="宋体" w:eastAsia="宋体"/>
          <w:color w:val="auto"/>
          <w:highlight w:val="none"/>
          <w:lang w:val="en-US" w:eastAsia="zh-CN"/>
        </w:rPr>
        <w:t>1</w:t>
      </w:r>
      <w:r>
        <w:rPr>
          <w:rFonts w:hint="eastAsia" w:ascii="宋体" w:hAnsi="宋体"/>
          <w:color w:val="auto"/>
          <w:highlight w:val="none"/>
        </w:rPr>
        <w:t>%签约合同价的违约金</w:t>
      </w:r>
      <w:r>
        <w:rPr>
          <w:rFonts w:hint="eastAsia" w:ascii="宋体" w:hAnsi="宋体" w:eastAsia="宋体"/>
          <w:color w:val="auto"/>
          <w:highlight w:val="none"/>
          <w:lang w:eastAsia="zh-CN"/>
        </w:rPr>
        <w:t>；</w:t>
      </w:r>
    </w:p>
    <w:p w14:paraId="1AC72A87">
      <w:pPr>
        <w:pStyle w:val="44"/>
        <w:spacing w:line="400" w:lineRule="exact"/>
        <w:ind w:firstLine="420" w:firstLineChars="200"/>
        <w:rPr>
          <w:rFonts w:ascii="宋体" w:hAnsi="宋体"/>
          <w:color w:val="auto"/>
          <w:highlight w:val="none"/>
        </w:rPr>
      </w:pPr>
      <w:r>
        <w:rPr>
          <w:rFonts w:hint="eastAsia" w:ascii="宋体" w:hAnsi="宋体"/>
          <w:color w:val="auto"/>
          <w:highlight w:val="none"/>
        </w:rPr>
        <w:t>j.承包人发生第22.1.1项（11）目情形，则课以与转移（挪用）资金等额的违约金；</w:t>
      </w:r>
    </w:p>
    <w:p w14:paraId="2C544E25">
      <w:pPr>
        <w:pStyle w:val="44"/>
        <w:spacing w:line="400" w:lineRule="exact"/>
        <w:ind w:firstLine="420" w:firstLineChars="200"/>
        <w:rPr>
          <w:rFonts w:hint="eastAsia" w:ascii="宋体" w:hAnsi="宋体" w:eastAsia="宋体"/>
          <w:color w:val="auto"/>
          <w:highlight w:val="none"/>
          <w:lang w:eastAsia="zh-CN"/>
        </w:rPr>
      </w:pPr>
      <w:r>
        <w:rPr>
          <w:rFonts w:hint="eastAsia" w:ascii="宋体" w:hAnsi="宋体"/>
          <w:color w:val="auto"/>
          <w:highlight w:val="none"/>
        </w:rPr>
        <w:t>k.承包人发生第22.1.1项（1</w:t>
      </w:r>
      <w:r>
        <w:rPr>
          <w:rFonts w:hint="eastAsia" w:ascii="宋体" w:hAnsi="宋体" w:eastAsia="宋体"/>
          <w:color w:val="auto"/>
          <w:highlight w:val="none"/>
          <w:lang w:val="en-US" w:eastAsia="zh-CN"/>
        </w:rPr>
        <w:t>2</w:t>
      </w:r>
      <w:r>
        <w:rPr>
          <w:rFonts w:hint="eastAsia" w:ascii="宋体" w:hAnsi="宋体"/>
          <w:color w:val="auto"/>
          <w:highlight w:val="none"/>
        </w:rPr>
        <w:t>）目情形，在合同实施期间发现承包人在投标时提供了虚假材料的，课以</w:t>
      </w:r>
      <w:r>
        <w:rPr>
          <w:rFonts w:hint="eastAsia" w:ascii="宋体" w:hAnsi="宋体" w:eastAsia="宋体"/>
          <w:color w:val="auto"/>
          <w:highlight w:val="none"/>
          <w:lang w:val="en-US" w:eastAsia="zh-CN"/>
        </w:rPr>
        <w:t>1</w:t>
      </w:r>
      <w:r>
        <w:rPr>
          <w:rFonts w:hint="eastAsia" w:ascii="宋体" w:hAnsi="宋体"/>
          <w:color w:val="auto"/>
          <w:highlight w:val="none"/>
        </w:rPr>
        <w:t>%签约合同价的违约金</w:t>
      </w:r>
      <w:r>
        <w:rPr>
          <w:rFonts w:hint="eastAsia" w:ascii="宋体" w:hAnsi="宋体"/>
          <w:color w:val="auto"/>
          <w:highlight w:val="none"/>
          <w:lang w:eastAsia="zh-CN"/>
        </w:rPr>
        <w:t>；</w:t>
      </w:r>
    </w:p>
    <w:p w14:paraId="72D47B39">
      <w:pPr>
        <w:pStyle w:val="44"/>
        <w:spacing w:line="400" w:lineRule="exact"/>
        <w:ind w:firstLine="420" w:firstLineChars="200"/>
        <w:rPr>
          <w:rFonts w:ascii="宋体" w:hAnsi="宋体"/>
          <w:color w:val="auto"/>
          <w:highlight w:val="none"/>
        </w:rPr>
      </w:pPr>
      <w:r>
        <w:rPr>
          <w:rFonts w:hint="eastAsia" w:ascii="宋体" w:hAnsi="宋体"/>
          <w:color w:val="auto"/>
          <w:highlight w:val="none"/>
        </w:rPr>
        <w:t>l.承包人发生第22.1.1项（1</w:t>
      </w:r>
      <w:r>
        <w:rPr>
          <w:rFonts w:hint="eastAsia" w:ascii="宋体" w:hAnsi="宋体" w:eastAsia="宋体"/>
          <w:color w:val="auto"/>
          <w:highlight w:val="none"/>
          <w:lang w:val="en-US" w:eastAsia="zh-CN"/>
        </w:rPr>
        <w:t>3</w:t>
      </w:r>
      <w:r>
        <w:rPr>
          <w:rFonts w:hint="eastAsia" w:ascii="宋体" w:hAnsi="宋体"/>
          <w:color w:val="auto"/>
          <w:highlight w:val="none"/>
        </w:rPr>
        <w:t>）目情形，则课以不超过</w:t>
      </w:r>
      <w:r>
        <w:rPr>
          <w:rFonts w:hint="eastAsia" w:ascii="宋体" w:hAnsi="宋体" w:eastAsia="宋体"/>
          <w:color w:val="auto"/>
          <w:highlight w:val="none"/>
          <w:lang w:val="en-US" w:eastAsia="zh-CN"/>
        </w:rPr>
        <w:t>1</w:t>
      </w:r>
      <w:r>
        <w:rPr>
          <w:rFonts w:hint="eastAsia" w:ascii="宋体" w:hAnsi="宋体"/>
          <w:color w:val="auto"/>
          <w:highlight w:val="none"/>
        </w:rPr>
        <w:t>%签约合同价的违约金</w:t>
      </w:r>
      <w:r>
        <w:rPr>
          <w:rFonts w:hint="eastAsia" w:ascii="宋体" w:hAnsi="宋体" w:eastAsia="宋体"/>
          <w:color w:val="auto"/>
          <w:highlight w:val="none"/>
          <w:lang w:eastAsia="zh-CN"/>
        </w:rPr>
        <w:t>。</w:t>
      </w:r>
    </w:p>
    <w:p w14:paraId="32662775">
      <w:pPr>
        <w:pStyle w:val="44"/>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2"/>
        <w:rPr>
          <w:rFonts w:hint="eastAsia" w:ascii="黑体" w:hAnsi="黑体" w:eastAsia="黑体"/>
          <w:color w:val="auto"/>
          <w:sz w:val="28"/>
          <w:szCs w:val="28"/>
          <w:highlight w:val="none"/>
        </w:rPr>
      </w:pPr>
      <w:r>
        <w:rPr>
          <w:rFonts w:ascii="宋体" w:hAnsi="宋体" w:cs="宋体"/>
          <w:color w:val="auto"/>
          <w:highlight w:val="none"/>
        </w:rPr>
        <w:br w:type="page"/>
      </w:r>
      <w:bookmarkStart w:id="727" w:name="_Toc10100"/>
      <w:r>
        <w:rPr>
          <w:rFonts w:hint="eastAsia" w:ascii="黑体" w:hAnsi="黑体" w:eastAsia="黑体"/>
          <w:color w:val="auto"/>
          <w:sz w:val="28"/>
          <w:szCs w:val="28"/>
          <w:highlight w:val="none"/>
        </w:rPr>
        <w:t>第三节 合同附件格式</w:t>
      </w:r>
      <w:bookmarkEnd w:id="727"/>
    </w:p>
    <w:p w14:paraId="71CCAC67">
      <w:pPr>
        <w:pStyle w:val="44"/>
        <w:keepNext w:val="0"/>
        <w:keepLines w:val="0"/>
        <w:pageBreakBefore w:val="0"/>
        <w:widowControl w:val="0"/>
        <w:kinsoku/>
        <w:wordWrap/>
        <w:overflowPunct/>
        <w:topLinePunct w:val="0"/>
        <w:autoSpaceDE/>
        <w:autoSpaceDN/>
        <w:bidi w:val="0"/>
        <w:adjustRightInd/>
        <w:snapToGrid/>
        <w:spacing w:line="420" w:lineRule="exact"/>
        <w:textAlignment w:val="auto"/>
        <w:outlineLvl w:val="9"/>
        <w:rPr>
          <w:rFonts w:hint="eastAsia" w:ascii="黑体" w:hAnsi="黑体" w:eastAsia="黑体"/>
          <w:color w:val="auto"/>
          <w:sz w:val="28"/>
          <w:szCs w:val="28"/>
          <w:highlight w:val="none"/>
        </w:rPr>
      </w:pPr>
    </w:p>
    <w:p w14:paraId="1EF88414">
      <w:pPr>
        <w:pStyle w:val="44"/>
        <w:keepNext w:val="0"/>
        <w:keepLines w:val="0"/>
        <w:pageBreakBefore w:val="0"/>
        <w:widowControl w:val="0"/>
        <w:kinsoku/>
        <w:wordWrap/>
        <w:overflowPunct/>
        <w:topLinePunct w:val="0"/>
        <w:autoSpaceDE/>
        <w:autoSpaceDN/>
        <w:bidi w:val="0"/>
        <w:adjustRightInd/>
        <w:snapToGrid/>
        <w:spacing w:line="420" w:lineRule="exact"/>
        <w:textAlignment w:val="auto"/>
        <w:outlineLvl w:val="3"/>
        <w:rPr>
          <w:rFonts w:ascii="黑体" w:eastAsia="黑体"/>
          <w:color w:val="auto"/>
          <w:sz w:val="28"/>
          <w:szCs w:val="28"/>
          <w:highlight w:val="none"/>
        </w:rPr>
      </w:pPr>
      <w:r>
        <w:rPr>
          <w:rFonts w:hint="eastAsia" w:ascii="黑体" w:hAnsi="黑体" w:eastAsia="黑体"/>
          <w:color w:val="auto"/>
          <w:sz w:val="28"/>
          <w:szCs w:val="28"/>
          <w:highlight w:val="none"/>
        </w:rPr>
        <w:t>附件一</w:t>
      </w:r>
      <w:r>
        <w:rPr>
          <w:rFonts w:hint="eastAsia" w:ascii="黑体" w:eastAsia="黑体"/>
          <w:color w:val="auto"/>
          <w:sz w:val="28"/>
          <w:szCs w:val="28"/>
          <w:highlight w:val="none"/>
        </w:rPr>
        <w:t xml:space="preserve">  </w:t>
      </w:r>
      <w:r>
        <w:rPr>
          <w:rFonts w:hint="eastAsia" w:ascii="黑体" w:hAnsi="黑体" w:eastAsia="黑体"/>
          <w:color w:val="auto"/>
          <w:sz w:val="28"/>
          <w:szCs w:val="28"/>
          <w:highlight w:val="none"/>
        </w:rPr>
        <w:t>合同协议书</w:t>
      </w:r>
    </w:p>
    <w:p w14:paraId="7AD350CD">
      <w:pPr>
        <w:pStyle w:val="44"/>
        <w:spacing w:line="420" w:lineRule="exact"/>
        <w:jc w:val="center"/>
        <w:rPr>
          <w:rFonts w:hint="eastAsia" w:ascii="黑体" w:eastAsia="黑体"/>
          <w:color w:val="auto"/>
          <w:sz w:val="28"/>
          <w:szCs w:val="28"/>
          <w:highlight w:val="none"/>
        </w:rPr>
      </w:pPr>
      <w:r>
        <w:rPr>
          <w:rFonts w:hint="eastAsia" w:ascii="黑体" w:hAnsi="黑体" w:eastAsia="黑体"/>
          <w:color w:val="auto"/>
          <w:sz w:val="28"/>
          <w:szCs w:val="28"/>
          <w:highlight w:val="none"/>
        </w:rPr>
        <w:t>合同协议书</w:t>
      </w:r>
    </w:p>
    <w:p w14:paraId="1AA17027">
      <w:pPr>
        <w:pStyle w:val="44"/>
        <w:spacing w:line="420" w:lineRule="exact"/>
        <w:jc w:val="center"/>
        <w:rPr>
          <w:rFonts w:hint="eastAsia" w:ascii="黑体" w:eastAsia="黑体"/>
          <w:color w:val="auto"/>
          <w:sz w:val="24"/>
          <w:szCs w:val="24"/>
          <w:highlight w:val="none"/>
        </w:rPr>
      </w:pPr>
      <w:r>
        <w:rPr>
          <w:rFonts w:hint="eastAsia" w:ascii="黑体" w:eastAsia="黑体"/>
          <w:color w:val="auto"/>
          <w:sz w:val="24"/>
          <w:szCs w:val="24"/>
          <w:highlight w:val="none"/>
        </w:rPr>
        <w:t xml:space="preserve"> </w:t>
      </w:r>
    </w:p>
    <w:p w14:paraId="617DEF17">
      <w:pPr>
        <w:pStyle w:val="44"/>
        <w:keepNext w:val="0"/>
        <w:keepLines w:val="0"/>
        <w:pageBreakBefore w:val="0"/>
        <w:widowControl w:val="0"/>
        <w:kinsoku/>
        <w:wordWrap/>
        <w:overflowPunct/>
        <w:topLinePunct w:val="0"/>
        <w:autoSpaceDE/>
        <w:autoSpaceDN/>
        <w:bidi w:val="0"/>
        <w:adjustRightInd/>
        <w:spacing w:line="420" w:lineRule="exact"/>
        <w:ind w:firstLine="420" w:firstLineChars="200"/>
        <w:textAlignment w:val="auto"/>
        <w:rPr>
          <w:rFonts w:hint="eastAsia" w:ascii="宋体"/>
          <w:color w:val="auto"/>
          <w:highlight w:val="none"/>
          <w:u w:val="single"/>
        </w:rPr>
      </w:pPr>
      <w:r>
        <w:rPr>
          <w:rFonts w:hint="eastAsia" w:ascii="宋体"/>
          <w:color w:val="auto"/>
          <w:highlight w:val="none"/>
          <w:u w:val="single"/>
        </w:rPr>
        <w:t xml:space="preserve">  (</w:t>
      </w:r>
      <w:r>
        <w:rPr>
          <w:rFonts w:hint="eastAsia" w:ascii="宋体" w:hAnsi="宋体"/>
          <w:color w:val="auto"/>
          <w:highlight w:val="none"/>
          <w:u w:val="single"/>
        </w:rPr>
        <w:t>发包人名称</w:t>
      </w:r>
      <w:r>
        <w:rPr>
          <w:rFonts w:hint="eastAsia" w:ascii="宋体" w:hAnsi="宋体" w:eastAsia="宋体"/>
          <w:color w:val="auto"/>
          <w:highlight w:val="none"/>
          <w:u w:val="single"/>
          <w:lang w:eastAsia="zh-CN"/>
        </w:rPr>
        <w:t>）</w:t>
      </w:r>
      <w:r>
        <w:rPr>
          <w:rFonts w:hint="eastAsia" w:ascii="宋体"/>
          <w:color w:val="auto"/>
          <w:highlight w:val="none"/>
          <w:u w:val="single"/>
        </w:rPr>
        <w:t xml:space="preserve"> </w:t>
      </w:r>
      <w:r>
        <w:rPr>
          <w:rFonts w:hint="eastAsia" w:ascii="宋体" w:eastAsia="宋体"/>
          <w:color w:val="auto"/>
          <w:highlight w:val="none"/>
          <w:u w:val="single"/>
          <w:lang w:eastAsia="zh-CN"/>
        </w:rPr>
        <w:t>（</w:t>
      </w:r>
      <w:r>
        <w:rPr>
          <w:rFonts w:hint="eastAsia" w:ascii="宋体" w:hAnsi="宋体"/>
          <w:color w:val="auto"/>
          <w:highlight w:val="none"/>
        </w:rPr>
        <w:t>以下简称</w:t>
      </w:r>
      <w:r>
        <w:rPr>
          <w:rFonts w:hint="eastAsia" w:ascii="宋体"/>
          <w:color w:val="auto"/>
          <w:highlight w:val="none"/>
        </w:rPr>
        <w:t>“发包人”)</w:t>
      </w:r>
      <w:r>
        <w:rPr>
          <w:rFonts w:hint="eastAsia" w:ascii="宋体" w:hAnsi="宋体"/>
          <w:color w:val="auto"/>
          <w:highlight w:val="none"/>
        </w:rPr>
        <w:t>为实施</w:t>
      </w:r>
      <w:r>
        <w:rPr>
          <w:rFonts w:hint="eastAsia" w:ascii="宋体"/>
          <w:color w:val="auto"/>
          <w:highlight w:val="none"/>
          <w:u w:val="single"/>
        </w:rPr>
        <w:t xml:space="preserve">      (</w:t>
      </w:r>
      <w:r>
        <w:rPr>
          <w:rFonts w:hint="eastAsia" w:ascii="宋体" w:hAnsi="宋体"/>
          <w:color w:val="auto"/>
          <w:highlight w:val="none"/>
          <w:u w:val="single"/>
        </w:rPr>
        <w:t>项目名称</w:t>
      </w:r>
      <w:r>
        <w:rPr>
          <w:rFonts w:hint="eastAsia" w:ascii="宋体"/>
          <w:color w:val="auto"/>
          <w:highlight w:val="none"/>
          <w:u w:val="single"/>
        </w:rPr>
        <w:t>)</w:t>
      </w:r>
      <w:r>
        <w:rPr>
          <w:rFonts w:hint="eastAsia" w:ascii="宋体" w:eastAsia="宋体"/>
          <w:color w:val="auto"/>
          <w:highlight w:val="none"/>
          <w:u w:val="single"/>
          <w:lang w:val="en-US" w:eastAsia="zh-CN"/>
        </w:rPr>
        <w:t xml:space="preserve">  </w:t>
      </w:r>
      <w:r>
        <w:rPr>
          <w:rFonts w:hint="eastAsia" w:ascii="宋体" w:hAnsi="宋体"/>
          <w:color w:val="auto"/>
          <w:highlight w:val="none"/>
        </w:rPr>
        <w:t>，已接受</w:t>
      </w:r>
      <w:r>
        <w:rPr>
          <w:rFonts w:hint="eastAsia" w:ascii="宋体"/>
          <w:color w:val="auto"/>
          <w:highlight w:val="none"/>
          <w:u w:val="single"/>
        </w:rPr>
        <w:t xml:space="preserve">                </w:t>
      </w:r>
      <w:r>
        <w:rPr>
          <w:rFonts w:hint="eastAsia" w:ascii="宋体" w:eastAsia="宋体"/>
          <w:color w:val="auto"/>
          <w:highlight w:val="none"/>
          <w:u w:val="single"/>
          <w:lang w:eastAsia="zh-CN"/>
        </w:rPr>
        <w:t>（</w:t>
      </w:r>
      <w:r>
        <w:rPr>
          <w:rFonts w:hint="eastAsia" w:ascii="宋体" w:hAnsi="宋体"/>
          <w:color w:val="auto"/>
          <w:highlight w:val="none"/>
          <w:u w:val="single"/>
        </w:rPr>
        <w:t>承包人名称</w:t>
      </w:r>
      <w:r>
        <w:rPr>
          <w:rFonts w:hint="eastAsia" w:ascii="宋体" w:hAnsi="宋体" w:eastAsia="宋体"/>
          <w:color w:val="auto"/>
          <w:highlight w:val="none"/>
          <w:u w:val="single"/>
          <w:lang w:eastAsia="zh-CN"/>
        </w:rPr>
        <w:t>）</w:t>
      </w:r>
      <w:r>
        <w:rPr>
          <w:rFonts w:hint="eastAsia" w:ascii="宋体" w:hAnsi="宋体" w:eastAsia="宋体"/>
          <w:color w:val="auto"/>
          <w:highlight w:val="none"/>
          <w:lang w:eastAsia="zh-CN"/>
        </w:rPr>
        <w:t>（</w:t>
      </w:r>
      <w:r>
        <w:rPr>
          <w:rFonts w:hint="eastAsia" w:ascii="宋体" w:hAnsi="宋体"/>
          <w:color w:val="auto"/>
          <w:highlight w:val="none"/>
        </w:rPr>
        <w:t>以下简称</w:t>
      </w:r>
      <w:r>
        <w:rPr>
          <w:rFonts w:hint="eastAsia" w:ascii="宋体"/>
          <w:color w:val="auto"/>
          <w:highlight w:val="none"/>
        </w:rPr>
        <w:t>“承包人”</w:t>
      </w:r>
      <w:r>
        <w:rPr>
          <w:rFonts w:hint="eastAsia" w:ascii="宋体" w:eastAsia="宋体"/>
          <w:color w:val="auto"/>
          <w:highlight w:val="none"/>
          <w:lang w:eastAsia="zh-CN"/>
        </w:rPr>
        <w:t>）</w:t>
      </w:r>
      <w:r>
        <w:rPr>
          <w:rFonts w:hint="eastAsia" w:ascii="宋体" w:hAnsi="宋体"/>
          <w:color w:val="auto"/>
          <w:highlight w:val="none"/>
        </w:rPr>
        <w:t>对该项目</w:t>
      </w:r>
      <w:r>
        <w:rPr>
          <w:rFonts w:hint="eastAsia" w:ascii="宋体" w:hAnsi="宋体" w:eastAsia="宋体"/>
          <w:color w:val="auto"/>
          <w:highlight w:val="none"/>
          <w:u w:val="single"/>
          <w:lang w:val="en-US" w:eastAsia="zh-CN"/>
        </w:rPr>
        <w:t xml:space="preserve">    </w:t>
      </w:r>
      <w:r>
        <w:rPr>
          <w:rFonts w:hint="eastAsia" w:ascii="宋体" w:hAnsi="宋体" w:eastAsia="宋体"/>
          <w:color w:val="auto"/>
          <w:highlight w:val="none"/>
          <w:u w:val="none"/>
          <w:lang w:val="en-US" w:eastAsia="zh-CN"/>
        </w:rPr>
        <w:t>标段养护工程</w:t>
      </w:r>
      <w:r>
        <w:rPr>
          <w:rFonts w:hint="eastAsia" w:ascii="宋体" w:hAnsi="宋体"/>
          <w:color w:val="auto"/>
          <w:highlight w:val="none"/>
        </w:rPr>
        <w:t>施工的投标。发包人和承包人共同达成如下协议。</w:t>
      </w:r>
    </w:p>
    <w:p w14:paraId="0BD4BAAA">
      <w:pPr>
        <w:pStyle w:val="44"/>
        <w:keepNext w:val="0"/>
        <w:keepLines w:val="0"/>
        <w:pageBreakBefore w:val="0"/>
        <w:widowControl w:val="0"/>
        <w:kinsoku/>
        <w:wordWrap/>
        <w:overflowPunct/>
        <w:topLinePunct w:val="0"/>
        <w:autoSpaceDE/>
        <w:autoSpaceDN/>
        <w:bidi w:val="0"/>
        <w:adjustRightInd/>
        <w:spacing w:line="420" w:lineRule="exact"/>
        <w:ind w:firstLine="420" w:firstLineChars="200"/>
        <w:textAlignment w:val="auto"/>
        <w:rPr>
          <w:rFonts w:hint="eastAsia" w:ascii="宋体"/>
          <w:color w:val="auto"/>
          <w:highlight w:val="none"/>
        </w:rPr>
      </w:pPr>
      <w:r>
        <w:rPr>
          <w:rFonts w:hint="eastAsia" w:ascii="宋体"/>
          <w:color w:val="auto"/>
          <w:highlight w:val="none"/>
        </w:rPr>
        <w:t xml:space="preserve">1. </w:t>
      </w:r>
      <w:r>
        <w:rPr>
          <w:rFonts w:hint="eastAsia" w:ascii="宋体" w:hAnsi="宋体"/>
          <w:color w:val="auto"/>
          <w:highlight w:val="none"/>
        </w:rPr>
        <w:t>第</w:t>
      </w:r>
      <w:r>
        <w:rPr>
          <w:rFonts w:hint="eastAsia" w:ascii="宋体"/>
          <w:color w:val="auto"/>
          <w:highlight w:val="none"/>
          <w:u w:val="single"/>
        </w:rPr>
        <w:t xml:space="preserve">    </w:t>
      </w:r>
      <w:r>
        <w:rPr>
          <w:rFonts w:hint="eastAsia" w:ascii="宋体" w:hAnsi="宋体"/>
          <w:color w:val="auto"/>
          <w:highlight w:val="none"/>
        </w:rPr>
        <w:t>标段由</w:t>
      </w:r>
      <w:r>
        <w:rPr>
          <w:rFonts w:hint="eastAsia" w:ascii="宋体"/>
          <w:color w:val="auto"/>
          <w:highlight w:val="none"/>
        </w:rPr>
        <w:t>K</w:t>
      </w:r>
      <w:r>
        <w:rPr>
          <w:rFonts w:hint="eastAsia" w:ascii="宋体"/>
          <w:color w:val="auto"/>
          <w:highlight w:val="none"/>
          <w:u w:val="single"/>
        </w:rPr>
        <w:t xml:space="preserve">    </w:t>
      </w:r>
      <w:r>
        <w:rPr>
          <w:rFonts w:hint="eastAsia" w:ascii="宋体" w:hAnsi="宋体"/>
          <w:color w:val="auto"/>
          <w:highlight w:val="none"/>
        </w:rPr>
        <w:t>＋</w:t>
      </w:r>
      <w:r>
        <w:rPr>
          <w:rFonts w:hint="eastAsia" w:ascii="宋体"/>
          <w:color w:val="auto"/>
          <w:highlight w:val="none"/>
          <w:u w:val="single"/>
        </w:rPr>
        <w:t xml:space="preserve">    </w:t>
      </w:r>
      <w:r>
        <w:rPr>
          <w:rFonts w:hint="eastAsia" w:ascii="宋体" w:hAnsi="宋体"/>
          <w:color w:val="auto"/>
          <w:highlight w:val="none"/>
        </w:rPr>
        <w:t>至</w:t>
      </w:r>
      <w:r>
        <w:rPr>
          <w:rFonts w:hint="eastAsia" w:ascii="宋体"/>
          <w:color w:val="auto"/>
          <w:highlight w:val="none"/>
        </w:rPr>
        <w:t>K</w:t>
      </w:r>
      <w:r>
        <w:rPr>
          <w:rFonts w:hint="eastAsia" w:ascii="宋体"/>
          <w:color w:val="auto"/>
          <w:highlight w:val="none"/>
          <w:u w:val="single"/>
        </w:rPr>
        <w:t xml:space="preserve">    </w:t>
      </w:r>
      <w:r>
        <w:rPr>
          <w:rFonts w:hint="eastAsia" w:ascii="宋体" w:hAnsi="宋体"/>
          <w:color w:val="auto"/>
          <w:highlight w:val="none"/>
        </w:rPr>
        <w:t>＋</w:t>
      </w:r>
      <w:r>
        <w:rPr>
          <w:rFonts w:hint="eastAsia" w:ascii="宋体"/>
          <w:color w:val="auto"/>
          <w:highlight w:val="none"/>
          <w:u w:val="single"/>
        </w:rPr>
        <w:t xml:space="preserve">    </w:t>
      </w:r>
      <w:r>
        <w:rPr>
          <w:rFonts w:hint="eastAsia" w:ascii="宋体" w:hAnsi="宋体"/>
          <w:color w:val="auto"/>
          <w:highlight w:val="none"/>
        </w:rPr>
        <w:t>，长约</w:t>
      </w:r>
      <w:r>
        <w:rPr>
          <w:rFonts w:hint="eastAsia" w:ascii="宋体"/>
          <w:color w:val="auto"/>
          <w:highlight w:val="none"/>
          <w:u w:val="single"/>
        </w:rPr>
        <w:t xml:space="preserve">    </w:t>
      </w:r>
      <w:r>
        <w:rPr>
          <w:rFonts w:hint="eastAsia" w:ascii="宋体"/>
          <w:color w:val="auto"/>
          <w:highlight w:val="none"/>
        </w:rPr>
        <w:t>km</w:t>
      </w:r>
      <w:r>
        <w:rPr>
          <w:rFonts w:hint="eastAsia" w:ascii="宋体" w:hAnsi="宋体"/>
          <w:color w:val="auto"/>
          <w:highlight w:val="none"/>
        </w:rPr>
        <w:t>，公路等级为</w:t>
      </w:r>
      <w:r>
        <w:rPr>
          <w:rFonts w:hint="eastAsia" w:ascii="宋体"/>
          <w:color w:val="auto"/>
          <w:highlight w:val="none"/>
          <w:u w:val="single"/>
        </w:rPr>
        <w:t xml:space="preserve">    </w:t>
      </w:r>
      <w:r>
        <w:rPr>
          <w:rFonts w:hint="eastAsia" w:ascii="宋体" w:hAnsi="宋体"/>
          <w:color w:val="auto"/>
          <w:highlight w:val="none"/>
        </w:rPr>
        <w:t>，主要工作内容为：</w:t>
      </w:r>
      <w:r>
        <w:rPr>
          <w:rFonts w:hint="eastAsia" w:ascii="宋体" w:hAnsi="宋体"/>
          <w:color w:val="auto"/>
          <w:highlight w:val="none"/>
          <w:u w:val="single"/>
        </w:rPr>
        <w:t xml:space="preserve">                                           </w:t>
      </w:r>
      <w:r>
        <w:rPr>
          <w:rFonts w:hint="eastAsia" w:ascii="宋体" w:hAnsi="宋体"/>
          <w:color w:val="auto"/>
          <w:highlight w:val="none"/>
        </w:rPr>
        <w:t>等。</w:t>
      </w:r>
    </w:p>
    <w:p w14:paraId="76343418">
      <w:pPr>
        <w:pStyle w:val="44"/>
        <w:keepNext w:val="0"/>
        <w:keepLines w:val="0"/>
        <w:pageBreakBefore w:val="0"/>
        <w:widowControl w:val="0"/>
        <w:kinsoku/>
        <w:wordWrap/>
        <w:overflowPunct/>
        <w:topLinePunct w:val="0"/>
        <w:autoSpaceDE/>
        <w:autoSpaceDN/>
        <w:bidi w:val="0"/>
        <w:adjustRightInd/>
        <w:spacing w:line="420" w:lineRule="exact"/>
        <w:ind w:firstLine="420" w:firstLineChars="200"/>
        <w:textAlignment w:val="auto"/>
        <w:rPr>
          <w:rFonts w:hint="eastAsia" w:ascii="宋体"/>
          <w:color w:val="auto"/>
          <w:highlight w:val="none"/>
        </w:rPr>
      </w:pPr>
      <w:r>
        <w:rPr>
          <w:rFonts w:hint="eastAsia" w:ascii="宋体"/>
          <w:color w:val="auto"/>
          <w:highlight w:val="none"/>
        </w:rPr>
        <w:t>2.</w:t>
      </w:r>
      <w:r>
        <w:rPr>
          <w:rFonts w:hint="eastAsia" w:ascii="宋体" w:hAnsi="宋体"/>
          <w:color w:val="auto"/>
          <w:highlight w:val="none"/>
        </w:rPr>
        <w:t>下列文件应视为构成合同文件的组成部分：</w:t>
      </w:r>
    </w:p>
    <w:p w14:paraId="014858A6">
      <w:pPr>
        <w:pStyle w:val="9"/>
        <w:keepNext w:val="0"/>
        <w:keepLines w:val="0"/>
        <w:pageBreakBefore w:val="0"/>
        <w:widowControl w:val="0"/>
        <w:tabs>
          <w:tab w:val="left" w:pos="2790"/>
        </w:tabs>
        <w:kinsoku/>
        <w:wordWrap/>
        <w:overflowPunct/>
        <w:topLinePunct w:val="0"/>
        <w:autoSpaceDE/>
        <w:autoSpaceDN/>
        <w:bidi w:val="0"/>
        <w:adjustRightInd/>
        <w:snapToGrid w:val="0"/>
        <w:spacing w:line="420" w:lineRule="exact"/>
        <w:ind w:firstLine="420" w:firstLineChars="200"/>
        <w:textAlignment w:val="auto"/>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（1）合同协议书及各种合同附件(含廉政合同、安全生产合同、工程质量责任合同、工程资金监管协议及评标期间和合同谈判过程中的澄清文件和补充资料)； </w:t>
      </w:r>
    </w:p>
    <w:p w14:paraId="660B20F6">
      <w:pPr>
        <w:pStyle w:val="9"/>
        <w:keepNext w:val="0"/>
        <w:keepLines w:val="0"/>
        <w:pageBreakBefore w:val="0"/>
        <w:widowControl w:val="0"/>
        <w:tabs>
          <w:tab w:val="left" w:pos="2790"/>
        </w:tabs>
        <w:kinsoku/>
        <w:wordWrap/>
        <w:overflowPunct/>
        <w:topLinePunct w:val="0"/>
        <w:autoSpaceDE/>
        <w:autoSpaceDN/>
        <w:bidi w:val="0"/>
        <w:adjustRightInd/>
        <w:snapToGrid w:val="0"/>
        <w:spacing w:line="420" w:lineRule="exact"/>
        <w:ind w:firstLine="420" w:firstLineChars="200"/>
        <w:textAlignment w:val="auto"/>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（2）中标通知书； </w:t>
      </w:r>
    </w:p>
    <w:p w14:paraId="6BD489EA">
      <w:pPr>
        <w:pStyle w:val="9"/>
        <w:keepNext w:val="0"/>
        <w:keepLines w:val="0"/>
        <w:pageBreakBefore w:val="0"/>
        <w:widowControl w:val="0"/>
        <w:tabs>
          <w:tab w:val="left" w:pos="2790"/>
        </w:tabs>
        <w:kinsoku/>
        <w:wordWrap/>
        <w:overflowPunct/>
        <w:topLinePunct w:val="0"/>
        <w:autoSpaceDE/>
        <w:autoSpaceDN/>
        <w:bidi w:val="0"/>
        <w:adjustRightInd/>
        <w:snapToGrid w:val="0"/>
        <w:spacing w:line="420" w:lineRule="exact"/>
        <w:ind w:firstLine="420" w:firstLineChars="200"/>
        <w:textAlignment w:val="auto"/>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（3）投标函及投标函附录； </w:t>
      </w:r>
    </w:p>
    <w:p w14:paraId="58FF3B1B">
      <w:pPr>
        <w:pStyle w:val="9"/>
        <w:keepNext w:val="0"/>
        <w:keepLines w:val="0"/>
        <w:pageBreakBefore w:val="0"/>
        <w:widowControl w:val="0"/>
        <w:tabs>
          <w:tab w:val="left" w:pos="2790"/>
        </w:tabs>
        <w:kinsoku/>
        <w:wordWrap/>
        <w:overflowPunct/>
        <w:topLinePunct w:val="0"/>
        <w:autoSpaceDE/>
        <w:autoSpaceDN/>
        <w:bidi w:val="0"/>
        <w:adjustRightInd/>
        <w:snapToGrid w:val="0"/>
        <w:spacing w:line="420" w:lineRule="exact"/>
        <w:ind w:firstLine="420" w:firstLineChars="200"/>
        <w:textAlignment w:val="auto"/>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（4）项目专用合同条款（含招标文件补遗书中与此有关的部分）； </w:t>
      </w:r>
    </w:p>
    <w:p w14:paraId="7DFBFF82">
      <w:pPr>
        <w:pStyle w:val="9"/>
        <w:keepNext w:val="0"/>
        <w:keepLines w:val="0"/>
        <w:pageBreakBefore w:val="0"/>
        <w:widowControl w:val="0"/>
        <w:tabs>
          <w:tab w:val="left" w:pos="2790"/>
        </w:tabs>
        <w:kinsoku/>
        <w:wordWrap/>
        <w:overflowPunct/>
        <w:topLinePunct w:val="0"/>
        <w:autoSpaceDE/>
        <w:autoSpaceDN/>
        <w:bidi w:val="0"/>
        <w:adjustRightInd/>
        <w:snapToGrid w:val="0"/>
        <w:spacing w:line="420" w:lineRule="exact"/>
        <w:ind w:firstLine="420" w:firstLineChars="200"/>
        <w:textAlignment w:val="auto"/>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（5）养护工程专用合同条款； </w:t>
      </w:r>
    </w:p>
    <w:p w14:paraId="0B67FA80">
      <w:pPr>
        <w:pStyle w:val="9"/>
        <w:keepNext w:val="0"/>
        <w:keepLines w:val="0"/>
        <w:pageBreakBefore w:val="0"/>
        <w:widowControl w:val="0"/>
        <w:tabs>
          <w:tab w:val="left" w:pos="2790"/>
        </w:tabs>
        <w:kinsoku/>
        <w:wordWrap/>
        <w:overflowPunct/>
        <w:topLinePunct w:val="0"/>
        <w:autoSpaceDE/>
        <w:autoSpaceDN/>
        <w:bidi w:val="0"/>
        <w:adjustRightInd/>
        <w:snapToGrid w:val="0"/>
        <w:spacing w:line="420" w:lineRule="exact"/>
        <w:ind w:firstLine="420" w:firstLineChars="200"/>
        <w:textAlignment w:val="auto"/>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（6）通用合同条款； </w:t>
      </w:r>
    </w:p>
    <w:p w14:paraId="66C6FA66">
      <w:pPr>
        <w:pStyle w:val="9"/>
        <w:keepNext w:val="0"/>
        <w:keepLines w:val="0"/>
        <w:pageBreakBefore w:val="0"/>
        <w:widowControl w:val="0"/>
        <w:tabs>
          <w:tab w:val="left" w:pos="2790"/>
        </w:tabs>
        <w:kinsoku/>
        <w:wordWrap/>
        <w:overflowPunct/>
        <w:topLinePunct w:val="0"/>
        <w:autoSpaceDE/>
        <w:autoSpaceDN/>
        <w:bidi w:val="0"/>
        <w:adjustRightInd/>
        <w:snapToGrid w:val="0"/>
        <w:spacing w:line="420" w:lineRule="exact"/>
        <w:ind w:firstLine="420" w:firstLineChars="200"/>
        <w:textAlignment w:val="auto"/>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（7）项目专用技术规范； </w:t>
      </w:r>
    </w:p>
    <w:p w14:paraId="61BFDF84">
      <w:pPr>
        <w:pStyle w:val="9"/>
        <w:keepNext w:val="0"/>
        <w:keepLines w:val="0"/>
        <w:pageBreakBefore w:val="0"/>
        <w:widowControl w:val="0"/>
        <w:tabs>
          <w:tab w:val="left" w:pos="2790"/>
        </w:tabs>
        <w:kinsoku/>
        <w:wordWrap/>
        <w:overflowPunct/>
        <w:topLinePunct w:val="0"/>
        <w:autoSpaceDE/>
        <w:autoSpaceDN/>
        <w:bidi w:val="0"/>
        <w:adjustRightInd/>
        <w:snapToGrid w:val="0"/>
        <w:spacing w:line="420" w:lineRule="exact"/>
        <w:ind w:firstLine="420" w:firstLineChars="200"/>
        <w:textAlignment w:val="auto"/>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（8）通用技术规范 </w:t>
      </w:r>
    </w:p>
    <w:p w14:paraId="68C0F84F">
      <w:pPr>
        <w:pStyle w:val="9"/>
        <w:keepNext w:val="0"/>
        <w:keepLines w:val="0"/>
        <w:pageBreakBefore w:val="0"/>
        <w:widowControl w:val="0"/>
        <w:tabs>
          <w:tab w:val="left" w:pos="2790"/>
        </w:tabs>
        <w:kinsoku/>
        <w:wordWrap/>
        <w:overflowPunct/>
        <w:topLinePunct w:val="0"/>
        <w:autoSpaceDE/>
        <w:autoSpaceDN/>
        <w:bidi w:val="0"/>
        <w:adjustRightInd/>
        <w:snapToGrid w:val="0"/>
        <w:spacing w:line="420" w:lineRule="exact"/>
        <w:ind w:firstLine="420" w:firstLineChars="200"/>
        <w:textAlignment w:val="auto"/>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（9）图纸（含招标文件补遗书中与此有关部分）（如有）； </w:t>
      </w:r>
    </w:p>
    <w:p w14:paraId="28F5A090">
      <w:pPr>
        <w:pStyle w:val="9"/>
        <w:keepNext w:val="0"/>
        <w:keepLines w:val="0"/>
        <w:pageBreakBefore w:val="0"/>
        <w:widowControl w:val="0"/>
        <w:tabs>
          <w:tab w:val="left" w:pos="2790"/>
        </w:tabs>
        <w:kinsoku/>
        <w:wordWrap/>
        <w:overflowPunct/>
        <w:topLinePunct w:val="0"/>
        <w:autoSpaceDE/>
        <w:autoSpaceDN/>
        <w:bidi w:val="0"/>
        <w:adjustRightInd/>
        <w:snapToGrid w:val="0"/>
        <w:spacing w:line="420" w:lineRule="exact"/>
        <w:ind w:firstLine="420" w:firstLineChars="200"/>
        <w:textAlignment w:val="auto"/>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（10）已标价工程量清单； </w:t>
      </w:r>
    </w:p>
    <w:p w14:paraId="532D8B71">
      <w:pPr>
        <w:pStyle w:val="9"/>
        <w:keepNext w:val="0"/>
        <w:keepLines w:val="0"/>
        <w:pageBreakBefore w:val="0"/>
        <w:widowControl w:val="0"/>
        <w:tabs>
          <w:tab w:val="left" w:pos="2790"/>
        </w:tabs>
        <w:kinsoku/>
        <w:wordWrap/>
        <w:overflowPunct/>
        <w:topLinePunct w:val="0"/>
        <w:autoSpaceDE/>
        <w:autoSpaceDN/>
        <w:bidi w:val="0"/>
        <w:adjustRightInd/>
        <w:snapToGrid w:val="0"/>
        <w:spacing w:line="420" w:lineRule="exact"/>
        <w:ind w:firstLine="420" w:firstLineChars="200"/>
        <w:textAlignment w:val="auto"/>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（11）承包人有关人员、设备投入、财务能力的承诺及投标文件中的养护工程作业方案； </w:t>
      </w:r>
    </w:p>
    <w:p w14:paraId="650CCAA9">
      <w:pPr>
        <w:pStyle w:val="9"/>
        <w:keepNext w:val="0"/>
        <w:keepLines w:val="0"/>
        <w:pageBreakBefore w:val="0"/>
        <w:widowControl w:val="0"/>
        <w:tabs>
          <w:tab w:val="left" w:pos="2790"/>
        </w:tabs>
        <w:kinsoku/>
        <w:wordWrap/>
        <w:overflowPunct/>
        <w:topLinePunct w:val="0"/>
        <w:autoSpaceDE/>
        <w:autoSpaceDN/>
        <w:bidi w:val="0"/>
        <w:adjustRightInd/>
        <w:snapToGrid w:val="0"/>
        <w:spacing w:line="420" w:lineRule="exact"/>
        <w:ind w:firstLine="420" w:firstLineChars="200"/>
        <w:textAlignment w:val="auto"/>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（12）其它合同文件。 </w:t>
      </w:r>
    </w:p>
    <w:p w14:paraId="0656FB3A">
      <w:pPr>
        <w:pStyle w:val="9"/>
        <w:keepNext w:val="0"/>
        <w:keepLines w:val="0"/>
        <w:pageBreakBefore w:val="0"/>
        <w:widowControl w:val="0"/>
        <w:tabs>
          <w:tab w:val="left" w:pos="2790"/>
        </w:tabs>
        <w:kinsoku/>
        <w:wordWrap/>
        <w:overflowPunct/>
        <w:topLinePunct w:val="0"/>
        <w:autoSpaceDE/>
        <w:autoSpaceDN/>
        <w:bidi w:val="0"/>
        <w:adjustRightInd/>
        <w:snapToGrid w:val="0"/>
        <w:spacing w:line="420" w:lineRule="exact"/>
        <w:ind w:firstLine="420" w:firstLineChars="200"/>
        <w:textAlignment w:val="auto"/>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上述各项合同文件包括合同当事人就该项合同文件所作出的补充和修改，属于同一类内容的文件，应以最新签署的为准。</w:t>
      </w:r>
    </w:p>
    <w:p w14:paraId="42983154">
      <w:pPr>
        <w:pStyle w:val="9"/>
        <w:keepNext w:val="0"/>
        <w:keepLines w:val="0"/>
        <w:pageBreakBefore w:val="0"/>
        <w:widowControl w:val="0"/>
        <w:tabs>
          <w:tab w:val="left" w:pos="2790"/>
        </w:tabs>
        <w:kinsoku/>
        <w:wordWrap/>
        <w:overflowPunct/>
        <w:topLinePunct w:val="0"/>
        <w:autoSpaceDE/>
        <w:autoSpaceDN/>
        <w:bidi w:val="0"/>
        <w:adjustRightInd/>
        <w:snapToGrid w:val="0"/>
        <w:spacing w:line="420" w:lineRule="exact"/>
        <w:ind w:firstLine="420" w:firstLineChars="200"/>
        <w:textAlignment w:val="auto"/>
        <w:rPr>
          <w:rFonts w:ascii="宋体"/>
          <w:color w:val="auto"/>
          <w:szCs w:val="21"/>
          <w:highlight w:val="none"/>
        </w:rPr>
      </w:pPr>
      <w:r>
        <w:rPr>
          <w:rFonts w:hint="eastAsia" w:ascii="宋体" w:hAnsi="Times New Roman" w:eastAsia="Times New Roman" w:cs="Times New Roman"/>
          <w:color w:val="auto"/>
          <w:szCs w:val="21"/>
          <w:highlight w:val="none"/>
          <w:lang w:val="en-US" w:eastAsia="zh-CN"/>
        </w:rPr>
        <w:t>在合同订立及履行过程中形成的与合同有关的文件均构成合同文件组成部分，并根据其性质确定优先解释顺序。</w:t>
      </w:r>
    </w:p>
    <w:p w14:paraId="66C91011">
      <w:pPr>
        <w:pStyle w:val="44"/>
        <w:keepNext w:val="0"/>
        <w:keepLines w:val="0"/>
        <w:pageBreakBefore w:val="0"/>
        <w:widowControl w:val="0"/>
        <w:kinsoku/>
        <w:wordWrap/>
        <w:overflowPunct/>
        <w:topLinePunct w:val="0"/>
        <w:autoSpaceDE/>
        <w:autoSpaceDN/>
        <w:bidi w:val="0"/>
        <w:adjustRightInd/>
        <w:spacing w:line="420" w:lineRule="exact"/>
        <w:ind w:firstLine="420" w:firstLineChars="200"/>
        <w:textAlignment w:val="auto"/>
        <w:rPr>
          <w:rFonts w:hint="eastAsia" w:ascii="宋体"/>
          <w:color w:val="auto"/>
          <w:highlight w:val="none"/>
        </w:rPr>
      </w:pPr>
      <w:r>
        <w:rPr>
          <w:rFonts w:hint="eastAsia" w:ascii="宋体"/>
          <w:color w:val="auto"/>
          <w:highlight w:val="none"/>
        </w:rPr>
        <w:t>3.</w:t>
      </w:r>
      <w:r>
        <w:rPr>
          <w:rFonts w:hint="eastAsia" w:ascii="宋体" w:hAnsi="宋体"/>
          <w:color w:val="auto"/>
          <w:highlight w:val="none"/>
        </w:rPr>
        <w:t>上述文件互相补充和解释，如有不明确或不一致之处，以合同约定次序在先者为准。</w:t>
      </w:r>
    </w:p>
    <w:p w14:paraId="03C72495">
      <w:pPr>
        <w:pStyle w:val="44"/>
        <w:keepNext w:val="0"/>
        <w:keepLines w:val="0"/>
        <w:pageBreakBefore w:val="0"/>
        <w:widowControl w:val="0"/>
        <w:kinsoku/>
        <w:wordWrap/>
        <w:overflowPunct/>
        <w:topLinePunct w:val="0"/>
        <w:autoSpaceDE/>
        <w:autoSpaceDN/>
        <w:bidi w:val="0"/>
        <w:adjustRightInd/>
        <w:spacing w:line="420" w:lineRule="exact"/>
        <w:ind w:firstLine="420" w:firstLineChars="200"/>
        <w:textAlignment w:val="auto"/>
        <w:rPr>
          <w:rFonts w:hint="eastAsia" w:ascii="宋体"/>
          <w:color w:val="auto"/>
          <w:highlight w:val="none"/>
        </w:rPr>
      </w:pPr>
      <w:r>
        <w:rPr>
          <w:rFonts w:hint="eastAsia" w:ascii="宋体"/>
          <w:color w:val="auto"/>
          <w:highlight w:val="none"/>
        </w:rPr>
        <w:t>4.</w:t>
      </w:r>
      <w:r>
        <w:rPr>
          <w:rFonts w:hint="eastAsia" w:ascii="宋体" w:hAnsi="宋体"/>
          <w:color w:val="auto"/>
          <w:spacing w:val="6"/>
          <w:sz w:val="21"/>
          <w:highlight w:val="none"/>
        </w:rPr>
        <w:t>根据工程量清单所列的预计数量和单价或总额价计算的签约合同价：人民币</w:t>
      </w:r>
      <w:r>
        <w:rPr>
          <w:rFonts w:hint="eastAsia" w:ascii="宋体"/>
          <w:color w:val="auto"/>
          <w:spacing w:val="6"/>
          <w:sz w:val="21"/>
          <w:highlight w:val="none"/>
        </w:rPr>
        <w:t>(</w:t>
      </w:r>
      <w:r>
        <w:rPr>
          <w:rFonts w:hint="eastAsia" w:ascii="宋体" w:hAnsi="宋体"/>
          <w:color w:val="auto"/>
          <w:spacing w:val="6"/>
          <w:sz w:val="21"/>
          <w:highlight w:val="none"/>
        </w:rPr>
        <w:t>大</w:t>
      </w:r>
      <w:r>
        <w:rPr>
          <w:rFonts w:hint="eastAsia" w:ascii="宋体" w:hAnsi="宋体"/>
          <w:color w:val="auto"/>
          <w:highlight w:val="none"/>
        </w:rPr>
        <w:t>写</w:t>
      </w:r>
      <w:r>
        <w:rPr>
          <w:rFonts w:hint="eastAsia" w:ascii="宋体"/>
          <w:color w:val="auto"/>
          <w:highlight w:val="none"/>
        </w:rPr>
        <w:t>)</w:t>
      </w:r>
      <w:r>
        <w:rPr>
          <w:rFonts w:hint="eastAsia" w:ascii="宋体"/>
          <w:color w:val="auto"/>
          <w:highlight w:val="none"/>
          <w:u w:val="single"/>
        </w:rPr>
        <w:t xml:space="preserve">  </w:t>
      </w:r>
      <w:r>
        <w:rPr>
          <w:rFonts w:hint="eastAsia" w:ascii="宋体" w:eastAsia="宋体"/>
          <w:color w:val="auto"/>
          <w:highlight w:val="none"/>
          <w:u w:val="single"/>
          <w:lang w:val="en-US" w:eastAsia="zh-CN"/>
        </w:rPr>
        <w:t xml:space="preserve">                 </w:t>
      </w:r>
      <w:r>
        <w:rPr>
          <w:rFonts w:hint="eastAsia" w:ascii="宋体" w:hAnsi="宋体"/>
          <w:color w:val="auto"/>
          <w:highlight w:val="none"/>
        </w:rPr>
        <w:t>元</w:t>
      </w:r>
      <w:r>
        <w:rPr>
          <w:rFonts w:hint="eastAsia" w:ascii="宋体"/>
          <w:color w:val="auto"/>
          <w:highlight w:val="none"/>
        </w:rPr>
        <w:t>(</w:t>
      </w:r>
      <w:r>
        <w:rPr>
          <w:rFonts w:hint="eastAsia" w:ascii="宋体" w:hAnsi="宋体"/>
          <w:color w:val="auto"/>
          <w:highlight w:val="none"/>
        </w:rPr>
        <w:t>￥</w:t>
      </w:r>
      <w:r>
        <w:rPr>
          <w:rFonts w:hint="eastAsia" w:ascii="宋体"/>
          <w:color w:val="auto"/>
          <w:highlight w:val="none"/>
          <w:u w:val="single"/>
        </w:rPr>
        <w:t xml:space="preserve">          </w:t>
      </w:r>
      <w:r>
        <w:rPr>
          <w:rFonts w:hint="eastAsia" w:ascii="宋体"/>
          <w:color w:val="auto"/>
          <w:highlight w:val="none"/>
        </w:rPr>
        <w:t>)</w:t>
      </w:r>
      <w:r>
        <w:rPr>
          <w:rFonts w:hint="eastAsia" w:ascii="宋体" w:hAnsi="宋体"/>
          <w:color w:val="auto"/>
          <w:highlight w:val="none"/>
        </w:rPr>
        <w:t>。</w:t>
      </w:r>
    </w:p>
    <w:p w14:paraId="26CD414C">
      <w:pPr>
        <w:pStyle w:val="44"/>
        <w:spacing w:line="460" w:lineRule="exact"/>
        <w:ind w:firstLine="420" w:firstLineChars="200"/>
        <w:rPr>
          <w:rFonts w:hint="eastAsia" w:ascii="宋体"/>
          <w:color w:val="auto"/>
          <w:highlight w:val="none"/>
        </w:rPr>
      </w:pPr>
      <w:r>
        <w:rPr>
          <w:rFonts w:hint="eastAsia" w:ascii="宋体"/>
          <w:color w:val="auto"/>
          <w:highlight w:val="none"/>
        </w:rPr>
        <w:t>5.</w:t>
      </w:r>
      <w:r>
        <w:rPr>
          <w:rFonts w:hint="eastAsia" w:ascii="宋体" w:hAnsi="宋体"/>
          <w:color w:val="auto"/>
          <w:highlight w:val="none"/>
        </w:rPr>
        <w:t>承包人项目经理：</w:t>
      </w:r>
      <w:r>
        <w:rPr>
          <w:rFonts w:hint="eastAsia" w:ascii="宋体"/>
          <w:color w:val="auto"/>
          <w:highlight w:val="none"/>
          <w:u w:val="single"/>
        </w:rPr>
        <w:t xml:space="preserve">        </w:t>
      </w:r>
      <w:r>
        <w:rPr>
          <w:rFonts w:hint="eastAsia" w:ascii="宋体" w:hAnsi="宋体" w:eastAsia="宋体"/>
          <w:color w:val="auto"/>
          <w:highlight w:val="none"/>
          <w:lang w:eastAsia="zh-CN"/>
        </w:rPr>
        <w:t>，</w:t>
      </w:r>
      <w:r>
        <w:rPr>
          <w:rFonts w:hint="eastAsia" w:ascii="宋体" w:hAnsi="宋体"/>
          <w:color w:val="auto"/>
          <w:highlight w:val="none"/>
        </w:rPr>
        <w:t>项目</w:t>
      </w:r>
      <w:r>
        <w:rPr>
          <w:rFonts w:hint="eastAsia" w:ascii="宋体" w:hAnsi="宋体" w:eastAsia="宋体"/>
          <w:color w:val="auto"/>
          <w:highlight w:val="none"/>
          <w:lang w:val="en-US" w:eastAsia="zh-CN"/>
        </w:rPr>
        <w:t>技术负责人</w:t>
      </w:r>
      <w:r>
        <w:rPr>
          <w:rFonts w:hint="eastAsia" w:ascii="宋体" w:hAnsi="宋体"/>
          <w:color w:val="auto"/>
          <w:highlight w:val="none"/>
        </w:rPr>
        <w:t>：</w:t>
      </w:r>
      <w:r>
        <w:rPr>
          <w:rFonts w:hint="eastAsia" w:ascii="宋体"/>
          <w:color w:val="auto"/>
          <w:highlight w:val="none"/>
          <w:u w:val="single"/>
        </w:rPr>
        <w:t xml:space="preserve">        </w:t>
      </w:r>
      <w:r>
        <w:rPr>
          <w:rFonts w:hint="eastAsia" w:ascii="宋体" w:eastAsia="宋体"/>
          <w:color w:val="auto"/>
          <w:highlight w:val="none"/>
          <w:u w:val="none"/>
          <w:lang w:eastAsia="zh-CN"/>
        </w:rPr>
        <w:t>，</w:t>
      </w:r>
      <w:r>
        <w:rPr>
          <w:rFonts w:hint="eastAsia" w:ascii="宋体" w:eastAsia="宋体"/>
          <w:color w:val="auto"/>
          <w:highlight w:val="none"/>
          <w:u w:val="none"/>
          <w:lang w:val="en-US" w:eastAsia="zh-CN"/>
        </w:rPr>
        <w:t>安全负责人：</w:t>
      </w:r>
      <w:r>
        <w:rPr>
          <w:rFonts w:hint="eastAsia" w:ascii="宋体" w:eastAsia="宋体"/>
          <w:color w:val="auto"/>
          <w:highlight w:val="none"/>
          <w:u w:val="single"/>
          <w:lang w:val="en-US" w:eastAsia="zh-CN"/>
        </w:rPr>
        <w:t xml:space="preserve">       </w:t>
      </w:r>
      <w:r>
        <w:rPr>
          <w:rFonts w:hint="eastAsia" w:ascii="宋体" w:hAnsi="宋体"/>
          <w:color w:val="auto"/>
          <w:highlight w:val="none"/>
        </w:rPr>
        <w:t>。</w:t>
      </w:r>
    </w:p>
    <w:p w14:paraId="7F01207A">
      <w:pPr>
        <w:pStyle w:val="44"/>
        <w:spacing w:line="460" w:lineRule="exact"/>
        <w:ind w:firstLine="420" w:firstLineChars="200"/>
        <w:rPr>
          <w:rFonts w:hint="eastAsia" w:ascii="宋体"/>
          <w:color w:val="auto"/>
          <w:highlight w:val="none"/>
        </w:rPr>
      </w:pPr>
      <w:r>
        <w:rPr>
          <w:rFonts w:hint="eastAsia" w:ascii="宋体"/>
          <w:color w:val="auto"/>
          <w:highlight w:val="none"/>
        </w:rPr>
        <w:t>6.</w:t>
      </w:r>
      <w:r>
        <w:rPr>
          <w:rFonts w:hint="eastAsia" w:ascii="宋体" w:eastAsia="宋体"/>
          <w:color w:val="auto"/>
          <w:highlight w:val="none"/>
          <w:lang w:val="en-US" w:eastAsia="zh-CN"/>
        </w:rPr>
        <w:t>本合同养护</w:t>
      </w:r>
      <w:r>
        <w:rPr>
          <w:rFonts w:hint="eastAsia" w:ascii="宋体" w:hAnsi="宋体"/>
          <w:color w:val="auto"/>
          <w:highlight w:val="none"/>
        </w:rPr>
        <w:t>工程质量符合</w:t>
      </w:r>
      <w:r>
        <w:rPr>
          <w:rFonts w:hint="eastAsia" w:ascii="宋体"/>
          <w:color w:val="auto"/>
          <w:highlight w:val="none"/>
          <w:u w:val="single"/>
        </w:rPr>
        <w:t xml:space="preserve">            </w:t>
      </w:r>
      <w:r>
        <w:rPr>
          <w:rFonts w:hint="eastAsia" w:ascii="宋体" w:hAnsi="宋体"/>
          <w:color w:val="auto"/>
          <w:highlight w:val="none"/>
        </w:rPr>
        <w:t>标准。</w:t>
      </w:r>
    </w:p>
    <w:p w14:paraId="64562957">
      <w:pPr>
        <w:pStyle w:val="44"/>
        <w:keepNext w:val="0"/>
        <w:keepLines w:val="0"/>
        <w:pageBreakBefore w:val="0"/>
        <w:widowControl w:val="0"/>
        <w:kinsoku/>
        <w:wordWrap/>
        <w:overflowPunct/>
        <w:topLinePunct w:val="0"/>
        <w:autoSpaceDE/>
        <w:autoSpaceDN/>
        <w:bidi w:val="0"/>
        <w:adjustRightInd/>
        <w:spacing w:line="420" w:lineRule="exact"/>
        <w:ind w:firstLine="420" w:firstLineChars="200"/>
        <w:textAlignment w:val="auto"/>
        <w:rPr>
          <w:rFonts w:hint="default" w:ascii="宋体" w:hAnsi="Times New Roman" w:eastAsia="Times New Roman"/>
          <w:color w:val="auto"/>
          <w:highlight w:val="none"/>
          <w:lang w:val="en-US" w:eastAsia="zh-CN"/>
        </w:rPr>
      </w:pPr>
      <w:r>
        <w:rPr>
          <w:rFonts w:hint="eastAsia" w:ascii="宋体" w:hAnsi="Times New Roman" w:eastAsia="Times New Roman"/>
          <w:color w:val="auto"/>
          <w:highlight w:val="none"/>
          <w:lang w:val="en-US" w:eastAsia="zh-CN"/>
        </w:rPr>
        <w:t>7.为本合同养护工程实施和完成的报酬，发包人承诺按合同已标价工程量清单子目单价及实际数量，以计价规范作为工程计量支付依据的约定条件向承包人支付工程价款。</w:t>
      </w:r>
    </w:p>
    <w:p w14:paraId="52F7C444">
      <w:pPr>
        <w:pStyle w:val="44"/>
        <w:spacing w:line="460" w:lineRule="exact"/>
        <w:ind w:firstLine="420" w:firstLineChars="200"/>
        <w:rPr>
          <w:rFonts w:hint="eastAsia" w:ascii="宋体"/>
          <w:color w:val="auto"/>
          <w:highlight w:val="none"/>
        </w:rPr>
      </w:pPr>
      <w:r>
        <w:rPr>
          <w:rFonts w:hint="eastAsia" w:ascii="宋体" w:eastAsia="宋体"/>
          <w:color w:val="auto"/>
          <w:highlight w:val="none"/>
          <w:lang w:val="en-US" w:eastAsia="zh-CN"/>
        </w:rPr>
        <w:t>8</w:t>
      </w:r>
      <w:r>
        <w:rPr>
          <w:rFonts w:hint="eastAsia" w:ascii="宋体"/>
          <w:color w:val="auto"/>
          <w:highlight w:val="none"/>
        </w:rPr>
        <w:t>.</w:t>
      </w:r>
      <w:r>
        <w:rPr>
          <w:rFonts w:hint="eastAsia" w:ascii="宋体" w:hAnsi="宋体"/>
          <w:color w:val="auto"/>
          <w:highlight w:val="none"/>
        </w:rPr>
        <w:t>承包人承诺按合同约定承担</w:t>
      </w:r>
      <w:r>
        <w:rPr>
          <w:rFonts w:hint="eastAsia" w:ascii="宋体" w:hAnsi="宋体" w:eastAsia="宋体"/>
          <w:color w:val="auto"/>
          <w:highlight w:val="none"/>
          <w:lang w:val="en-US" w:eastAsia="zh-CN"/>
        </w:rPr>
        <w:t>本养护</w:t>
      </w:r>
      <w:r>
        <w:rPr>
          <w:rFonts w:hint="eastAsia" w:ascii="宋体" w:hAnsi="宋体"/>
          <w:color w:val="auto"/>
          <w:highlight w:val="none"/>
        </w:rPr>
        <w:t>工程的实施、完成</w:t>
      </w:r>
      <w:r>
        <w:rPr>
          <w:rFonts w:hint="eastAsia" w:ascii="宋体" w:hAnsi="宋体" w:eastAsia="宋体"/>
          <w:color w:val="auto"/>
          <w:highlight w:val="none"/>
          <w:lang w:val="en-US" w:eastAsia="zh-CN"/>
        </w:rPr>
        <w:t>及</w:t>
      </w:r>
      <w:r>
        <w:rPr>
          <w:rFonts w:hint="eastAsia" w:ascii="宋体" w:hAnsi="宋体"/>
          <w:color w:val="auto"/>
          <w:highlight w:val="none"/>
        </w:rPr>
        <w:t>缺陷修复。</w:t>
      </w:r>
    </w:p>
    <w:p w14:paraId="754C3026">
      <w:pPr>
        <w:pStyle w:val="44"/>
        <w:spacing w:line="460" w:lineRule="exact"/>
        <w:ind w:firstLine="420" w:firstLineChars="200"/>
        <w:rPr>
          <w:rFonts w:hint="eastAsia" w:ascii="宋体"/>
          <w:color w:val="auto"/>
          <w:highlight w:val="none"/>
        </w:rPr>
      </w:pPr>
      <w:r>
        <w:rPr>
          <w:rFonts w:hint="eastAsia" w:ascii="宋体"/>
          <w:color w:val="auto"/>
          <w:highlight w:val="none"/>
        </w:rPr>
        <w:t>9.</w:t>
      </w:r>
      <w:r>
        <w:rPr>
          <w:rFonts w:hint="eastAsia" w:ascii="宋体" w:hAnsi="宋体"/>
          <w:color w:val="auto"/>
          <w:highlight w:val="none"/>
        </w:rPr>
        <w:t>承包人应按照监理人指示</w:t>
      </w:r>
      <w:r>
        <w:rPr>
          <w:rFonts w:hint="eastAsia" w:ascii="宋体" w:hAnsi="宋体" w:eastAsia="宋体"/>
          <w:color w:val="auto"/>
          <w:highlight w:val="none"/>
          <w:lang w:val="en-US" w:eastAsia="zh-CN"/>
        </w:rPr>
        <w:t>进驻</w:t>
      </w:r>
      <w:r>
        <w:rPr>
          <w:rFonts w:hint="eastAsia" w:ascii="宋体" w:hAnsi="宋体"/>
          <w:color w:val="auto"/>
          <w:highlight w:val="none"/>
        </w:rPr>
        <w:t>，</w:t>
      </w:r>
      <w:r>
        <w:rPr>
          <w:rFonts w:hint="eastAsia" w:ascii="宋体" w:hAnsi="宋体" w:eastAsia="宋体"/>
          <w:color w:val="auto"/>
          <w:highlight w:val="none"/>
          <w:lang w:val="en-US" w:eastAsia="zh-CN"/>
        </w:rPr>
        <w:t>工期</w:t>
      </w:r>
      <w:r>
        <w:rPr>
          <w:rFonts w:hint="eastAsia" w:ascii="宋体" w:hAnsi="宋体"/>
          <w:color w:val="auto"/>
          <w:highlight w:val="none"/>
        </w:rPr>
        <w:t>为</w:t>
      </w:r>
      <w:r>
        <w:rPr>
          <w:rFonts w:hint="eastAsia" w:ascii="宋体" w:eastAsia="宋体"/>
          <w:color w:val="auto"/>
          <w:highlight w:val="none"/>
          <w:u w:val="single"/>
        </w:rPr>
        <w:t xml:space="preserve">   </w:t>
      </w:r>
      <w:r>
        <w:rPr>
          <w:rFonts w:hint="eastAsia" w:ascii="宋体" w:eastAsia="宋体"/>
          <w:color w:val="auto"/>
          <w:highlight w:val="none"/>
          <w:u w:val="none"/>
          <w:lang w:val="en-US" w:eastAsia="zh-CN"/>
        </w:rPr>
        <w:t>个月（或日历天），缺陷责任期：</w:t>
      </w:r>
      <w:r>
        <w:rPr>
          <w:rFonts w:hint="eastAsia" w:ascii="宋体" w:eastAsia="宋体"/>
          <w:color w:val="auto"/>
          <w:highlight w:val="none"/>
          <w:u w:val="single"/>
          <w:lang w:val="en-US" w:eastAsia="zh-CN"/>
        </w:rPr>
        <w:t xml:space="preserve">  </w:t>
      </w:r>
      <w:r>
        <w:rPr>
          <w:rFonts w:hint="eastAsia" w:ascii="宋体" w:eastAsia="宋体"/>
          <w:color w:val="auto"/>
          <w:highlight w:val="none"/>
          <w:u w:val="none"/>
          <w:lang w:val="en-US" w:eastAsia="zh-CN"/>
        </w:rPr>
        <w:t>个月</w:t>
      </w:r>
      <w:r>
        <w:rPr>
          <w:rFonts w:hint="eastAsia" w:ascii="宋体" w:hAnsi="宋体"/>
          <w:color w:val="auto"/>
          <w:highlight w:val="none"/>
        </w:rPr>
        <w:t>。</w:t>
      </w:r>
    </w:p>
    <w:p w14:paraId="2E5D64E7">
      <w:pPr>
        <w:pStyle w:val="44"/>
        <w:spacing w:line="460" w:lineRule="exact"/>
        <w:ind w:firstLine="420" w:firstLineChars="200"/>
        <w:rPr>
          <w:rFonts w:hint="eastAsia" w:ascii="宋体"/>
          <w:color w:val="auto"/>
          <w:highlight w:val="none"/>
        </w:rPr>
      </w:pPr>
      <w:r>
        <w:rPr>
          <w:rFonts w:hint="eastAsia" w:ascii="宋体"/>
          <w:color w:val="auto"/>
          <w:highlight w:val="none"/>
        </w:rPr>
        <w:t>10.</w:t>
      </w:r>
      <w:r>
        <w:rPr>
          <w:rFonts w:hint="eastAsia" w:ascii="宋体" w:hAnsi="宋体"/>
          <w:color w:val="auto"/>
          <w:highlight w:val="none"/>
        </w:rPr>
        <w:t>本协议书在承包人提供履约担保后，由双方法定代表人或其委托代理人签署并加盖单位章后生效。全部</w:t>
      </w:r>
      <w:r>
        <w:rPr>
          <w:rFonts w:hint="eastAsia" w:ascii="宋体" w:hAnsi="宋体" w:eastAsia="宋体"/>
          <w:color w:val="auto"/>
          <w:highlight w:val="none"/>
          <w:lang w:val="en-US" w:eastAsia="zh-CN"/>
        </w:rPr>
        <w:t>养护</w:t>
      </w:r>
      <w:r>
        <w:rPr>
          <w:rFonts w:hint="eastAsia" w:ascii="宋体" w:hAnsi="宋体"/>
          <w:color w:val="auto"/>
          <w:highlight w:val="none"/>
        </w:rPr>
        <w:t>工程完工后经交工验收合格、缺陷责任期满签发缺陷责任终止证书后失效。</w:t>
      </w:r>
    </w:p>
    <w:p w14:paraId="3601841A">
      <w:pPr>
        <w:pStyle w:val="44"/>
        <w:spacing w:line="460" w:lineRule="exact"/>
        <w:ind w:firstLine="420" w:firstLineChars="200"/>
        <w:rPr>
          <w:rFonts w:hint="eastAsia" w:ascii="宋体"/>
          <w:color w:val="auto"/>
          <w:highlight w:val="none"/>
        </w:rPr>
      </w:pPr>
      <w:r>
        <w:rPr>
          <w:rFonts w:hint="eastAsia" w:ascii="宋体"/>
          <w:color w:val="auto"/>
          <w:highlight w:val="none"/>
        </w:rPr>
        <w:t>11.</w:t>
      </w:r>
      <w:r>
        <w:rPr>
          <w:rFonts w:hint="eastAsia" w:ascii="宋体" w:hAnsi="宋体"/>
          <w:color w:val="auto"/>
          <w:highlight w:val="none"/>
        </w:rPr>
        <w:t>本协议书正本二份、副本</w:t>
      </w:r>
      <w:r>
        <w:rPr>
          <w:rFonts w:hint="eastAsia" w:ascii="宋体"/>
          <w:color w:val="auto"/>
          <w:highlight w:val="none"/>
          <w:u w:val="single"/>
        </w:rPr>
        <w:t xml:space="preserve">    </w:t>
      </w:r>
      <w:r>
        <w:rPr>
          <w:rFonts w:hint="eastAsia" w:ascii="宋体" w:hAnsi="宋体"/>
          <w:color w:val="auto"/>
          <w:highlight w:val="none"/>
        </w:rPr>
        <w:t>份，合同双方各执正本一份，副本</w:t>
      </w:r>
      <w:r>
        <w:rPr>
          <w:rFonts w:hint="eastAsia" w:ascii="宋体"/>
          <w:color w:val="auto"/>
          <w:highlight w:val="none"/>
          <w:u w:val="single"/>
        </w:rPr>
        <w:t xml:space="preserve">    </w:t>
      </w:r>
      <w:r>
        <w:rPr>
          <w:rFonts w:hint="eastAsia" w:ascii="宋体" w:hAnsi="宋体"/>
          <w:color w:val="auto"/>
          <w:highlight w:val="none"/>
        </w:rPr>
        <w:t>份，当正本与副本的内容不一致时，以正本为准。</w:t>
      </w:r>
    </w:p>
    <w:p w14:paraId="4566088F">
      <w:pPr>
        <w:pStyle w:val="44"/>
        <w:spacing w:line="460" w:lineRule="exact"/>
        <w:ind w:firstLine="420" w:firstLineChars="200"/>
        <w:rPr>
          <w:rFonts w:hint="eastAsia" w:ascii="宋体"/>
          <w:color w:val="auto"/>
          <w:highlight w:val="none"/>
        </w:rPr>
      </w:pPr>
      <w:r>
        <w:rPr>
          <w:rFonts w:hint="eastAsia" w:ascii="宋体"/>
          <w:color w:val="auto"/>
          <w:highlight w:val="none"/>
        </w:rPr>
        <w:t>12.</w:t>
      </w:r>
      <w:r>
        <w:rPr>
          <w:rFonts w:hint="eastAsia" w:ascii="宋体" w:hAnsi="宋体"/>
          <w:color w:val="auto"/>
          <w:highlight w:val="none"/>
        </w:rPr>
        <w:t>合同未尽事宜，双方另行签订补充协议。补充协议是合同的组成部分。</w:t>
      </w:r>
    </w:p>
    <w:p w14:paraId="13069990">
      <w:pPr>
        <w:pStyle w:val="44"/>
        <w:spacing w:line="460" w:lineRule="exact"/>
        <w:ind w:firstLine="420" w:firstLineChars="200"/>
        <w:rPr>
          <w:rFonts w:hint="eastAsia" w:ascii="宋体"/>
          <w:color w:val="auto"/>
          <w:highlight w:val="none"/>
        </w:rPr>
      </w:pPr>
      <w:r>
        <w:rPr>
          <w:rFonts w:hint="eastAsia" w:ascii="宋体"/>
          <w:color w:val="auto"/>
          <w:highlight w:val="none"/>
        </w:rPr>
        <w:t xml:space="preserve"> </w:t>
      </w:r>
    </w:p>
    <w:p w14:paraId="0564ED33">
      <w:pPr>
        <w:pStyle w:val="44"/>
        <w:spacing w:line="460" w:lineRule="exact"/>
        <w:ind w:firstLine="420" w:firstLineChars="200"/>
        <w:rPr>
          <w:rFonts w:hint="eastAsia" w:ascii="宋体"/>
          <w:color w:val="auto"/>
          <w:highlight w:val="none"/>
        </w:rPr>
      </w:pPr>
      <w:r>
        <w:rPr>
          <w:rFonts w:hint="eastAsia" w:ascii="宋体"/>
          <w:color w:val="auto"/>
          <w:highlight w:val="none"/>
        </w:rPr>
        <w:t xml:space="preserve"> </w:t>
      </w:r>
    </w:p>
    <w:p w14:paraId="7FDC86BE">
      <w:pPr>
        <w:pStyle w:val="44"/>
        <w:spacing w:line="460" w:lineRule="exact"/>
        <w:rPr>
          <w:rFonts w:hint="eastAsia" w:ascii="宋体"/>
          <w:color w:val="auto"/>
          <w:highlight w:val="none"/>
        </w:rPr>
      </w:pPr>
      <w:r>
        <w:rPr>
          <w:rFonts w:hint="eastAsia" w:ascii="宋体" w:hAnsi="宋体"/>
          <w:color w:val="auto"/>
          <w:highlight w:val="none"/>
        </w:rPr>
        <w:t>发包人：</w:t>
      </w:r>
      <w:r>
        <w:rPr>
          <w:rFonts w:hint="eastAsia" w:ascii="宋体"/>
          <w:color w:val="auto"/>
          <w:highlight w:val="none"/>
          <w:u w:val="single"/>
        </w:rPr>
        <w:t xml:space="preserve">                  </w:t>
      </w:r>
      <w:r>
        <w:rPr>
          <w:rFonts w:hint="eastAsia" w:ascii="宋体"/>
          <w:color w:val="auto"/>
          <w:highlight w:val="none"/>
        </w:rPr>
        <w:t xml:space="preserve"> (</w:t>
      </w:r>
      <w:r>
        <w:rPr>
          <w:rFonts w:hint="eastAsia" w:ascii="宋体" w:hAnsi="宋体"/>
          <w:color w:val="auto"/>
          <w:highlight w:val="none"/>
        </w:rPr>
        <w:t>盖单位章</w:t>
      </w:r>
      <w:r>
        <w:rPr>
          <w:rFonts w:hint="eastAsia" w:ascii="宋体"/>
          <w:color w:val="auto"/>
          <w:highlight w:val="none"/>
        </w:rPr>
        <w:t xml:space="preserve">)      </w:t>
      </w:r>
      <w:r>
        <w:rPr>
          <w:rFonts w:hint="eastAsia" w:ascii="宋体" w:hAnsi="宋体"/>
          <w:color w:val="auto"/>
          <w:highlight w:val="none"/>
        </w:rPr>
        <w:t>承包人：</w:t>
      </w:r>
      <w:r>
        <w:rPr>
          <w:rFonts w:hint="eastAsia" w:ascii="宋体"/>
          <w:color w:val="auto"/>
          <w:highlight w:val="none"/>
          <w:u w:val="single"/>
        </w:rPr>
        <w:t xml:space="preserve">                  </w:t>
      </w:r>
      <w:r>
        <w:rPr>
          <w:rFonts w:hint="eastAsia" w:ascii="宋体"/>
          <w:color w:val="auto"/>
          <w:highlight w:val="none"/>
        </w:rPr>
        <w:t xml:space="preserve"> (</w:t>
      </w:r>
      <w:r>
        <w:rPr>
          <w:rFonts w:hint="eastAsia" w:ascii="宋体" w:hAnsi="宋体"/>
          <w:color w:val="auto"/>
          <w:highlight w:val="none"/>
        </w:rPr>
        <w:t>盖单位章</w:t>
      </w:r>
      <w:r>
        <w:rPr>
          <w:rFonts w:hint="eastAsia" w:ascii="宋体"/>
          <w:color w:val="auto"/>
          <w:highlight w:val="none"/>
        </w:rPr>
        <w:t>)</w:t>
      </w:r>
    </w:p>
    <w:p w14:paraId="1F430ECA">
      <w:pPr>
        <w:pStyle w:val="44"/>
        <w:spacing w:line="460" w:lineRule="exact"/>
        <w:rPr>
          <w:rFonts w:hint="eastAsia" w:ascii="宋体"/>
          <w:color w:val="auto"/>
          <w:highlight w:val="none"/>
        </w:rPr>
      </w:pPr>
      <w:r>
        <w:rPr>
          <w:rFonts w:hint="eastAsia" w:ascii="宋体" w:hAnsi="宋体"/>
          <w:color w:val="auto"/>
          <w:highlight w:val="none"/>
        </w:rPr>
        <w:t>法定代表人或其委托代理人：</w:t>
      </w:r>
      <w:r>
        <w:rPr>
          <w:rFonts w:hint="eastAsia" w:ascii="宋体"/>
          <w:color w:val="auto"/>
          <w:highlight w:val="none"/>
          <w:u w:val="single"/>
        </w:rPr>
        <w:t xml:space="preserve">     </w:t>
      </w:r>
      <w:r>
        <w:rPr>
          <w:rFonts w:hint="eastAsia" w:ascii="宋体"/>
          <w:color w:val="auto"/>
          <w:highlight w:val="none"/>
        </w:rPr>
        <w:t>(</w:t>
      </w:r>
      <w:r>
        <w:rPr>
          <w:rFonts w:hint="eastAsia" w:ascii="宋体" w:hAnsi="宋体"/>
          <w:color w:val="auto"/>
          <w:highlight w:val="none"/>
        </w:rPr>
        <w:t>签字</w:t>
      </w:r>
      <w:r>
        <w:rPr>
          <w:rFonts w:hint="eastAsia" w:ascii="宋体"/>
          <w:color w:val="auto"/>
          <w:highlight w:val="none"/>
        </w:rPr>
        <w:t xml:space="preserve">)      </w:t>
      </w:r>
      <w:r>
        <w:rPr>
          <w:rFonts w:hint="eastAsia" w:ascii="宋体" w:hAnsi="宋体"/>
          <w:color w:val="auto"/>
          <w:highlight w:val="none"/>
        </w:rPr>
        <w:t>法定代表人或其委托代理人：</w:t>
      </w:r>
      <w:r>
        <w:rPr>
          <w:rFonts w:hint="eastAsia" w:ascii="宋体"/>
          <w:color w:val="auto"/>
          <w:highlight w:val="none"/>
          <w:u w:val="single"/>
        </w:rPr>
        <w:t xml:space="preserve">     </w:t>
      </w:r>
      <w:r>
        <w:rPr>
          <w:rFonts w:hint="eastAsia" w:ascii="宋体"/>
          <w:color w:val="auto"/>
          <w:highlight w:val="none"/>
        </w:rPr>
        <w:t>(</w:t>
      </w:r>
      <w:r>
        <w:rPr>
          <w:rFonts w:hint="eastAsia" w:ascii="宋体" w:hAnsi="宋体"/>
          <w:color w:val="auto"/>
          <w:highlight w:val="none"/>
        </w:rPr>
        <w:t>签字</w:t>
      </w:r>
      <w:r>
        <w:rPr>
          <w:rFonts w:hint="eastAsia" w:ascii="宋体"/>
          <w:color w:val="auto"/>
          <w:highlight w:val="none"/>
        </w:rPr>
        <w:t>)</w:t>
      </w:r>
    </w:p>
    <w:p w14:paraId="3C479C3A">
      <w:pPr>
        <w:pStyle w:val="44"/>
        <w:spacing w:line="460" w:lineRule="exact"/>
        <w:ind w:firstLine="1890" w:firstLineChars="900"/>
        <w:rPr>
          <w:rFonts w:hint="eastAsia" w:ascii="宋体"/>
          <w:color w:val="auto"/>
          <w:highlight w:val="none"/>
        </w:rPr>
      </w:pPr>
      <w:r>
        <w:rPr>
          <w:rFonts w:hint="eastAsia" w:ascii="宋体"/>
          <w:color w:val="auto"/>
          <w:highlight w:val="none"/>
          <w:u w:val="single"/>
        </w:rPr>
        <w:t xml:space="preserve">     </w:t>
      </w:r>
      <w:r>
        <w:rPr>
          <w:rFonts w:hint="eastAsia" w:ascii="宋体" w:hAnsi="宋体"/>
          <w:color w:val="auto"/>
          <w:highlight w:val="none"/>
        </w:rPr>
        <w:t>年</w:t>
      </w:r>
      <w:r>
        <w:rPr>
          <w:rFonts w:hint="eastAsia" w:ascii="宋体"/>
          <w:color w:val="auto"/>
          <w:highlight w:val="none"/>
          <w:u w:val="single"/>
        </w:rPr>
        <w:t xml:space="preserve">   </w:t>
      </w:r>
      <w:r>
        <w:rPr>
          <w:rFonts w:hint="eastAsia" w:ascii="宋体" w:hAnsi="宋体"/>
          <w:color w:val="auto"/>
          <w:highlight w:val="none"/>
        </w:rPr>
        <w:t>月</w:t>
      </w:r>
      <w:r>
        <w:rPr>
          <w:rFonts w:hint="eastAsia" w:ascii="宋体"/>
          <w:color w:val="auto"/>
          <w:highlight w:val="none"/>
          <w:u w:val="single"/>
        </w:rPr>
        <w:t xml:space="preserve">    </w:t>
      </w:r>
      <w:r>
        <w:rPr>
          <w:rFonts w:hint="eastAsia" w:ascii="宋体" w:hAnsi="宋体"/>
          <w:color w:val="auto"/>
          <w:highlight w:val="none"/>
        </w:rPr>
        <w:t>日</w:t>
      </w:r>
      <w:r>
        <w:rPr>
          <w:rFonts w:hint="eastAsia" w:ascii="宋体"/>
          <w:color w:val="auto"/>
          <w:highlight w:val="none"/>
        </w:rPr>
        <w:t xml:space="preserve">                     </w:t>
      </w:r>
      <w:r>
        <w:rPr>
          <w:rFonts w:hint="eastAsia" w:ascii="宋体"/>
          <w:color w:val="auto"/>
          <w:highlight w:val="none"/>
          <w:u w:val="single"/>
        </w:rPr>
        <w:t xml:space="preserve">     </w:t>
      </w:r>
      <w:r>
        <w:rPr>
          <w:rFonts w:hint="eastAsia" w:ascii="宋体" w:hAnsi="宋体"/>
          <w:color w:val="auto"/>
          <w:highlight w:val="none"/>
        </w:rPr>
        <w:t>年</w:t>
      </w:r>
      <w:r>
        <w:rPr>
          <w:rFonts w:hint="eastAsia" w:ascii="宋体"/>
          <w:color w:val="auto"/>
          <w:highlight w:val="none"/>
          <w:u w:val="single"/>
        </w:rPr>
        <w:t xml:space="preserve">   </w:t>
      </w:r>
      <w:r>
        <w:rPr>
          <w:rFonts w:hint="eastAsia" w:ascii="宋体" w:hAnsi="宋体"/>
          <w:color w:val="auto"/>
          <w:highlight w:val="none"/>
        </w:rPr>
        <w:t>月</w:t>
      </w:r>
      <w:r>
        <w:rPr>
          <w:rFonts w:hint="eastAsia" w:ascii="宋体"/>
          <w:color w:val="auto"/>
          <w:highlight w:val="none"/>
          <w:u w:val="single"/>
        </w:rPr>
        <w:t xml:space="preserve">    </w:t>
      </w:r>
      <w:r>
        <w:rPr>
          <w:rFonts w:hint="eastAsia" w:ascii="宋体" w:hAnsi="宋体"/>
          <w:color w:val="auto"/>
          <w:highlight w:val="none"/>
        </w:rPr>
        <w:t>日</w:t>
      </w:r>
    </w:p>
    <w:p w14:paraId="05EEB82F">
      <w:pPr>
        <w:pStyle w:val="44"/>
        <w:spacing w:line="460" w:lineRule="exact"/>
        <w:ind w:firstLine="1890" w:firstLineChars="900"/>
        <w:rPr>
          <w:rFonts w:hint="eastAsia" w:ascii="宋体"/>
          <w:color w:val="auto"/>
          <w:highlight w:val="none"/>
        </w:rPr>
      </w:pPr>
      <w:r>
        <w:rPr>
          <w:rFonts w:hint="eastAsia" w:ascii="宋体"/>
          <w:color w:val="auto"/>
          <w:highlight w:val="none"/>
        </w:rPr>
        <w:t xml:space="preserve"> </w:t>
      </w:r>
    </w:p>
    <w:p w14:paraId="7E539E8B">
      <w:pPr>
        <w:pStyle w:val="44"/>
        <w:keepNext w:val="0"/>
        <w:keepLines w:val="0"/>
        <w:pageBreakBefore w:val="0"/>
        <w:widowControl w:val="0"/>
        <w:kinsoku/>
        <w:wordWrap/>
        <w:overflowPunct/>
        <w:topLinePunct w:val="0"/>
        <w:autoSpaceDE/>
        <w:autoSpaceDN/>
        <w:bidi w:val="0"/>
        <w:adjustRightInd/>
        <w:snapToGrid/>
        <w:spacing w:line="420" w:lineRule="exact"/>
        <w:textAlignment w:val="auto"/>
        <w:outlineLvl w:val="3"/>
        <w:rPr>
          <w:rFonts w:hint="eastAsia" w:ascii="黑体" w:eastAsia="黑体"/>
          <w:color w:val="auto"/>
          <w:sz w:val="28"/>
          <w:szCs w:val="28"/>
          <w:highlight w:val="none"/>
        </w:rPr>
      </w:pPr>
      <w:r>
        <w:rPr>
          <w:rFonts w:hint="eastAsia" w:ascii="宋体"/>
          <w:color w:val="auto"/>
          <w:highlight w:val="none"/>
        </w:rPr>
        <w:br w:type="page"/>
      </w:r>
      <w:r>
        <w:rPr>
          <w:rFonts w:hint="eastAsia" w:ascii="黑体" w:hAnsi="黑体" w:eastAsia="黑体"/>
          <w:color w:val="auto"/>
          <w:sz w:val="28"/>
          <w:szCs w:val="28"/>
          <w:highlight w:val="none"/>
        </w:rPr>
        <w:t>附件二</w:t>
      </w:r>
      <w:r>
        <w:rPr>
          <w:rFonts w:hint="eastAsia" w:ascii="黑体" w:eastAsia="黑体"/>
          <w:color w:val="auto"/>
          <w:sz w:val="28"/>
          <w:szCs w:val="28"/>
          <w:highlight w:val="none"/>
        </w:rPr>
        <w:t xml:space="preserve">  </w:t>
      </w:r>
      <w:r>
        <w:rPr>
          <w:rFonts w:hint="eastAsia" w:ascii="黑体" w:hAnsi="黑体" w:eastAsia="黑体"/>
          <w:color w:val="auto"/>
          <w:sz w:val="28"/>
          <w:szCs w:val="28"/>
          <w:highlight w:val="none"/>
        </w:rPr>
        <w:t>廉政合同</w:t>
      </w:r>
    </w:p>
    <w:p w14:paraId="0DE22FC3">
      <w:pPr>
        <w:pStyle w:val="44"/>
        <w:spacing w:line="420" w:lineRule="exact"/>
        <w:jc w:val="center"/>
        <w:rPr>
          <w:rFonts w:hint="eastAsia" w:ascii="黑体" w:eastAsia="黑体"/>
          <w:color w:val="auto"/>
          <w:sz w:val="28"/>
          <w:szCs w:val="28"/>
          <w:highlight w:val="none"/>
        </w:rPr>
      </w:pPr>
      <w:r>
        <w:rPr>
          <w:rFonts w:hint="eastAsia" w:ascii="黑体" w:hAnsi="黑体" w:eastAsia="黑体"/>
          <w:color w:val="auto"/>
          <w:sz w:val="28"/>
          <w:szCs w:val="28"/>
          <w:highlight w:val="none"/>
        </w:rPr>
        <w:t>廉政合同</w:t>
      </w:r>
    </w:p>
    <w:p w14:paraId="6DAB846E">
      <w:pPr>
        <w:pStyle w:val="44"/>
        <w:spacing w:line="420" w:lineRule="exact"/>
        <w:jc w:val="center"/>
        <w:rPr>
          <w:rFonts w:hint="eastAsia" w:ascii="黑体" w:eastAsia="黑体"/>
          <w:color w:val="auto"/>
          <w:sz w:val="28"/>
          <w:szCs w:val="28"/>
          <w:highlight w:val="none"/>
        </w:rPr>
      </w:pPr>
      <w:r>
        <w:rPr>
          <w:rFonts w:hint="eastAsia" w:ascii="黑体" w:eastAsia="黑体"/>
          <w:color w:val="auto"/>
          <w:sz w:val="28"/>
          <w:szCs w:val="28"/>
          <w:highlight w:val="none"/>
        </w:rPr>
        <w:t xml:space="preserve"> </w:t>
      </w:r>
    </w:p>
    <w:p w14:paraId="5E13240F">
      <w:pPr>
        <w:pStyle w:val="44"/>
        <w:spacing w:line="440" w:lineRule="exact"/>
        <w:ind w:firstLine="420" w:firstLineChars="200"/>
        <w:rPr>
          <w:rFonts w:hint="eastAsia" w:ascii="宋体"/>
          <w:color w:val="auto"/>
          <w:highlight w:val="none"/>
        </w:rPr>
      </w:pPr>
      <w:r>
        <w:rPr>
          <w:rFonts w:hint="eastAsia" w:ascii="宋体" w:hAnsi="宋体"/>
          <w:color w:val="auto"/>
          <w:highlight w:val="none"/>
        </w:rPr>
        <w:t>根据《关于在交通基础设施建设中加强廉政建设的若干意见》以及有关工程建设、廉政建设的规定，为做好工程建设中的党风廉政建设，保证工程建设高效优质，保证建设资金的安全和有效使用以及投资效益，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color w:val="auto"/>
          <w:highlight w:val="none"/>
          <w:u w:val="single"/>
        </w:rPr>
        <w:t xml:space="preserve">         </w:t>
      </w:r>
      <w:r>
        <w:rPr>
          <w:rFonts w:hint="eastAsia" w:ascii="宋体"/>
          <w:color w:val="auto"/>
          <w:highlight w:val="none"/>
        </w:rPr>
        <w:t>(</w:t>
      </w:r>
      <w:r>
        <w:rPr>
          <w:rFonts w:hint="eastAsia" w:ascii="宋体" w:hAnsi="宋体"/>
          <w:color w:val="auto"/>
          <w:highlight w:val="none"/>
        </w:rPr>
        <w:t>项目名称</w:t>
      </w:r>
      <w:r>
        <w:rPr>
          <w:rFonts w:hint="eastAsia" w:ascii="宋体"/>
          <w:color w:val="auto"/>
          <w:highlight w:val="none"/>
        </w:rPr>
        <w:t>)</w:t>
      </w:r>
      <w:r>
        <w:rPr>
          <w:rFonts w:hint="eastAsia" w:ascii="宋体" w:hAnsi="宋体"/>
          <w:color w:val="auto"/>
          <w:highlight w:val="none"/>
        </w:rPr>
        <w:t>的项目法人</w:t>
      </w:r>
      <w:r>
        <w:rPr>
          <w:rFonts w:hint="eastAsia" w:ascii="宋体"/>
          <w:color w:val="auto"/>
          <w:highlight w:val="none"/>
          <w:u w:val="single"/>
        </w:rPr>
        <w:t xml:space="preserve">     </w:t>
      </w:r>
      <w:r>
        <w:rPr>
          <w:rFonts w:hint="eastAsia" w:ascii="宋体"/>
          <w:color w:val="auto"/>
          <w:highlight w:val="none"/>
        </w:rPr>
        <w:t xml:space="preserve"> (</w:t>
      </w:r>
      <w:r>
        <w:rPr>
          <w:rFonts w:hint="eastAsia" w:ascii="宋体" w:hAnsi="宋体"/>
          <w:color w:val="auto"/>
          <w:highlight w:val="none"/>
        </w:rPr>
        <w:t>项目法人名称，以下简称</w:t>
      </w:r>
      <w:r>
        <w:rPr>
          <w:rFonts w:hint="eastAsia" w:ascii="宋体"/>
          <w:color w:val="auto"/>
          <w:highlight w:val="none"/>
        </w:rPr>
        <w:t>“发包人”)</w:t>
      </w:r>
      <w:r>
        <w:rPr>
          <w:rFonts w:hint="eastAsia" w:ascii="宋体" w:hAnsi="宋体"/>
          <w:color w:val="auto"/>
          <w:highlight w:val="none"/>
        </w:rPr>
        <w:t>与该项目</w:t>
      </w:r>
      <w:r>
        <w:rPr>
          <w:rFonts w:hint="eastAsia" w:ascii="宋体"/>
          <w:color w:val="auto"/>
          <w:highlight w:val="none"/>
          <w:u w:val="single"/>
        </w:rPr>
        <w:t xml:space="preserve">     </w:t>
      </w:r>
      <w:r>
        <w:rPr>
          <w:rFonts w:hint="eastAsia" w:ascii="宋体" w:hAnsi="宋体"/>
          <w:color w:val="auto"/>
          <w:highlight w:val="none"/>
        </w:rPr>
        <w:t>标段的</w:t>
      </w:r>
      <w:r>
        <w:rPr>
          <w:rFonts w:hint="eastAsia" w:ascii="宋体" w:hAnsi="宋体" w:eastAsia="宋体"/>
          <w:color w:val="auto"/>
          <w:highlight w:val="none"/>
          <w:lang w:val="en-US" w:eastAsia="zh-CN"/>
        </w:rPr>
        <w:t>公路养护</w:t>
      </w:r>
      <w:r>
        <w:rPr>
          <w:rFonts w:hint="eastAsia" w:ascii="宋体" w:hAnsi="宋体"/>
          <w:color w:val="auto"/>
          <w:highlight w:val="none"/>
        </w:rPr>
        <w:t>施工单位</w:t>
      </w:r>
      <w:r>
        <w:rPr>
          <w:rFonts w:hint="eastAsia" w:ascii="宋体"/>
          <w:color w:val="auto"/>
          <w:highlight w:val="none"/>
          <w:u w:val="single"/>
        </w:rPr>
        <w:t xml:space="preserve">      </w:t>
      </w:r>
      <w:r>
        <w:rPr>
          <w:rFonts w:hint="eastAsia" w:ascii="宋体"/>
          <w:color w:val="auto"/>
          <w:highlight w:val="none"/>
        </w:rPr>
        <w:t xml:space="preserve"> (</w:t>
      </w:r>
      <w:r>
        <w:rPr>
          <w:rFonts w:hint="eastAsia" w:ascii="宋体" w:hAnsi="宋体"/>
          <w:color w:val="auto"/>
          <w:highlight w:val="none"/>
        </w:rPr>
        <w:t>施工单位名称，以下简称</w:t>
      </w:r>
      <w:r>
        <w:rPr>
          <w:rFonts w:hint="eastAsia" w:ascii="宋体"/>
          <w:color w:val="auto"/>
          <w:highlight w:val="none"/>
        </w:rPr>
        <w:t>“承包人”)</w:t>
      </w:r>
      <w:r>
        <w:rPr>
          <w:rFonts w:hint="eastAsia" w:ascii="宋体" w:hAnsi="宋体"/>
          <w:color w:val="auto"/>
          <w:highlight w:val="none"/>
        </w:rPr>
        <w:t>，特订立如下合同。</w:t>
      </w:r>
    </w:p>
    <w:p w14:paraId="4E4E81A9">
      <w:pPr>
        <w:pStyle w:val="44"/>
        <w:spacing w:line="440" w:lineRule="exact"/>
        <w:ind w:firstLine="420" w:firstLineChars="200"/>
        <w:rPr>
          <w:rFonts w:hint="eastAsia" w:ascii="宋体"/>
          <w:color w:val="auto"/>
          <w:highlight w:val="none"/>
        </w:rPr>
      </w:pPr>
      <w:r>
        <w:rPr>
          <w:rFonts w:hint="eastAsia" w:ascii="宋体"/>
          <w:color w:val="auto"/>
          <w:highlight w:val="none"/>
        </w:rPr>
        <w:t>1.</w:t>
      </w:r>
      <w:r>
        <w:rPr>
          <w:rFonts w:hint="eastAsia" w:ascii="宋体" w:hAnsi="宋体"/>
          <w:color w:val="auto"/>
          <w:highlight w:val="none"/>
        </w:rPr>
        <w:t>发包人和承包人双方的权利和义务</w:t>
      </w:r>
    </w:p>
    <w:p w14:paraId="7BE78B81">
      <w:pPr>
        <w:pStyle w:val="44"/>
        <w:spacing w:line="440" w:lineRule="exact"/>
        <w:ind w:firstLine="420" w:firstLineChars="200"/>
        <w:rPr>
          <w:rFonts w:hint="eastAsia" w:ascii="宋体"/>
          <w:color w:val="auto"/>
          <w:highlight w:val="none"/>
        </w:rPr>
      </w:pPr>
      <w:r>
        <w:rPr>
          <w:rFonts w:hint="eastAsia" w:ascii="宋体"/>
          <w:color w:val="auto"/>
          <w:highlight w:val="none"/>
        </w:rPr>
        <w:t>(1)</w:t>
      </w:r>
      <w:r>
        <w:rPr>
          <w:rFonts w:hint="eastAsia" w:ascii="宋体" w:hAnsi="宋体"/>
          <w:color w:val="auto"/>
          <w:highlight w:val="none"/>
        </w:rPr>
        <w:t>严格遵守党的政策规定和国家有关法律法规及交通运输部</w:t>
      </w:r>
      <w:r>
        <w:rPr>
          <w:rFonts w:hint="eastAsia" w:ascii="宋体" w:hAnsi="宋体" w:eastAsia="宋体"/>
          <w:color w:val="auto"/>
          <w:highlight w:val="none"/>
          <w:lang w:val="en-US" w:eastAsia="zh-CN"/>
        </w:rPr>
        <w:t>和</w:t>
      </w:r>
      <w:r>
        <w:rPr>
          <w:rFonts w:hint="eastAsia" w:ascii="宋体" w:hAnsi="宋体"/>
          <w:color w:val="auto"/>
          <w:highlight w:val="none"/>
        </w:rPr>
        <w:t>浙江省交通运输厅的有关规定。</w:t>
      </w:r>
    </w:p>
    <w:p w14:paraId="73806D40">
      <w:pPr>
        <w:pStyle w:val="44"/>
        <w:spacing w:line="440" w:lineRule="exact"/>
        <w:ind w:firstLine="420" w:firstLineChars="200"/>
        <w:rPr>
          <w:rFonts w:hint="eastAsia" w:ascii="宋体"/>
          <w:color w:val="auto"/>
          <w:highlight w:val="none"/>
        </w:rPr>
      </w:pPr>
      <w:r>
        <w:rPr>
          <w:rFonts w:hint="eastAsia" w:ascii="宋体"/>
          <w:color w:val="auto"/>
          <w:highlight w:val="none"/>
        </w:rPr>
        <w:t>(2)</w:t>
      </w:r>
      <w:r>
        <w:rPr>
          <w:rFonts w:hint="eastAsia" w:ascii="宋体" w:hAnsi="宋体"/>
          <w:color w:val="auto"/>
          <w:highlight w:val="none"/>
        </w:rPr>
        <w:t>严格执行</w:t>
      </w:r>
      <w:r>
        <w:rPr>
          <w:rFonts w:hint="eastAsia" w:ascii="宋体"/>
          <w:color w:val="auto"/>
          <w:highlight w:val="none"/>
          <w:u w:val="single"/>
        </w:rPr>
        <w:t xml:space="preserve">            </w:t>
      </w:r>
      <w:r>
        <w:rPr>
          <w:rFonts w:hint="eastAsia" w:ascii="宋体"/>
          <w:color w:val="auto"/>
          <w:highlight w:val="none"/>
        </w:rPr>
        <w:t>(</w:t>
      </w:r>
      <w:r>
        <w:rPr>
          <w:rFonts w:hint="eastAsia" w:ascii="宋体" w:hAnsi="宋体"/>
          <w:color w:val="auto"/>
          <w:highlight w:val="none"/>
        </w:rPr>
        <w:t>项目名称</w:t>
      </w:r>
      <w:r>
        <w:rPr>
          <w:rFonts w:hint="eastAsia" w:ascii="宋体"/>
          <w:color w:val="auto"/>
          <w:highlight w:val="none"/>
        </w:rPr>
        <w:t>)</w:t>
      </w:r>
      <w:r>
        <w:rPr>
          <w:rFonts w:hint="eastAsia" w:ascii="宋体"/>
          <w:color w:val="auto"/>
          <w:highlight w:val="none"/>
          <w:u w:val="single"/>
        </w:rPr>
        <w:t xml:space="preserve">    </w:t>
      </w:r>
      <w:r>
        <w:rPr>
          <w:rFonts w:hint="eastAsia" w:ascii="宋体" w:hAnsi="宋体"/>
          <w:color w:val="auto"/>
          <w:highlight w:val="none"/>
        </w:rPr>
        <w:t>标段</w:t>
      </w:r>
      <w:r>
        <w:rPr>
          <w:rFonts w:hint="eastAsia" w:ascii="宋体" w:hAnsi="宋体" w:eastAsia="宋体"/>
          <w:color w:val="auto"/>
          <w:highlight w:val="none"/>
          <w:lang w:val="en-US" w:eastAsia="zh-CN"/>
        </w:rPr>
        <w:t>养护工程</w:t>
      </w:r>
      <w:r>
        <w:rPr>
          <w:rFonts w:hint="eastAsia" w:ascii="宋体" w:hAnsi="宋体"/>
          <w:color w:val="auto"/>
          <w:highlight w:val="none"/>
        </w:rPr>
        <w:t>合同文件，自觉按合同办事。</w:t>
      </w:r>
    </w:p>
    <w:p w14:paraId="5E31FA73">
      <w:pPr>
        <w:pStyle w:val="44"/>
        <w:spacing w:line="440" w:lineRule="exact"/>
        <w:ind w:firstLine="420" w:firstLineChars="200"/>
        <w:rPr>
          <w:rFonts w:hint="eastAsia" w:ascii="宋体"/>
          <w:color w:val="auto"/>
          <w:highlight w:val="none"/>
        </w:rPr>
      </w:pPr>
      <w:r>
        <w:rPr>
          <w:rFonts w:hint="eastAsia" w:ascii="宋体"/>
          <w:color w:val="auto"/>
          <w:highlight w:val="none"/>
        </w:rPr>
        <w:t>(3)</w:t>
      </w:r>
      <w:r>
        <w:rPr>
          <w:rFonts w:hint="eastAsia" w:ascii="宋体" w:hAnsi="宋体"/>
          <w:color w:val="auto"/>
          <w:highlight w:val="none"/>
        </w:rPr>
        <w:t>双方的业务活动坚持公开、公正、诚信、透明的原则</w:t>
      </w:r>
      <w:r>
        <w:rPr>
          <w:rFonts w:hint="eastAsia" w:ascii="宋体"/>
          <w:color w:val="auto"/>
          <w:highlight w:val="none"/>
        </w:rPr>
        <w:t>(</w:t>
      </w:r>
      <w:r>
        <w:rPr>
          <w:rFonts w:hint="eastAsia" w:ascii="宋体" w:hAnsi="宋体"/>
          <w:color w:val="auto"/>
          <w:highlight w:val="none"/>
        </w:rPr>
        <w:t>法律认定的商业秘密和合同文件另有规定除外</w:t>
      </w:r>
      <w:r>
        <w:rPr>
          <w:rFonts w:hint="eastAsia" w:ascii="宋体"/>
          <w:color w:val="auto"/>
          <w:highlight w:val="none"/>
        </w:rPr>
        <w:t>)</w:t>
      </w:r>
      <w:r>
        <w:rPr>
          <w:rFonts w:hint="eastAsia" w:ascii="宋体" w:hAnsi="宋体"/>
          <w:color w:val="auto"/>
          <w:highlight w:val="none"/>
        </w:rPr>
        <w:t>，不得损害国家和集体利益，不得违反工程建设管理规章制度。</w:t>
      </w:r>
    </w:p>
    <w:p w14:paraId="2217C859">
      <w:pPr>
        <w:pStyle w:val="44"/>
        <w:spacing w:line="440" w:lineRule="exact"/>
        <w:ind w:firstLine="420" w:firstLineChars="200"/>
        <w:rPr>
          <w:rFonts w:hint="eastAsia" w:ascii="宋体"/>
          <w:color w:val="auto"/>
          <w:highlight w:val="none"/>
        </w:rPr>
      </w:pPr>
      <w:r>
        <w:rPr>
          <w:rFonts w:hint="eastAsia" w:ascii="宋体"/>
          <w:color w:val="auto"/>
          <w:highlight w:val="none"/>
        </w:rPr>
        <w:t>(4)</w:t>
      </w:r>
      <w:r>
        <w:rPr>
          <w:rFonts w:hint="eastAsia" w:ascii="宋体" w:hAnsi="宋体"/>
          <w:color w:val="auto"/>
          <w:highlight w:val="none"/>
        </w:rPr>
        <w:t>建立健全廉政制度，开展廉政教育，设立廉政告示牌，公布举报电话，监督并认真查处违法违纪行为。</w:t>
      </w:r>
    </w:p>
    <w:p w14:paraId="2AE20AB5">
      <w:pPr>
        <w:pStyle w:val="44"/>
        <w:spacing w:line="440" w:lineRule="exact"/>
        <w:ind w:firstLine="420" w:firstLineChars="200"/>
        <w:rPr>
          <w:rFonts w:hint="eastAsia" w:ascii="宋体"/>
          <w:color w:val="auto"/>
          <w:highlight w:val="none"/>
        </w:rPr>
      </w:pPr>
      <w:r>
        <w:rPr>
          <w:rFonts w:hint="eastAsia" w:ascii="宋体"/>
          <w:color w:val="auto"/>
          <w:highlight w:val="none"/>
        </w:rPr>
        <w:t>(5)</w:t>
      </w:r>
      <w:r>
        <w:rPr>
          <w:rFonts w:hint="eastAsia" w:ascii="宋体" w:hAnsi="宋体"/>
          <w:color w:val="auto"/>
          <w:highlight w:val="none"/>
        </w:rPr>
        <w:t>发现对方在业务活动中有违反廉政规定的行为，有及时提醒对方纠正的权利和义务。</w:t>
      </w:r>
    </w:p>
    <w:p w14:paraId="51B0B58C">
      <w:pPr>
        <w:pStyle w:val="44"/>
        <w:spacing w:line="440" w:lineRule="exact"/>
        <w:ind w:firstLine="420" w:firstLineChars="200"/>
        <w:rPr>
          <w:rFonts w:hint="eastAsia" w:ascii="宋体"/>
          <w:color w:val="auto"/>
          <w:highlight w:val="none"/>
        </w:rPr>
      </w:pPr>
      <w:r>
        <w:rPr>
          <w:rFonts w:hint="eastAsia" w:ascii="宋体"/>
          <w:color w:val="auto"/>
          <w:highlight w:val="none"/>
        </w:rPr>
        <w:t>(6)</w:t>
      </w:r>
      <w:r>
        <w:rPr>
          <w:rFonts w:hint="eastAsia" w:ascii="宋体" w:hAnsi="宋体"/>
          <w:color w:val="auto"/>
          <w:highlight w:val="none"/>
        </w:rPr>
        <w:t>发现对方严重违反本合同义务条款的行为，有向其上级有关部门举报、建议给予处理并要求告知处理结果的权利。</w:t>
      </w:r>
    </w:p>
    <w:p w14:paraId="16B026DC">
      <w:pPr>
        <w:pStyle w:val="44"/>
        <w:spacing w:line="440" w:lineRule="exact"/>
        <w:ind w:firstLine="420" w:firstLineChars="200"/>
        <w:rPr>
          <w:rFonts w:hint="eastAsia" w:ascii="宋体"/>
          <w:color w:val="auto"/>
          <w:highlight w:val="none"/>
        </w:rPr>
      </w:pPr>
      <w:r>
        <w:rPr>
          <w:rFonts w:hint="eastAsia" w:ascii="宋体"/>
          <w:color w:val="auto"/>
          <w:highlight w:val="none"/>
        </w:rPr>
        <w:t>2.</w:t>
      </w:r>
      <w:r>
        <w:rPr>
          <w:rFonts w:hint="eastAsia" w:ascii="宋体" w:hAnsi="宋体"/>
          <w:color w:val="auto"/>
          <w:highlight w:val="none"/>
        </w:rPr>
        <w:t>发包人的义务</w:t>
      </w:r>
    </w:p>
    <w:p w14:paraId="0E21638A">
      <w:pPr>
        <w:pStyle w:val="44"/>
        <w:spacing w:line="440" w:lineRule="exact"/>
        <w:ind w:firstLine="420" w:firstLineChars="200"/>
        <w:rPr>
          <w:rFonts w:hint="eastAsia" w:ascii="宋体"/>
          <w:color w:val="auto"/>
          <w:highlight w:val="none"/>
        </w:rPr>
      </w:pPr>
      <w:r>
        <w:rPr>
          <w:rFonts w:hint="eastAsia" w:ascii="宋体"/>
          <w:color w:val="auto"/>
          <w:highlight w:val="none"/>
        </w:rPr>
        <w:t>(1)</w:t>
      </w:r>
      <w:r>
        <w:rPr>
          <w:rFonts w:hint="eastAsia" w:ascii="宋体" w:hAnsi="宋体"/>
          <w:color w:val="auto"/>
          <w:highlight w:val="none"/>
        </w:rPr>
        <w:t>发包人及其工作人员不得索要或接受承包人的礼金、有价证券和贵重物品，不得让承包人报销任何应由发包人或发包人工作人员个人支付的费用等。</w:t>
      </w:r>
    </w:p>
    <w:p w14:paraId="4662E681">
      <w:pPr>
        <w:pStyle w:val="44"/>
        <w:spacing w:line="440" w:lineRule="exact"/>
        <w:ind w:firstLine="420" w:firstLineChars="200"/>
        <w:rPr>
          <w:rFonts w:hint="eastAsia" w:ascii="宋体"/>
          <w:color w:val="auto"/>
          <w:highlight w:val="none"/>
        </w:rPr>
      </w:pPr>
      <w:r>
        <w:rPr>
          <w:rFonts w:hint="eastAsia" w:ascii="宋体"/>
          <w:color w:val="auto"/>
          <w:highlight w:val="none"/>
        </w:rPr>
        <w:t>(2)</w:t>
      </w:r>
      <w:r>
        <w:rPr>
          <w:rFonts w:hint="eastAsia" w:ascii="宋体" w:hAnsi="宋体"/>
          <w:color w:val="auto"/>
          <w:highlight w:val="none"/>
        </w:rPr>
        <w:t>发包人工作人员不得参加承包人安排的超标准宴请和娱乐活动；不得接受承包人提供的通讯工具、交通工具和高档办公用品等。</w:t>
      </w:r>
    </w:p>
    <w:p w14:paraId="4915815C">
      <w:pPr>
        <w:pStyle w:val="44"/>
        <w:spacing w:line="440" w:lineRule="exact"/>
        <w:ind w:firstLine="420" w:firstLineChars="200"/>
        <w:rPr>
          <w:rFonts w:hint="eastAsia" w:ascii="宋体"/>
          <w:color w:val="auto"/>
          <w:highlight w:val="none"/>
        </w:rPr>
      </w:pPr>
      <w:r>
        <w:rPr>
          <w:rFonts w:hint="eastAsia" w:ascii="宋体"/>
          <w:color w:val="auto"/>
          <w:highlight w:val="none"/>
        </w:rPr>
        <w:t>(3)</w:t>
      </w:r>
      <w:r>
        <w:rPr>
          <w:rFonts w:hint="eastAsia" w:ascii="宋体" w:hAnsi="宋体"/>
          <w:color w:val="auto"/>
          <w:highlight w:val="none"/>
        </w:rPr>
        <w:t>发包人及其工作人员不得要求或者接受承包人为其住房装修、婚丧嫁娶活动、配偶子女的工作安排以及出国出境、旅游等提供方便等。</w:t>
      </w:r>
    </w:p>
    <w:p w14:paraId="14312009">
      <w:pPr>
        <w:pStyle w:val="44"/>
        <w:spacing w:line="440" w:lineRule="exact"/>
        <w:ind w:firstLine="420" w:firstLineChars="200"/>
        <w:rPr>
          <w:rFonts w:hint="eastAsia" w:ascii="宋体"/>
          <w:color w:val="auto"/>
          <w:highlight w:val="none"/>
        </w:rPr>
      </w:pPr>
      <w:r>
        <w:rPr>
          <w:rFonts w:hint="eastAsia" w:ascii="宋体"/>
          <w:color w:val="auto"/>
          <w:highlight w:val="none"/>
        </w:rPr>
        <w:t>(4)</w:t>
      </w:r>
      <w:r>
        <w:rPr>
          <w:rFonts w:hint="eastAsia" w:ascii="宋体" w:hAnsi="宋体"/>
          <w:color w:val="auto"/>
          <w:highlight w:val="none"/>
        </w:rPr>
        <w:t>发包人工作人员</w:t>
      </w:r>
      <w:r>
        <w:rPr>
          <w:rFonts w:hint="eastAsia" w:ascii="宋体" w:hAnsi="宋体" w:eastAsia="宋体"/>
          <w:color w:val="auto"/>
          <w:highlight w:val="none"/>
          <w:lang w:val="en-US" w:eastAsia="zh-CN"/>
        </w:rPr>
        <w:t>的</w:t>
      </w:r>
      <w:r>
        <w:rPr>
          <w:rFonts w:hint="eastAsia" w:ascii="宋体" w:hAnsi="宋体"/>
          <w:color w:val="auto"/>
          <w:highlight w:val="none"/>
        </w:rPr>
        <w:t>配偶、子女不得从事与发包人工程有关的材料设备供应、工程分包、劳务等经济活动等。</w:t>
      </w:r>
    </w:p>
    <w:p w14:paraId="6BFA6378">
      <w:pPr>
        <w:pStyle w:val="44"/>
        <w:spacing w:line="440" w:lineRule="exact"/>
        <w:ind w:firstLine="420" w:firstLineChars="200"/>
        <w:rPr>
          <w:rFonts w:hint="eastAsia" w:ascii="宋体"/>
          <w:color w:val="auto"/>
          <w:highlight w:val="none"/>
        </w:rPr>
      </w:pPr>
      <w:r>
        <w:rPr>
          <w:rFonts w:hint="eastAsia" w:ascii="宋体"/>
          <w:color w:val="auto"/>
          <w:highlight w:val="none"/>
        </w:rPr>
        <w:t>(5)</w:t>
      </w:r>
      <w:r>
        <w:rPr>
          <w:rFonts w:hint="eastAsia" w:ascii="宋体" w:hAnsi="宋体"/>
          <w:color w:val="auto"/>
          <w:highlight w:val="none"/>
        </w:rPr>
        <w:t>发包人及其工作人员不得以任何理由向承包人推荐分包单位，不得要求承包人购买合同规定外的材料和设备。</w:t>
      </w:r>
    </w:p>
    <w:p w14:paraId="593409D9">
      <w:pPr>
        <w:pStyle w:val="44"/>
        <w:spacing w:line="440" w:lineRule="exact"/>
        <w:ind w:firstLine="420" w:firstLineChars="200"/>
        <w:rPr>
          <w:rFonts w:hint="eastAsia" w:ascii="宋体"/>
          <w:color w:val="auto"/>
          <w:highlight w:val="none"/>
        </w:rPr>
      </w:pPr>
      <w:r>
        <w:rPr>
          <w:rFonts w:hint="eastAsia" w:ascii="宋体"/>
          <w:color w:val="auto"/>
          <w:highlight w:val="none"/>
        </w:rPr>
        <w:t>3.</w:t>
      </w:r>
      <w:r>
        <w:rPr>
          <w:rFonts w:hint="eastAsia" w:ascii="宋体" w:hAnsi="宋体"/>
          <w:color w:val="auto"/>
          <w:highlight w:val="none"/>
        </w:rPr>
        <w:t>承包人的义务</w:t>
      </w:r>
    </w:p>
    <w:p w14:paraId="3DE67027">
      <w:pPr>
        <w:pStyle w:val="44"/>
        <w:spacing w:line="440" w:lineRule="exact"/>
        <w:ind w:firstLine="420" w:firstLineChars="200"/>
        <w:rPr>
          <w:rFonts w:hint="eastAsia" w:ascii="宋体"/>
          <w:color w:val="auto"/>
          <w:highlight w:val="none"/>
        </w:rPr>
      </w:pPr>
      <w:r>
        <w:rPr>
          <w:rFonts w:hint="eastAsia" w:ascii="宋体"/>
          <w:color w:val="auto"/>
          <w:highlight w:val="none"/>
        </w:rPr>
        <w:t>(1)</w:t>
      </w:r>
      <w:r>
        <w:rPr>
          <w:rFonts w:hint="eastAsia" w:ascii="宋体" w:hAnsi="宋体"/>
          <w:color w:val="auto"/>
          <w:highlight w:val="none"/>
        </w:rPr>
        <w:t>承包人不得以任何理由向发包人及其工作人员行贿受贿或馈赠礼金、有价证券、贵重礼品。</w:t>
      </w:r>
    </w:p>
    <w:p w14:paraId="5F4BC693">
      <w:pPr>
        <w:pStyle w:val="44"/>
        <w:spacing w:line="440" w:lineRule="exact"/>
        <w:ind w:firstLine="420" w:firstLineChars="200"/>
        <w:rPr>
          <w:rFonts w:hint="eastAsia" w:ascii="宋体"/>
          <w:color w:val="auto"/>
          <w:highlight w:val="none"/>
        </w:rPr>
      </w:pPr>
      <w:r>
        <w:rPr>
          <w:rFonts w:hint="eastAsia" w:ascii="宋体"/>
          <w:color w:val="auto"/>
          <w:highlight w:val="none"/>
        </w:rPr>
        <w:t>(2)</w:t>
      </w:r>
      <w:r>
        <w:rPr>
          <w:rFonts w:hint="eastAsia" w:ascii="宋体" w:hAnsi="宋体"/>
          <w:color w:val="auto"/>
          <w:highlight w:val="none"/>
        </w:rPr>
        <w:t>承包人不得以任何名义为发包人及其工作人员报销应由发包人单位或个人支付的任何费用。</w:t>
      </w:r>
    </w:p>
    <w:p w14:paraId="58D1C71D">
      <w:pPr>
        <w:pStyle w:val="44"/>
        <w:spacing w:line="440" w:lineRule="exact"/>
        <w:ind w:firstLine="420" w:firstLineChars="200"/>
        <w:rPr>
          <w:rFonts w:hint="eastAsia" w:ascii="宋体"/>
          <w:color w:val="auto"/>
          <w:highlight w:val="none"/>
        </w:rPr>
      </w:pPr>
      <w:r>
        <w:rPr>
          <w:rFonts w:hint="eastAsia" w:ascii="宋体"/>
          <w:color w:val="auto"/>
          <w:highlight w:val="none"/>
        </w:rPr>
        <w:t>(3)</w:t>
      </w:r>
      <w:r>
        <w:rPr>
          <w:rFonts w:hint="eastAsia" w:ascii="宋体" w:hAnsi="宋体"/>
          <w:color w:val="auto"/>
          <w:highlight w:val="none"/>
        </w:rPr>
        <w:t>承包人不得以任何理由安排发包人工作人员参加超标准宴请及娱乐活动。</w:t>
      </w:r>
    </w:p>
    <w:p w14:paraId="418B551C">
      <w:pPr>
        <w:pStyle w:val="44"/>
        <w:spacing w:line="440" w:lineRule="exact"/>
        <w:ind w:firstLine="420" w:firstLineChars="200"/>
        <w:rPr>
          <w:rFonts w:hint="eastAsia" w:ascii="宋体"/>
          <w:color w:val="auto"/>
          <w:highlight w:val="none"/>
        </w:rPr>
      </w:pPr>
      <w:r>
        <w:rPr>
          <w:rFonts w:hint="eastAsia" w:ascii="宋体"/>
          <w:color w:val="auto"/>
          <w:highlight w:val="none"/>
        </w:rPr>
        <w:t>(4)</w:t>
      </w:r>
      <w:r>
        <w:rPr>
          <w:rFonts w:hint="eastAsia" w:ascii="宋体" w:hAnsi="宋体"/>
          <w:color w:val="auto"/>
          <w:highlight w:val="none"/>
        </w:rPr>
        <w:t>承包人不得为发包人单位和个人购置或提供通讯工具、交通工具和高档办公用品等。</w:t>
      </w:r>
    </w:p>
    <w:p w14:paraId="3ED323C7">
      <w:pPr>
        <w:pStyle w:val="44"/>
        <w:spacing w:line="440" w:lineRule="exact"/>
        <w:ind w:firstLine="420" w:firstLineChars="200"/>
        <w:rPr>
          <w:rFonts w:hint="eastAsia" w:ascii="宋体"/>
          <w:color w:val="auto"/>
          <w:highlight w:val="none"/>
        </w:rPr>
      </w:pPr>
      <w:r>
        <w:rPr>
          <w:rFonts w:hint="eastAsia" w:ascii="宋体"/>
          <w:color w:val="auto"/>
          <w:highlight w:val="none"/>
        </w:rPr>
        <w:t>4.</w:t>
      </w:r>
      <w:r>
        <w:rPr>
          <w:rFonts w:hint="eastAsia" w:ascii="宋体" w:hAnsi="宋体"/>
          <w:color w:val="auto"/>
          <w:highlight w:val="none"/>
        </w:rPr>
        <w:t>违约责任</w:t>
      </w:r>
    </w:p>
    <w:p w14:paraId="7B584951">
      <w:pPr>
        <w:pStyle w:val="44"/>
        <w:spacing w:line="440" w:lineRule="exact"/>
        <w:ind w:firstLine="420" w:firstLineChars="200"/>
        <w:rPr>
          <w:rFonts w:hint="eastAsia" w:ascii="宋体"/>
          <w:color w:val="auto"/>
          <w:highlight w:val="none"/>
        </w:rPr>
      </w:pPr>
      <w:r>
        <w:rPr>
          <w:rFonts w:hint="eastAsia" w:ascii="宋体"/>
          <w:color w:val="auto"/>
          <w:highlight w:val="none"/>
        </w:rPr>
        <w:t>(1)</w:t>
      </w:r>
      <w:r>
        <w:rPr>
          <w:rFonts w:hint="eastAsia" w:ascii="宋体" w:hAnsi="宋体"/>
          <w:color w:val="auto"/>
          <w:highlight w:val="none"/>
        </w:rPr>
        <w:t>发包人及其工作人员违反本合同第</w:t>
      </w:r>
      <w:r>
        <w:rPr>
          <w:rFonts w:hint="eastAsia" w:ascii="宋体"/>
          <w:color w:val="auto"/>
          <w:highlight w:val="none"/>
        </w:rPr>
        <w:t>1</w:t>
      </w:r>
      <w:r>
        <w:rPr>
          <w:rFonts w:hint="eastAsia" w:ascii="宋体" w:hAnsi="宋体"/>
          <w:color w:val="auto"/>
          <w:highlight w:val="none"/>
        </w:rPr>
        <w:t>、</w:t>
      </w:r>
      <w:r>
        <w:rPr>
          <w:rFonts w:hint="eastAsia" w:ascii="宋体"/>
          <w:color w:val="auto"/>
          <w:highlight w:val="none"/>
        </w:rPr>
        <w:t>2</w:t>
      </w:r>
      <w:r>
        <w:rPr>
          <w:rFonts w:hint="eastAsia" w:ascii="宋体" w:hAnsi="宋体"/>
          <w:color w:val="auto"/>
          <w:highlight w:val="none"/>
        </w:rPr>
        <w:t>条，按管理权限，依据有关规定给予党纪、政纪或组织处理；涉嫌犯罪的，移交司法机关追究刑事责任；给承包人单位造成经济损失的，应予以赔偿。</w:t>
      </w:r>
    </w:p>
    <w:p w14:paraId="225B251D">
      <w:pPr>
        <w:pStyle w:val="44"/>
        <w:spacing w:line="440" w:lineRule="exact"/>
        <w:ind w:firstLine="420" w:firstLineChars="200"/>
        <w:rPr>
          <w:rFonts w:hint="eastAsia" w:ascii="宋体"/>
          <w:color w:val="auto"/>
          <w:highlight w:val="none"/>
        </w:rPr>
      </w:pPr>
      <w:r>
        <w:rPr>
          <w:rFonts w:hint="eastAsia" w:ascii="宋体"/>
          <w:color w:val="auto"/>
          <w:highlight w:val="none"/>
        </w:rPr>
        <w:t>(2)</w:t>
      </w:r>
      <w:r>
        <w:rPr>
          <w:rFonts w:hint="eastAsia" w:ascii="宋体" w:hAnsi="宋体"/>
          <w:color w:val="auto"/>
          <w:highlight w:val="none"/>
        </w:rPr>
        <w:t>承包人及其工作人员违反本合同第</w:t>
      </w:r>
      <w:r>
        <w:rPr>
          <w:rFonts w:hint="eastAsia" w:ascii="宋体"/>
          <w:color w:val="auto"/>
          <w:highlight w:val="none"/>
        </w:rPr>
        <w:t>1</w:t>
      </w:r>
      <w:r>
        <w:rPr>
          <w:rFonts w:hint="eastAsia" w:ascii="宋体" w:hAnsi="宋体"/>
          <w:color w:val="auto"/>
          <w:highlight w:val="none"/>
        </w:rPr>
        <w:t>、</w:t>
      </w:r>
      <w:r>
        <w:rPr>
          <w:rFonts w:hint="eastAsia" w:ascii="宋体"/>
          <w:color w:val="auto"/>
          <w:highlight w:val="none"/>
        </w:rPr>
        <w:t>3</w:t>
      </w:r>
      <w:r>
        <w:rPr>
          <w:rFonts w:hint="eastAsia" w:ascii="宋体" w:hAnsi="宋体"/>
          <w:color w:val="auto"/>
          <w:highlight w:val="none"/>
        </w:rPr>
        <w:t>条，按管理权限，依据有关规定给予党纪、政纪或组织处理；给发包人单位造成经济损失的，应予以赔偿；情节严重的，发包人建议交通</w:t>
      </w:r>
      <w:r>
        <w:rPr>
          <w:rFonts w:hint="eastAsia" w:ascii="宋体" w:hAnsi="宋体" w:eastAsia="宋体"/>
          <w:color w:val="auto"/>
          <w:highlight w:val="none"/>
          <w:lang w:val="en-US" w:eastAsia="zh-CN"/>
        </w:rPr>
        <w:t>工程建设</w:t>
      </w:r>
      <w:r>
        <w:rPr>
          <w:rFonts w:hint="eastAsia" w:ascii="宋体" w:hAnsi="宋体"/>
          <w:color w:val="auto"/>
          <w:highlight w:val="none"/>
        </w:rPr>
        <w:t>主管部门给予承包人一至三年内不得进入其主管的</w:t>
      </w:r>
      <w:r>
        <w:rPr>
          <w:rFonts w:hint="eastAsia" w:ascii="宋体" w:hAnsi="宋体" w:eastAsia="宋体"/>
          <w:color w:val="auto"/>
          <w:highlight w:val="none"/>
          <w:lang w:val="en-US" w:eastAsia="zh-CN"/>
        </w:rPr>
        <w:t>交通工程</w:t>
      </w:r>
      <w:r>
        <w:rPr>
          <w:rFonts w:hint="eastAsia" w:ascii="宋体" w:hAnsi="宋体"/>
          <w:color w:val="auto"/>
          <w:highlight w:val="none"/>
        </w:rPr>
        <w:t>建设市场的处罚。</w:t>
      </w:r>
    </w:p>
    <w:p w14:paraId="41D44DA3">
      <w:pPr>
        <w:pStyle w:val="44"/>
        <w:spacing w:line="440" w:lineRule="exact"/>
        <w:ind w:firstLine="420" w:firstLineChars="200"/>
        <w:rPr>
          <w:rFonts w:hint="eastAsia" w:ascii="宋体"/>
          <w:color w:val="auto"/>
          <w:highlight w:val="none"/>
        </w:rPr>
      </w:pPr>
      <w:r>
        <w:rPr>
          <w:rFonts w:hint="eastAsia" w:ascii="宋体"/>
          <w:color w:val="auto"/>
          <w:highlight w:val="none"/>
        </w:rPr>
        <w:t>5.</w:t>
      </w:r>
      <w:r>
        <w:rPr>
          <w:rFonts w:hint="eastAsia" w:ascii="宋体" w:hAnsi="宋体"/>
          <w:color w:val="auto"/>
          <w:highlight w:val="none"/>
        </w:rPr>
        <w:t>双方约定：本合同由双方上级单位的纪检监察</w:t>
      </w:r>
      <w:r>
        <w:rPr>
          <w:rFonts w:hint="eastAsia" w:ascii="宋体" w:hAnsi="宋体" w:eastAsia="宋体"/>
          <w:color w:val="auto"/>
          <w:highlight w:val="none"/>
          <w:lang w:val="en-US" w:eastAsia="zh-CN"/>
        </w:rPr>
        <w:t>机关</w:t>
      </w:r>
      <w:r>
        <w:rPr>
          <w:rFonts w:hint="eastAsia" w:ascii="宋体" w:hAnsi="宋体"/>
          <w:color w:val="auto"/>
          <w:highlight w:val="none"/>
        </w:rPr>
        <w:t>负责监督执行。由发包人或发包人上级单位的纪检监察</w:t>
      </w:r>
      <w:r>
        <w:rPr>
          <w:rFonts w:hint="eastAsia" w:ascii="宋体" w:hAnsi="宋体" w:eastAsia="宋体"/>
          <w:color w:val="auto"/>
          <w:highlight w:val="none"/>
          <w:lang w:val="en-US" w:eastAsia="zh-CN"/>
        </w:rPr>
        <w:t>机关</w:t>
      </w:r>
      <w:r>
        <w:rPr>
          <w:rFonts w:hint="eastAsia" w:ascii="宋体" w:hAnsi="宋体"/>
          <w:color w:val="auto"/>
          <w:highlight w:val="none"/>
        </w:rPr>
        <w:t>约请承包人或承包人上级单位纪检监察</w:t>
      </w:r>
      <w:r>
        <w:rPr>
          <w:rFonts w:hint="eastAsia" w:ascii="宋体" w:hAnsi="宋体" w:eastAsia="宋体"/>
          <w:color w:val="auto"/>
          <w:highlight w:val="none"/>
          <w:lang w:val="en-US" w:eastAsia="zh-CN"/>
        </w:rPr>
        <w:t>机关</w:t>
      </w:r>
      <w:r>
        <w:rPr>
          <w:rFonts w:hint="eastAsia" w:ascii="宋体" w:hAnsi="宋体"/>
          <w:color w:val="auto"/>
          <w:highlight w:val="none"/>
        </w:rPr>
        <w:t>对本合同执行情况进行检查，提出在本合同规定范围内的裁定意见。</w:t>
      </w:r>
    </w:p>
    <w:p w14:paraId="1F1C555E">
      <w:pPr>
        <w:pStyle w:val="44"/>
        <w:spacing w:line="440" w:lineRule="exact"/>
        <w:ind w:firstLine="420" w:firstLineChars="200"/>
        <w:rPr>
          <w:rFonts w:hint="eastAsia" w:ascii="宋体"/>
          <w:color w:val="auto"/>
          <w:highlight w:val="none"/>
        </w:rPr>
      </w:pPr>
      <w:r>
        <w:rPr>
          <w:rFonts w:hint="eastAsia" w:ascii="宋体"/>
          <w:color w:val="auto"/>
          <w:highlight w:val="none"/>
        </w:rPr>
        <w:t>6.</w:t>
      </w:r>
      <w:r>
        <w:rPr>
          <w:rFonts w:hint="eastAsia" w:ascii="宋体" w:hAnsi="宋体"/>
          <w:color w:val="auto"/>
          <w:highlight w:val="none"/>
        </w:rPr>
        <w:t>本合同有效期为发包人和承包人签署之日起至该工程项目竣工验收后止。</w:t>
      </w:r>
    </w:p>
    <w:p w14:paraId="07EC8961">
      <w:pPr>
        <w:pStyle w:val="44"/>
        <w:spacing w:line="440" w:lineRule="exact"/>
        <w:ind w:firstLine="420" w:firstLineChars="200"/>
        <w:rPr>
          <w:rFonts w:hint="eastAsia" w:ascii="宋体"/>
          <w:color w:val="auto"/>
          <w:highlight w:val="none"/>
        </w:rPr>
      </w:pPr>
      <w:r>
        <w:rPr>
          <w:rFonts w:hint="eastAsia" w:ascii="宋体"/>
          <w:color w:val="auto"/>
          <w:highlight w:val="none"/>
        </w:rPr>
        <w:t>7.</w:t>
      </w:r>
      <w:r>
        <w:rPr>
          <w:rFonts w:hint="eastAsia" w:ascii="宋体" w:hAnsi="宋体"/>
          <w:color w:val="auto"/>
          <w:highlight w:val="none"/>
        </w:rPr>
        <w:t>本合同作为</w:t>
      </w:r>
      <w:r>
        <w:rPr>
          <w:rFonts w:hint="eastAsia" w:ascii="宋体"/>
          <w:color w:val="auto"/>
          <w:highlight w:val="none"/>
          <w:u w:val="single"/>
        </w:rPr>
        <w:t xml:space="preserve">               </w:t>
      </w:r>
      <w:r>
        <w:rPr>
          <w:rFonts w:hint="eastAsia" w:ascii="宋体"/>
          <w:color w:val="auto"/>
          <w:highlight w:val="none"/>
        </w:rPr>
        <w:t xml:space="preserve"> (</w:t>
      </w:r>
      <w:r>
        <w:rPr>
          <w:rFonts w:hint="eastAsia" w:ascii="宋体" w:hAnsi="宋体"/>
          <w:color w:val="auto"/>
          <w:highlight w:val="none"/>
        </w:rPr>
        <w:t>项目名称</w:t>
      </w:r>
      <w:r>
        <w:rPr>
          <w:rFonts w:hint="eastAsia" w:ascii="宋体"/>
          <w:color w:val="auto"/>
          <w:highlight w:val="none"/>
        </w:rPr>
        <w:t>)</w:t>
      </w:r>
      <w:r>
        <w:rPr>
          <w:rFonts w:hint="eastAsia" w:ascii="宋体"/>
          <w:color w:val="auto"/>
          <w:highlight w:val="none"/>
          <w:u w:val="single"/>
        </w:rPr>
        <w:t xml:space="preserve">     </w:t>
      </w:r>
      <w:r>
        <w:rPr>
          <w:rFonts w:hint="eastAsia" w:ascii="宋体" w:hAnsi="宋体"/>
          <w:color w:val="auto"/>
          <w:highlight w:val="none"/>
        </w:rPr>
        <w:t>标段</w:t>
      </w:r>
      <w:r>
        <w:rPr>
          <w:rFonts w:hint="eastAsia" w:ascii="宋体" w:hAnsi="宋体" w:eastAsia="宋体"/>
          <w:color w:val="auto"/>
          <w:highlight w:val="none"/>
          <w:lang w:val="en-US" w:eastAsia="zh-CN"/>
        </w:rPr>
        <w:t>公路养护工程</w:t>
      </w:r>
      <w:r>
        <w:rPr>
          <w:rFonts w:hint="eastAsia" w:ascii="宋体" w:hAnsi="宋体"/>
          <w:color w:val="auto"/>
          <w:highlight w:val="none"/>
        </w:rPr>
        <w:t>合同的附件，与工程施工合同具有同等的法律效力，经合同双方签署后立即生效。</w:t>
      </w:r>
    </w:p>
    <w:p w14:paraId="2133D4EB">
      <w:pPr>
        <w:pStyle w:val="44"/>
        <w:spacing w:line="440" w:lineRule="exact"/>
        <w:ind w:firstLine="420" w:firstLineChars="200"/>
        <w:rPr>
          <w:rFonts w:hint="eastAsia" w:ascii="宋体"/>
          <w:color w:val="auto"/>
          <w:highlight w:val="none"/>
        </w:rPr>
      </w:pPr>
      <w:r>
        <w:rPr>
          <w:rFonts w:hint="eastAsia" w:ascii="宋体"/>
          <w:color w:val="auto"/>
          <w:highlight w:val="none"/>
        </w:rPr>
        <w:t>8.</w:t>
      </w:r>
      <w:r>
        <w:rPr>
          <w:rFonts w:hint="eastAsia" w:ascii="宋体" w:hAnsi="宋体"/>
          <w:color w:val="auto"/>
          <w:highlight w:val="none"/>
        </w:rPr>
        <w:t>本合同一式四份，由发包人和承包人各执一份，送交发包人和承包人的监督单位各一份。</w:t>
      </w:r>
    </w:p>
    <w:p w14:paraId="45005190">
      <w:pPr>
        <w:pStyle w:val="44"/>
        <w:spacing w:line="440" w:lineRule="exact"/>
        <w:ind w:firstLine="420" w:firstLineChars="200"/>
        <w:rPr>
          <w:rFonts w:hint="eastAsia" w:ascii="宋体"/>
          <w:color w:val="auto"/>
          <w:highlight w:val="none"/>
        </w:rPr>
      </w:pPr>
      <w:r>
        <w:rPr>
          <w:rFonts w:hint="eastAsia" w:ascii="宋体"/>
          <w:color w:val="auto"/>
          <w:highlight w:val="none"/>
        </w:rPr>
        <w:t xml:space="preserve"> </w:t>
      </w:r>
    </w:p>
    <w:p w14:paraId="2EF7933C">
      <w:pPr>
        <w:pStyle w:val="44"/>
        <w:spacing w:line="440" w:lineRule="exact"/>
        <w:rPr>
          <w:rFonts w:hint="eastAsia" w:ascii="宋体"/>
          <w:color w:val="auto"/>
          <w:highlight w:val="none"/>
        </w:rPr>
      </w:pPr>
      <w:r>
        <w:rPr>
          <w:rFonts w:hint="eastAsia" w:ascii="宋体" w:hAnsi="宋体"/>
          <w:color w:val="auto"/>
          <w:highlight w:val="none"/>
        </w:rPr>
        <w:t>发包人：</w:t>
      </w:r>
      <w:r>
        <w:rPr>
          <w:rFonts w:hint="eastAsia" w:ascii="宋体"/>
          <w:color w:val="auto"/>
          <w:highlight w:val="none"/>
          <w:u w:val="single"/>
        </w:rPr>
        <w:t xml:space="preserve">                  </w:t>
      </w:r>
      <w:r>
        <w:rPr>
          <w:rFonts w:hint="eastAsia" w:ascii="宋体"/>
          <w:color w:val="auto"/>
          <w:highlight w:val="none"/>
        </w:rPr>
        <w:t xml:space="preserve"> (</w:t>
      </w:r>
      <w:r>
        <w:rPr>
          <w:rFonts w:hint="eastAsia" w:ascii="宋体" w:hAnsi="宋体"/>
          <w:color w:val="auto"/>
          <w:highlight w:val="none"/>
        </w:rPr>
        <w:t>盖单位章</w:t>
      </w:r>
      <w:r>
        <w:rPr>
          <w:rFonts w:hint="eastAsia" w:ascii="宋体"/>
          <w:color w:val="auto"/>
          <w:highlight w:val="none"/>
        </w:rPr>
        <w:t xml:space="preserve">)     </w:t>
      </w:r>
      <w:r>
        <w:rPr>
          <w:rFonts w:hint="eastAsia" w:ascii="宋体" w:hAnsi="宋体"/>
          <w:color w:val="auto"/>
          <w:highlight w:val="none"/>
        </w:rPr>
        <w:t>承包人：</w:t>
      </w:r>
      <w:r>
        <w:rPr>
          <w:rFonts w:hint="eastAsia" w:ascii="宋体"/>
          <w:color w:val="auto"/>
          <w:highlight w:val="none"/>
          <w:u w:val="single"/>
        </w:rPr>
        <w:t xml:space="preserve">                  </w:t>
      </w:r>
      <w:r>
        <w:rPr>
          <w:rFonts w:hint="eastAsia" w:ascii="宋体"/>
          <w:color w:val="auto"/>
          <w:highlight w:val="none"/>
        </w:rPr>
        <w:t xml:space="preserve"> (</w:t>
      </w:r>
      <w:r>
        <w:rPr>
          <w:rFonts w:hint="eastAsia" w:ascii="宋体" w:hAnsi="宋体"/>
          <w:color w:val="auto"/>
          <w:highlight w:val="none"/>
        </w:rPr>
        <w:t>盖单位章</w:t>
      </w:r>
      <w:r>
        <w:rPr>
          <w:rFonts w:hint="eastAsia" w:ascii="宋体"/>
          <w:color w:val="auto"/>
          <w:highlight w:val="none"/>
        </w:rPr>
        <w:t>)</w:t>
      </w:r>
    </w:p>
    <w:p w14:paraId="265707B7">
      <w:pPr>
        <w:pStyle w:val="44"/>
        <w:spacing w:line="440" w:lineRule="exact"/>
        <w:rPr>
          <w:rFonts w:hint="eastAsia" w:ascii="宋体"/>
          <w:color w:val="auto"/>
          <w:highlight w:val="none"/>
        </w:rPr>
      </w:pPr>
      <w:r>
        <w:rPr>
          <w:rFonts w:hint="eastAsia" w:ascii="宋体" w:hAnsi="宋体"/>
          <w:color w:val="auto"/>
          <w:highlight w:val="none"/>
        </w:rPr>
        <w:t>法定代表人或其委托代理人：</w:t>
      </w:r>
      <w:r>
        <w:rPr>
          <w:rFonts w:hint="eastAsia" w:ascii="宋体"/>
          <w:color w:val="auto"/>
          <w:highlight w:val="none"/>
          <w:u w:val="single"/>
        </w:rPr>
        <w:t xml:space="preserve">     </w:t>
      </w:r>
      <w:r>
        <w:rPr>
          <w:rFonts w:hint="eastAsia" w:ascii="宋体"/>
          <w:color w:val="auto"/>
          <w:highlight w:val="none"/>
        </w:rPr>
        <w:t>(</w:t>
      </w:r>
      <w:r>
        <w:rPr>
          <w:rFonts w:hint="eastAsia" w:ascii="宋体" w:hAnsi="宋体"/>
          <w:color w:val="auto"/>
          <w:highlight w:val="none"/>
        </w:rPr>
        <w:t>签字</w:t>
      </w:r>
      <w:r>
        <w:rPr>
          <w:rFonts w:hint="eastAsia" w:ascii="宋体"/>
          <w:color w:val="auto"/>
          <w:highlight w:val="none"/>
        </w:rPr>
        <w:t xml:space="preserve">)     </w:t>
      </w:r>
      <w:r>
        <w:rPr>
          <w:rFonts w:hint="eastAsia" w:ascii="宋体" w:hAnsi="宋体"/>
          <w:color w:val="auto"/>
          <w:highlight w:val="none"/>
        </w:rPr>
        <w:t>法定代表人或其委托代理人：</w:t>
      </w:r>
      <w:r>
        <w:rPr>
          <w:rFonts w:hint="eastAsia" w:ascii="宋体"/>
          <w:color w:val="auto"/>
          <w:highlight w:val="none"/>
          <w:u w:val="single"/>
        </w:rPr>
        <w:t xml:space="preserve">     </w:t>
      </w:r>
      <w:r>
        <w:rPr>
          <w:rFonts w:hint="eastAsia" w:ascii="宋体"/>
          <w:color w:val="auto"/>
          <w:highlight w:val="none"/>
        </w:rPr>
        <w:t>(</w:t>
      </w:r>
      <w:r>
        <w:rPr>
          <w:rFonts w:hint="eastAsia" w:ascii="宋体" w:hAnsi="宋体"/>
          <w:color w:val="auto"/>
          <w:highlight w:val="none"/>
        </w:rPr>
        <w:t>签字</w:t>
      </w:r>
      <w:r>
        <w:rPr>
          <w:rFonts w:hint="eastAsia" w:ascii="宋体"/>
          <w:color w:val="auto"/>
          <w:highlight w:val="none"/>
        </w:rPr>
        <w:t>)</w:t>
      </w:r>
    </w:p>
    <w:p w14:paraId="661A4159">
      <w:pPr>
        <w:pStyle w:val="44"/>
        <w:spacing w:line="440" w:lineRule="exact"/>
        <w:ind w:firstLine="1890" w:firstLineChars="900"/>
        <w:rPr>
          <w:rFonts w:hint="eastAsia" w:ascii="宋体"/>
          <w:color w:val="auto"/>
          <w:highlight w:val="none"/>
        </w:rPr>
      </w:pPr>
      <w:r>
        <w:rPr>
          <w:rFonts w:hint="eastAsia" w:ascii="宋体"/>
          <w:color w:val="auto"/>
          <w:highlight w:val="none"/>
          <w:u w:val="single"/>
        </w:rPr>
        <w:t xml:space="preserve">     </w:t>
      </w:r>
      <w:r>
        <w:rPr>
          <w:rFonts w:hint="eastAsia" w:ascii="宋体" w:hAnsi="宋体"/>
          <w:color w:val="auto"/>
          <w:highlight w:val="none"/>
        </w:rPr>
        <w:t>年</w:t>
      </w:r>
      <w:r>
        <w:rPr>
          <w:rFonts w:hint="eastAsia" w:ascii="宋体"/>
          <w:color w:val="auto"/>
          <w:highlight w:val="none"/>
          <w:u w:val="single"/>
        </w:rPr>
        <w:t xml:space="preserve">   </w:t>
      </w:r>
      <w:r>
        <w:rPr>
          <w:rFonts w:hint="eastAsia" w:ascii="宋体" w:hAnsi="宋体"/>
          <w:color w:val="auto"/>
          <w:highlight w:val="none"/>
        </w:rPr>
        <w:t>月</w:t>
      </w:r>
      <w:r>
        <w:rPr>
          <w:rFonts w:hint="eastAsia" w:ascii="宋体"/>
          <w:color w:val="auto"/>
          <w:highlight w:val="none"/>
          <w:u w:val="single"/>
        </w:rPr>
        <w:t xml:space="preserve">    </w:t>
      </w:r>
      <w:r>
        <w:rPr>
          <w:rFonts w:hint="eastAsia" w:ascii="宋体" w:hAnsi="宋体"/>
          <w:color w:val="auto"/>
          <w:highlight w:val="none"/>
        </w:rPr>
        <w:t>日</w:t>
      </w:r>
      <w:r>
        <w:rPr>
          <w:rFonts w:hint="eastAsia" w:ascii="宋体"/>
          <w:color w:val="auto"/>
          <w:highlight w:val="none"/>
        </w:rPr>
        <w:t xml:space="preserve">                      </w:t>
      </w:r>
      <w:r>
        <w:rPr>
          <w:rFonts w:hint="eastAsia" w:ascii="宋体"/>
          <w:color w:val="auto"/>
          <w:highlight w:val="none"/>
          <w:u w:val="single"/>
        </w:rPr>
        <w:t xml:space="preserve">     </w:t>
      </w:r>
      <w:r>
        <w:rPr>
          <w:rFonts w:hint="eastAsia" w:ascii="宋体" w:hAnsi="宋体"/>
          <w:color w:val="auto"/>
          <w:highlight w:val="none"/>
        </w:rPr>
        <w:t>年</w:t>
      </w:r>
      <w:r>
        <w:rPr>
          <w:rFonts w:hint="eastAsia" w:ascii="宋体"/>
          <w:color w:val="auto"/>
          <w:highlight w:val="none"/>
          <w:u w:val="single"/>
        </w:rPr>
        <w:t xml:space="preserve">   </w:t>
      </w:r>
      <w:r>
        <w:rPr>
          <w:rFonts w:hint="eastAsia" w:ascii="宋体" w:hAnsi="宋体"/>
          <w:color w:val="auto"/>
          <w:highlight w:val="none"/>
        </w:rPr>
        <w:t>月</w:t>
      </w:r>
      <w:r>
        <w:rPr>
          <w:rFonts w:hint="eastAsia" w:ascii="宋体"/>
          <w:color w:val="auto"/>
          <w:highlight w:val="none"/>
          <w:u w:val="single"/>
        </w:rPr>
        <w:t xml:space="preserve">    </w:t>
      </w:r>
      <w:r>
        <w:rPr>
          <w:rFonts w:hint="eastAsia" w:ascii="宋体" w:hAnsi="宋体"/>
          <w:color w:val="auto"/>
          <w:highlight w:val="none"/>
        </w:rPr>
        <w:t>日</w:t>
      </w:r>
    </w:p>
    <w:p w14:paraId="2A846CA8">
      <w:pPr>
        <w:pStyle w:val="44"/>
        <w:spacing w:line="440" w:lineRule="exact"/>
        <w:rPr>
          <w:rFonts w:hint="eastAsia" w:ascii="宋体"/>
          <w:color w:val="auto"/>
          <w:highlight w:val="none"/>
        </w:rPr>
      </w:pPr>
      <w:r>
        <w:rPr>
          <w:rFonts w:hint="eastAsia" w:ascii="宋体" w:hAnsi="宋体"/>
          <w:color w:val="auto"/>
          <w:highlight w:val="none"/>
        </w:rPr>
        <w:t>发包人监督单位：</w:t>
      </w:r>
      <w:r>
        <w:rPr>
          <w:rFonts w:hint="eastAsia" w:ascii="宋体"/>
          <w:color w:val="auto"/>
          <w:highlight w:val="none"/>
        </w:rPr>
        <w:t xml:space="preserve"> </w:t>
      </w:r>
      <w:r>
        <w:rPr>
          <w:rFonts w:hint="eastAsia" w:ascii="宋体" w:eastAsia="宋体"/>
          <w:color w:val="auto"/>
          <w:highlight w:val="none"/>
          <w:u w:val="single"/>
          <w:lang w:eastAsia="zh-CN"/>
        </w:rPr>
        <w:t>（</w:t>
      </w:r>
      <w:r>
        <w:rPr>
          <w:rFonts w:hint="eastAsia" w:ascii="宋体" w:eastAsia="宋体"/>
          <w:color w:val="auto"/>
          <w:highlight w:val="none"/>
          <w:u w:val="single"/>
          <w:lang w:val="en-US" w:eastAsia="zh-CN"/>
        </w:rPr>
        <w:t>全称</w:t>
      </w:r>
      <w:r>
        <w:rPr>
          <w:rFonts w:hint="eastAsia" w:ascii="宋体" w:eastAsia="宋体"/>
          <w:color w:val="auto"/>
          <w:highlight w:val="none"/>
          <w:u w:val="single"/>
          <w:lang w:eastAsia="zh-CN"/>
        </w:rPr>
        <w:t>）（</w:t>
      </w:r>
      <w:r>
        <w:rPr>
          <w:rFonts w:hint="eastAsia" w:ascii="宋体" w:eastAsia="宋体"/>
          <w:color w:val="auto"/>
          <w:highlight w:val="none"/>
          <w:u w:val="single"/>
          <w:lang w:val="en-US" w:eastAsia="zh-CN"/>
        </w:rPr>
        <w:t>盖单位章</w:t>
      </w:r>
      <w:r>
        <w:rPr>
          <w:rFonts w:hint="eastAsia" w:ascii="宋体" w:eastAsia="宋体"/>
          <w:color w:val="auto"/>
          <w:highlight w:val="none"/>
          <w:u w:val="single"/>
          <w:lang w:eastAsia="zh-CN"/>
        </w:rPr>
        <w:t>）</w:t>
      </w:r>
      <w:r>
        <w:rPr>
          <w:rFonts w:hint="eastAsia" w:ascii="宋体"/>
          <w:color w:val="auto"/>
          <w:highlight w:val="none"/>
        </w:rPr>
        <w:t xml:space="preserve">   </w:t>
      </w:r>
      <w:r>
        <w:rPr>
          <w:rFonts w:hint="eastAsia" w:ascii="宋体" w:eastAsia="宋体"/>
          <w:color w:val="auto"/>
          <w:highlight w:val="none"/>
          <w:lang w:val="en-US" w:eastAsia="zh-CN"/>
        </w:rPr>
        <w:t xml:space="preserve">   </w:t>
      </w:r>
      <w:r>
        <w:rPr>
          <w:rFonts w:hint="eastAsia" w:ascii="宋体" w:hAnsi="宋体"/>
          <w:color w:val="auto"/>
          <w:highlight w:val="none"/>
        </w:rPr>
        <w:t>承包人监督单位：</w:t>
      </w:r>
      <w:r>
        <w:rPr>
          <w:rFonts w:hint="eastAsia" w:ascii="宋体"/>
          <w:color w:val="auto"/>
          <w:highlight w:val="none"/>
        </w:rPr>
        <w:t xml:space="preserve"> </w:t>
      </w:r>
      <w:r>
        <w:rPr>
          <w:rFonts w:hint="eastAsia" w:ascii="宋体" w:eastAsia="宋体"/>
          <w:color w:val="auto"/>
          <w:highlight w:val="none"/>
          <w:u w:val="single"/>
          <w:lang w:eastAsia="zh-CN"/>
        </w:rPr>
        <w:t>（</w:t>
      </w:r>
      <w:r>
        <w:rPr>
          <w:rFonts w:hint="eastAsia" w:ascii="宋体" w:eastAsia="宋体"/>
          <w:color w:val="auto"/>
          <w:highlight w:val="none"/>
          <w:u w:val="single"/>
          <w:lang w:val="en-US" w:eastAsia="zh-CN"/>
        </w:rPr>
        <w:t>全称</w:t>
      </w:r>
      <w:r>
        <w:rPr>
          <w:rFonts w:hint="eastAsia" w:ascii="宋体" w:eastAsia="宋体"/>
          <w:color w:val="auto"/>
          <w:highlight w:val="none"/>
          <w:u w:val="single"/>
          <w:lang w:eastAsia="zh-CN"/>
        </w:rPr>
        <w:t>）（</w:t>
      </w:r>
      <w:r>
        <w:rPr>
          <w:rFonts w:hint="eastAsia" w:ascii="宋体" w:eastAsia="宋体"/>
          <w:color w:val="auto"/>
          <w:highlight w:val="none"/>
          <w:u w:val="single"/>
          <w:lang w:val="en-US" w:eastAsia="zh-CN"/>
        </w:rPr>
        <w:t>盖单位章</w:t>
      </w:r>
      <w:r>
        <w:rPr>
          <w:rFonts w:hint="eastAsia" w:ascii="宋体" w:eastAsia="宋体"/>
          <w:color w:val="auto"/>
          <w:highlight w:val="none"/>
          <w:u w:val="single"/>
          <w:lang w:eastAsia="zh-CN"/>
        </w:rPr>
        <w:t>）</w:t>
      </w:r>
    </w:p>
    <w:p w14:paraId="3A4DA850">
      <w:pPr>
        <w:pStyle w:val="44"/>
        <w:keepNext w:val="0"/>
        <w:keepLines w:val="0"/>
        <w:pageBreakBefore w:val="0"/>
        <w:widowControl w:val="0"/>
        <w:kinsoku/>
        <w:wordWrap/>
        <w:overflowPunct/>
        <w:topLinePunct w:val="0"/>
        <w:autoSpaceDE/>
        <w:autoSpaceDN/>
        <w:bidi w:val="0"/>
        <w:adjustRightInd/>
        <w:snapToGrid/>
        <w:spacing w:line="420" w:lineRule="exact"/>
        <w:textAlignment w:val="auto"/>
        <w:outlineLvl w:val="3"/>
        <w:rPr>
          <w:rFonts w:hint="eastAsia" w:ascii="黑体" w:eastAsia="黑体"/>
          <w:color w:val="auto"/>
          <w:sz w:val="28"/>
          <w:szCs w:val="28"/>
          <w:highlight w:val="none"/>
        </w:rPr>
      </w:pPr>
      <w:r>
        <w:rPr>
          <w:rFonts w:hint="eastAsia" w:ascii="宋体"/>
          <w:color w:val="auto"/>
          <w:sz w:val="24"/>
          <w:szCs w:val="24"/>
          <w:highlight w:val="none"/>
        </w:rPr>
        <w:br w:type="page"/>
      </w:r>
      <w:r>
        <w:rPr>
          <w:rFonts w:hint="eastAsia" w:ascii="黑体" w:hAnsi="黑体" w:eastAsia="黑体"/>
          <w:color w:val="auto"/>
          <w:sz w:val="28"/>
          <w:szCs w:val="28"/>
          <w:highlight w:val="none"/>
        </w:rPr>
        <w:t>附件三</w:t>
      </w:r>
      <w:r>
        <w:rPr>
          <w:rFonts w:hint="eastAsia" w:ascii="黑体" w:eastAsia="黑体"/>
          <w:color w:val="auto"/>
          <w:sz w:val="28"/>
          <w:szCs w:val="28"/>
          <w:highlight w:val="none"/>
        </w:rPr>
        <w:t xml:space="preserve">  </w:t>
      </w:r>
      <w:r>
        <w:rPr>
          <w:rFonts w:hint="eastAsia" w:ascii="黑体" w:hAnsi="黑体" w:eastAsia="黑体"/>
          <w:color w:val="auto"/>
          <w:sz w:val="28"/>
          <w:szCs w:val="28"/>
          <w:highlight w:val="none"/>
        </w:rPr>
        <w:t>安全生产合同</w:t>
      </w:r>
    </w:p>
    <w:p w14:paraId="2579D068">
      <w:pPr>
        <w:pStyle w:val="44"/>
        <w:spacing w:line="420" w:lineRule="exact"/>
        <w:jc w:val="center"/>
        <w:rPr>
          <w:rFonts w:hint="eastAsia" w:ascii="黑体" w:eastAsia="黑体"/>
          <w:color w:val="auto"/>
          <w:sz w:val="28"/>
          <w:szCs w:val="28"/>
          <w:highlight w:val="none"/>
        </w:rPr>
      </w:pPr>
      <w:r>
        <w:rPr>
          <w:rFonts w:hint="eastAsia" w:ascii="黑体" w:hAnsi="黑体" w:eastAsia="黑体"/>
          <w:color w:val="auto"/>
          <w:sz w:val="28"/>
          <w:szCs w:val="28"/>
          <w:highlight w:val="none"/>
        </w:rPr>
        <w:t>安全生产合同</w:t>
      </w:r>
    </w:p>
    <w:p w14:paraId="05F24513">
      <w:pPr>
        <w:pStyle w:val="44"/>
        <w:spacing w:line="240" w:lineRule="exact"/>
        <w:jc w:val="center"/>
        <w:rPr>
          <w:rFonts w:hint="eastAsia" w:ascii="黑体" w:eastAsia="黑体"/>
          <w:color w:val="auto"/>
          <w:sz w:val="28"/>
          <w:szCs w:val="28"/>
          <w:highlight w:val="none"/>
        </w:rPr>
      </w:pPr>
      <w:r>
        <w:rPr>
          <w:rFonts w:hint="eastAsia" w:ascii="黑体" w:eastAsia="黑体"/>
          <w:color w:val="auto"/>
          <w:sz w:val="28"/>
          <w:szCs w:val="28"/>
          <w:highlight w:val="none"/>
        </w:rPr>
        <w:t xml:space="preserve"> </w:t>
      </w:r>
    </w:p>
    <w:p w14:paraId="3B59EA28">
      <w:pPr>
        <w:pStyle w:val="44"/>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color w:val="auto"/>
          <w:highlight w:val="none"/>
        </w:rPr>
      </w:pPr>
      <w:r>
        <w:rPr>
          <w:rFonts w:hint="eastAsia" w:ascii="宋体" w:hAnsi="宋体"/>
          <w:color w:val="auto"/>
          <w:highlight w:val="none"/>
        </w:rPr>
        <w:t>为在</w:t>
      </w:r>
      <w:r>
        <w:rPr>
          <w:rFonts w:hint="eastAsia" w:ascii="宋体"/>
          <w:color w:val="auto"/>
          <w:highlight w:val="none"/>
          <w:u w:val="single"/>
        </w:rPr>
        <w:t xml:space="preserve">            </w:t>
      </w:r>
      <w:r>
        <w:rPr>
          <w:rFonts w:hint="eastAsia" w:ascii="宋体"/>
          <w:color w:val="auto"/>
          <w:highlight w:val="none"/>
        </w:rPr>
        <w:t>(</w:t>
      </w:r>
      <w:r>
        <w:rPr>
          <w:rFonts w:hint="eastAsia" w:ascii="宋体" w:hAnsi="宋体"/>
          <w:color w:val="auto"/>
          <w:highlight w:val="none"/>
        </w:rPr>
        <w:t>项目名称</w:t>
      </w:r>
      <w:r>
        <w:rPr>
          <w:rFonts w:hint="eastAsia" w:ascii="宋体"/>
          <w:color w:val="auto"/>
          <w:highlight w:val="none"/>
        </w:rPr>
        <w:t>)</w:t>
      </w:r>
      <w:r>
        <w:rPr>
          <w:rFonts w:hint="eastAsia" w:ascii="宋体"/>
          <w:color w:val="auto"/>
          <w:highlight w:val="none"/>
          <w:u w:val="single"/>
        </w:rPr>
        <w:t xml:space="preserve">     </w:t>
      </w:r>
      <w:r>
        <w:rPr>
          <w:rFonts w:hint="eastAsia" w:ascii="宋体" w:hAnsi="宋体"/>
          <w:color w:val="auto"/>
          <w:highlight w:val="none"/>
        </w:rPr>
        <w:t>标段</w:t>
      </w:r>
      <w:r>
        <w:rPr>
          <w:rFonts w:hint="eastAsia" w:ascii="宋体" w:hAnsi="宋体" w:eastAsia="宋体"/>
          <w:color w:val="auto"/>
          <w:highlight w:val="none"/>
          <w:lang w:val="en-US" w:eastAsia="zh-CN"/>
        </w:rPr>
        <w:t>公路养护</w:t>
      </w:r>
      <w:r>
        <w:rPr>
          <w:rFonts w:hint="eastAsia" w:ascii="宋体" w:hAnsi="宋体"/>
          <w:color w:val="auto"/>
          <w:highlight w:val="none"/>
        </w:rPr>
        <w:t>施工合同的实施过程中创造安全、高效的施工环境，切实搞好本项目的安全管理工作，本项目发包人</w:t>
      </w:r>
      <w:r>
        <w:rPr>
          <w:rFonts w:hint="eastAsia" w:ascii="宋体"/>
          <w:color w:val="auto"/>
          <w:highlight w:val="none"/>
          <w:u w:val="single"/>
        </w:rPr>
        <w:t xml:space="preserve">         </w:t>
      </w:r>
      <w:r>
        <w:rPr>
          <w:rFonts w:hint="eastAsia" w:ascii="宋体"/>
          <w:color w:val="auto"/>
          <w:highlight w:val="none"/>
        </w:rPr>
        <w:t xml:space="preserve"> (</w:t>
      </w:r>
      <w:r>
        <w:rPr>
          <w:rFonts w:hint="eastAsia" w:ascii="宋体" w:hAnsi="宋体"/>
          <w:color w:val="auto"/>
          <w:highlight w:val="none"/>
        </w:rPr>
        <w:t>发包人名称，以下简称</w:t>
      </w:r>
      <w:r>
        <w:rPr>
          <w:rFonts w:hint="eastAsia" w:ascii="宋体"/>
          <w:color w:val="auto"/>
          <w:highlight w:val="none"/>
        </w:rPr>
        <w:t>“发包人”)</w:t>
      </w:r>
      <w:r>
        <w:rPr>
          <w:rFonts w:hint="eastAsia" w:ascii="宋体" w:hAnsi="宋体"/>
          <w:color w:val="auto"/>
          <w:highlight w:val="none"/>
        </w:rPr>
        <w:t>与承包人</w:t>
      </w:r>
      <w:r>
        <w:rPr>
          <w:rFonts w:hint="eastAsia" w:ascii="宋体"/>
          <w:color w:val="auto"/>
          <w:highlight w:val="none"/>
          <w:u w:val="single"/>
        </w:rPr>
        <w:t xml:space="preserve">            </w:t>
      </w:r>
      <w:r>
        <w:rPr>
          <w:rFonts w:hint="eastAsia" w:ascii="宋体"/>
          <w:color w:val="auto"/>
          <w:highlight w:val="none"/>
        </w:rPr>
        <w:t xml:space="preserve"> (</w:t>
      </w:r>
      <w:r>
        <w:rPr>
          <w:rFonts w:hint="eastAsia" w:ascii="宋体" w:hAnsi="宋体"/>
          <w:color w:val="auto"/>
          <w:highlight w:val="none"/>
        </w:rPr>
        <w:t>承包人名称，以下简称</w:t>
      </w:r>
      <w:r>
        <w:rPr>
          <w:rFonts w:hint="eastAsia" w:ascii="宋体"/>
          <w:color w:val="auto"/>
          <w:highlight w:val="none"/>
        </w:rPr>
        <w:t>“承包人”)</w:t>
      </w:r>
      <w:r>
        <w:rPr>
          <w:rFonts w:hint="eastAsia" w:ascii="宋体" w:hAnsi="宋体"/>
          <w:color w:val="auto"/>
          <w:highlight w:val="none"/>
        </w:rPr>
        <w:t>特此签订安全生产合同：</w:t>
      </w:r>
    </w:p>
    <w:p w14:paraId="0AE58BAB">
      <w:pPr>
        <w:pStyle w:val="9"/>
        <w:keepNext w:val="0"/>
        <w:keepLines w:val="0"/>
        <w:pageBreakBefore w:val="0"/>
        <w:widowControl w:val="0"/>
        <w:tabs>
          <w:tab w:val="left" w:pos="2790"/>
        </w:tabs>
        <w:kinsoku/>
        <w:wordWrap/>
        <w:overflowPunct/>
        <w:topLinePunct w:val="0"/>
        <w:autoSpaceDE/>
        <w:autoSpaceDN/>
        <w:bidi w:val="0"/>
        <w:adjustRightInd/>
        <w:snapToGrid/>
        <w:spacing w:line="440" w:lineRule="exact"/>
        <w:ind w:firstLine="420" w:firstLineChars="200"/>
        <w:textAlignment w:val="auto"/>
        <w:rPr>
          <w:rFonts w:hint="eastAsia" w:ascii="宋体" w:hAnsi="Times New Roman" w:eastAsia="Times New Roman" w:cs="Times New Roman"/>
          <w:color w:val="auto"/>
          <w:szCs w:val="21"/>
          <w:highlight w:val="none"/>
        </w:rPr>
      </w:pPr>
      <w:r>
        <w:rPr>
          <w:rFonts w:hint="eastAsia" w:ascii="宋体" w:hAnsi="Times New Roman" w:eastAsia="Times New Roman" w:cs="Times New Roman"/>
          <w:color w:val="auto"/>
          <w:szCs w:val="21"/>
          <w:highlight w:val="none"/>
        </w:rPr>
        <w:t>1. 发包人职责</w:t>
      </w:r>
    </w:p>
    <w:p w14:paraId="663D2CB9">
      <w:pPr>
        <w:pStyle w:val="9"/>
        <w:keepNext w:val="0"/>
        <w:keepLines w:val="0"/>
        <w:pageBreakBefore w:val="0"/>
        <w:widowControl w:val="0"/>
        <w:tabs>
          <w:tab w:val="left" w:pos="2790"/>
        </w:tabs>
        <w:kinsoku/>
        <w:wordWrap/>
        <w:overflowPunct/>
        <w:topLinePunct w:val="0"/>
        <w:autoSpaceDE/>
        <w:autoSpaceDN/>
        <w:bidi w:val="0"/>
        <w:adjustRightInd/>
        <w:snapToGrid/>
        <w:spacing w:line="440" w:lineRule="exact"/>
        <w:ind w:firstLine="420" w:firstLineChars="200"/>
        <w:textAlignment w:val="auto"/>
        <w:rPr>
          <w:rFonts w:hint="eastAsia" w:ascii="宋体" w:hAnsi="Times New Roman" w:eastAsia="Times New Roman" w:cs="Times New Roman"/>
          <w:color w:val="auto"/>
          <w:szCs w:val="21"/>
          <w:highlight w:val="none"/>
        </w:rPr>
      </w:pPr>
      <w:r>
        <w:rPr>
          <w:rFonts w:hint="eastAsia" w:ascii="宋体" w:hAnsi="Times New Roman" w:eastAsia="Times New Roman" w:cs="Times New Roman"/>
          <w:color w:val="auto"/>
          <w:szCs w:val="21"/>
          <w:highlight w:val="none"/>
          <w:lang w:val="en-US" w:eastAsia="zh-CN"/>
        </w:rPr>
        <w:t xml:space="preserve">(1)严格遵守国家有关安全生产的法律法规，认真执行工程承包合同中的有关安全要求。 </w:t>
      </w:r>
    </w:p>
    <w:p w14:paraId="075CBD2D">
      <w:pPr>
        <w:pStyle w:val="9"/>
        <w:keepNext w:val="0"/>
        <w:keepLines w:val="0"/>
        <w:pageBreakBefore w:val="0"/>
        <w:widowControl w:val="0"/>
        <w:tabs>
          <w:tab w:val="left" w:pos="2790"/>
        </w:tabs>
        <w:kinsoku/>
        <w:wordWrap/>
        <w:overflowPunct/>
        <w:topLinePunct w:val="0"/>
        <w:autoSpaceDE/>
        <w:autoSpaceDN/>
        <w:bidi w:val="0"/>
        <w:adjustRightInd/>
        <w:snapToGrid/>
        <w:spacing w:line="440" w:lineRule="exact"/>
        <w:ind w:firstLine="420" w:firstLineChars="200"/>
        <w:textAlignment w:val="auto"/>
        <w:rPr>
          <w:rFonts w:hint="eastAsia" w:ascii="宋体" w:hAnsi="Times New Roman" w:eastAsia="Times New Roman" w:cs="Times New Roman"/>
          <w:color w:val="auto"/>
          <w:szCs w:val="21"/>
          <w:highlight w:val="none"/>
        </w:rPr>
      </w:pPr>
      <w:r>
        <w:rPr>
          <w:rFonts w:hint="eastAsia" w:ascii="宋体" w:hAnsi="Times New Roman" w:eastAsia="Times New Roman" w:cs="Times New Roman"/>
          <w:color w:val="auto"/>
          <w:szCs w:val="21"/>
          <w:highlight w:val="none"/>
          <w:lang w:val="en-US" w:eastAsia="zh-CN"/>
        </w:rPr>
        <w:t xml:space="preserve">(2)按照“安全第一、预防为主、综合治理”和坚持“管行业必须管安全、管业务必须管安全、管生产必须管安全”的原则进行安全生产管理，做到生产与安全工作同时计划、布置、检查、总结和评比。 </w:t>
      </w:r>
    </w:p>
    <w:p w14:paraId="690D0E70">
      <w:pPr>
        <w:pStyle w:val="9"/>
        <w:keepNext w:val="0"/>
        <w:keepLines w:val="0"/>
        <w:pageBreakBefore w:val="0"/>
        <w:widowControl w:val="0"/>
        <w:tabs>
          <w:tab w:val="left" w:pos="2790"/>
        </w:tabs>
        <w:kinsoku/>
        <w:wordWrap/>
        <w:overflowPunct/>
        <w:topLinePunct w:val="0"/>
        <w:autoSpaceDE/>
        <w:autoSpaceDN/>
        <w:bidi w:val="0"/>
        <w:adjustRightInd/>
        <w:snapToGrid/>
        <w:spacing w:line="440" w:lineRule="exact"/>
        <w:ind w:firstLine="420" w:firstLineChars="200"/>
        <w:textAlignment w:val="auto"/>
        <w:rPr>
          <w:rFonts w:hint="eastAsia" w:ascii="宋体" w:hAnsi="Times New Roman" w:eastAsia="Times New Roman" w:cs="Times New Roman"/>
          <w:color w:val="auto"/>
          <w:szCs w:val="21"/>
          <w:highlight w:val="none"/>
        </w:rPr>
      </w:pPr>
      <w:r>
        <w:rPr>
          <w:rFonts w:hint="eastAsia" w:ascii="宋体" w:hAnsi="Times New Roman" w:eastAsia="Times New Roman" w:cs="Times New Roman"/>
          <w:color w:val="auto"/>
          <w:szCs w:val="21"/>
          <w:highlight w:val="none"/>
          <w:lang w:val="en-US" w:eastAsia="zh-CN"/>
        </w:rPr>
        <w:t xml:space="preserve">(3)重要的安全设施必须坚持与主体工程“三同时”的原则，即：同同时设计、同时施工、同时投入生产和使用。 </w:t>
      </w:r>
    </w:p>
    <w:p w14:paraId="7122DA64">
      <w:pPr>
        <w:pStyle w:val="9"/>
        <w:keepNext w:val="0"/>
        <w:keepLines w:val="0"/>
        <w:pageBreakBefore w:val="0"/>
        <w:widowControl w:val="0"/>
        <w:tabs>
          <w:tab w:val="left" w:pos="2790"/>
        </w:tabs>
        <w:kinsoku/>
        <w:wordWrap/>
        <w:overflowPunct/>
        <w:topLinePunct w:val="0"/>
        <w:autoSpaceDE/>
        <w:autoSpaceDN/>
        <w:bidi w:val="0"/>
        <w:adjustRightInd/>
        <w:snapToGrid/>
        <w:spacing w:line="440" w:lineRule="exact"/>
        <w:ind w:firstLine="420" w:firstLineChars="200"/>
        <w:textAlignment w:val="auto"/>
        <w:rPr>
          <w:rFonts w:hint="eastAsia" w:ascii="宋体" w:hAnsi="Times New Roman" w:eastAsia="Times New Roman" w:cs="Times New Roman"/>
          <w:color w:val="auto"/>
          <w:szCs w:val="21"/>
          <w:highlight w:val="none"/>
        </w:rPr>
      </w:pPr>
      <w:r>
        <w:rPr>
          <w:rFonts w:hint="eastAsia" w:ascii="宋体" w:hAnsi="Times New Roman" w:eastAsia="Times New Roman" w:cs="Times New Roman"/>
          <w:color w:val="auto"/>
          <w:szCs w:val="21"/>
          <w:highlight w:val="none"/>
          <w:lang w:val="en-US" w:eastAsia="zh-CN"/>
        </w:rPr>
        <w:t xml:space="preserve">(4)定期召开安全生产调度会，及时传达中央及地方有关安全生产的精神。 </w:t>
      </w:r>
    </w:p>
    <w:p w14:paraId="113A0908">
      <w:pPr>
        <w:pStyle w:val="9"/>
        <w:keepNext w:val="0"/>
        <w:keepLines w:val="0"/>
        <w:pageBreakBefore w:val="0"/>
        <w:widowControl w:val="0"/>
        <w:tabs>
          <w:tab w:val="left" w:pos="2790"/>
        </w:tabs>
        <w:kinsoku/>
        <w:wordWrap/>
        <w:overflowPunct/>
        <w:topLinePunct w:val="0"/>
        <w:autoSpaceDE/>
        <w:autoSpaceDN/>
        <w:bidi w:val="0"/>
        <w:adjustRightInd/>
        <w:snapToGrid/>
        <w:spacing w:line="440" w:lineRule="exact"/>
        <w:ind w:firstLine="420" w:firstLineChars="200"/>
        <w:textAlignment w:val="auto"/>
        <w:rPr>
          <w:rFonts w:hint="eastAsia" w:ascii="宋体" w:hAnsi="Times New Roman" w:eastAsia="Times New Roman" w:cs="Times New Roman"/>
          <w:color w:val="auto"/>
          <w:szCs w:val="21"/>
          <w:highlight w:val="none"/>
        </w:rPr>
      </w:pPr>
      <w:r>
        <w:rPr>
          <w:rFonts w:hint="eastAsia" w:ascii="宋体" w:hAnsi="Times New Roman" w:eastAsia="Times New Roman" w:cs="Times New Roman"/>
          <w:color w:val="auto"/>
          <w:szCs w:val="21"/>
          <w:highlight w:val="none"/>
          <w:lang w:val="en-US" w:eastAsia="zh-CN"/>
        </w:rPr>
        <w:t xml:space="preserve">(5)组织对承包人施工现场进行安全生产检查，监督承包人及时处理发现的各种安全隐患。 </w:t>
      </w:r>
    </w:p>
    <w:p w14:paraId="146DA8EF">
      <w:pPr>
        <w:pStyle w:val="9"/>
        <w:keepNext w:val="0"/>
        <w:keepLines w:val="0"/>
        <w:pageBreakBefore w:val="0"/>
        <w:widowControl w:val="0"/>
        <w:tabs>
          <w:tab w:val="left" w:pos="2790"/>
        </w:tabs>
        <w:kinsoku/>
        <w:wordWrap/>
        <w:overflowPunct/>
        <w:topLinePunct w:val="0"/>
        <w:autoSpaceDE/>
        <w:autoSpaceDN/>
        <w:bidi w:val="0"/>
        <w:adjustRightInd/>
        <w:snapToGrid/>
        <w:spacing w:line="440" w:lineRule="exact"/>
        <w:ind w:firstLine="420" w:firstLineChars="200"/>
        <w:textAlignment w:val="auto"/>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2. 承包人职责</w:t>
      </w:r>
    </w:p>
    <w:p w14:paraId="6AAF15C9">
      <w:pPr>
        <w:pStyle w:val="9"/>
        <w:keepNext w:val="0"/>
        <w:keepLines w:val="0"/>
        <w:pageBreakBefore w:val="0"/>
        <w:widowControl w:val="0"/>
        <w:tabs>
          <w:tab w:val="left" w:pos="2790"/>
        </w:tabs>
        <w:kinsoku/>
        <w:wordWrap/>
        <w:overflowPunct/>
        <w:topLinePunct w:val="0"/>
        <w:autoSpaceDE/>
        <w:autoSpaceDN/>
        <w:bidi w:val="0"/>
        <w:adjustRightInd/>
        <w:snapToGrid/>
        <w:spacing w:line="440" w:lineRule="exact"/>
        <w:ind w:firstLine="420" w:firstLineChars="200"/>
        <w:textAlignment w:val="auto"/>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严格遵守《中华人民共和国安全生产法》、《建设工程安全生产管理条例》等国家有关安全生产的法律法规、《公路水运工程安全生产监督管理办法》、《公路工程施工安全技术规范》、《公路筑养路机械操作规程》和发包人及上级部门等有关安全生产的规定。认真执行工程承包合同中的有关安全要求，承担服务期间一切安全责任。 </w:t>
      </w:r>
    </w:p>
    <w:p w14:paraId="49263078">
      <w:pPr>
        <w:pStyle w:val="9"/>
        <w:keepNext w:val="0"/>
        <w:keepLines w:val="0"/>
        <w:pageBreakBefore w:val="0"/>
        <w:widowControl w:val="0"/>
        <w:tabs>
          <w:tab w:val="left" w:pos="2790"/>
        </w:tabs>
        <w:kinsoku/>
        <w:wordWrap/>
        <w:overflowPunct/>
        <w:topLinePunct w:val="0"/>
        <w:autoSpaceDE/>
        <w:autoSpaceDN/>
        <w:bidi w:val="0"/>
        <w:adjustRightInd/>
        <w:snapToGrid/>
        <w:spacing w:line="440" w:lineRule="exact"/>
        <w:ind w:firstLine="420" w:firstLineChars="200"/>
        <w:textAlignment w:val="auto"/>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(2)坚持“安全第一、预防为主、综合治理”和“管行业必须管安全、管业务必须管安全、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 </w:t>
      </w:r>
    </w:p>
    <w:p w14:paraId="6C350AB8">
      <w:pPr>
        <w:pStyle w:val="9"/>
        <w:keepNext w:val="0"/>
        <w:keepLines w:val="0"/>
        <w:pageBreakBefore w:val="0"/>
        <w:widowControl w:val="0"/>
        <w:tabs>
          <w:tab w:val="left" w:pos="2790"/>
        </w:tabs>
        <w:kinsoku/>
        <w:wordWrap/>
        <w:overflowPunct/>
        <w:topLinePunct w:val="0"/>
        <w:autoSpaceDE/>
        <w:autoSpaceDN/>
        <w:bidi w:val="0"/>
        <w:adjustRightInd/>
        <w:snapToGrid/>
        <w:spacing w:line="440" w:lineRule="exact"/>
        <w:ind w:firstLine="420" w:firstLineChars="200"/>
        <w:textAlignment w:val="auto"/>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(3)建立健全全员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专职负责所有员工的安全和治安保卫工作及预防事故的发生。安全机构人员有权按有关规定发布指令，并采取保护性措施防止事故发生。</w:t>
      </w:r>
    </w:p>
    <w:p w14:paraId="71782827">
      <w:pPr>
        <w:pStyle w:val="9"/>
        <w:keepNext w:val="0"/>
        <w:keepLines w:val="0"/>
        <w:pageBreakBefore w:val="0"/>
        <w:widowControl w:val="0"/>
        <w:tabs>
          <w:tab w:val="left" w:pos="2790"/>
        </w:tabs>
        <w:kinsoku/>
        <w:wordWrap/>
        <w:overflowPunct/>
        <w:topLinePunct w:val="0"/>
        <w:autoSpaceDE/>
        <w:autoSpaceDN/>
        <w:bidi w:val="0"/>
        <w:adjustRightInd/>
        <w:snapToGrid/>
        <w:spacing w:line="440" w:lineRule="exact"/>
        <w:ind w:firstLine="420" w:firstLineChars="200"/>
        <w:textAlignment w:val="auto"/>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(4)承包人在任何时候都应采取各种合理的预防措施，防止其员工发生任何违法、违禁、暴力或妨碍治安的行为。 </w:t>
      </w:r>
    </w:p>
    <w:p w14:paraId="703569D8">
      <w:pPr>
        <w:pStyle w:val="9"/>
        <w:keepNext w:val="0"/>
        <w:keepLines w:val="0"/>
        <w:pageBreakBefore w:val="0"/>
        <w:widowControl w:val="0"/>
        <w:tabs>
          <w:tab w:val="left" w:pos="2790"/>
        </w:tabs>
        <w:kinsoku/>
        <w:wordWrap/>
        <w:overflowPunct/>
        <w:topLinePunct w:val="0"/>
        <w:autoSpaceDE/>
        <w:autoSpaceDN/>
        <w:bidi w:val="0"/>
        <w:adjustRightInd/>
        <w:snapToGrid/>
        <w:spacing w:line="440" w:lineRule="exact"/>
        <w:ind w:firstLine="420" w:firstLineChars="200"/>
        <w:textAlignment w:val="auto"/>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(5)承包人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 </w:t>
      </w:r>
    </w:p>
    <w:p w14:paraId="40265AC0">
      <w:pPr>
        <w:pStyle w:val="9"/>
        <w:keepNext w:val="0"/>
        <w:keepLines w:val="0"/>
        <w:pageBreakBefore w:val="0"/>
        <w:widowControl w:val="0"/>
        <w:tabs>
          <w:tab w:val="left" w:pos="2790"/>
        </w:tabs>
        <w:kinsoku/>
        <w:wordWrap/>
        <w:overflowPunct/>
        <w:topLinePunct w:val="0"/>
        <w:autoSpaceDE/>
        <w:autoSpaceDN/>
        <w:bidi w:val="0"/>
        <w:adjustRightInd/>
        <w:snapToGrid/>
        <w:spacing w:line="440" w:lineRule="exact"/>
        <w:ind w:firstLine="420" w:firstLineChars="200"/>
        <w:textAlignment w:val="auto"/>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 </w:t>
      </w:r>
    </w:p>
    <w:p w14:paraId="7E0495EC">
      <w:pPr>
        <w:pStyle w:val="9"/>
        <w:keepNext w:val="0"/>
        <w:keepLines w:val="0"/>
        <w:pageBreakBefore w:val="0"/>
        <w:widowControl w:val="0"/>
        <w:tabs>
          <w:tab w:val="left" w:pos="2790"/>
        </w:tabs>
        <w:kinsoku/>
        <w:wordWrap/>
        <w:overflowPunct/>
        <w:topLinePunct w:val="0"/>
        <w:autoSpaceDE/>
        <w:autoSpaceDN/>
        <w:bidi w:val="0"/>
        <w:adjustRightInd/>
        <w:snapToGrid/>
        <w:spacing w:line="440" w:lineRule="exact"/>
        <w:ind w:firstLine="420" w:firstLineChars="200"/>
        <w:textAlignment w:val="auto"/>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(7)操作人员上岗，必须按规定穿戴防护用品。施工负责人和安全检查员应随时检查劳动防护用品的穿戴情况，不按规定穿戴防护用品的人员不得上岗。 </w:t>
      </w:r>
    </w:p>
    <w:p w14:paraId="17974A5C">
      <w:pPr>
        <w:pStyle w:val="9"/>
        <w:keepNext w:val="0"/>
        <w:keepLines w:val="0"/>
        <w:pageBreakBefore w:val="0"/>
        <w:widowControl w:val="0"/>
        <w:tabs>
          <w:tab w:val="left" w:pos="2790"/>
        </w:tabs>
        <w:kinsoku/>
        <w:wordWrap/>
        <w:overflowPunct/>
        <w:topLinePunct w:val="0"/>
        <w:autoSpaceDE/>
        <w:autoSpaceDN/>
        <w:bidi w:val="0"/>
        <w:adjustRightInd/>
        <w:snapToGrid/>
        <w:spacing w:line="440" w:lineRule="exact"/>
        <w:ind w:firstLine="420" w:firstLineChars="200"/>
        <w:textAlignment w:val="auto"/>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(8)所有施工机具设备和高空作业的设备均应定期检查，并有安全员的签字记录，保证其经常处于完好状态；不合格的机具、设备和劳动保护用品严禁使用。 </w:t>
      </w:r>
    </w:p>
    <w:p w14:paraId="0B4ECA2E">
      <w:pPr>
        <w:pStyle w:val="9"/>
        <w:keepNext w:val="0"/>
        <w:keepLines w:val="0"/>
        <w:pageBreakBefore w:val="0"/>
        <w:widowControl w:val="0"/>
        <w:tabs>
          <w:tab w:val="left" w:pos="2790"/>
        </w:tabs>
        <w:kinsoku/>
        <w:wordWrap/>
        <w:overflowPunct/>
        <w:topLinePunct w:val="0"/>
        <w:autoSpaceDE/>
        <w:autoSpaceDN/>
        <w:bidi w:val="0"/>
        <w:adjustRightInd/>
        <w:snapToGrid/>
        <w:spacing w:line="440" w:lineRule="exact"/>
        <w:ind w:firstLine="420" w:firstLineChars="200"/>
        <w:textAlignment w:val="auto"/>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(9)施工中采用新技术、新工艺、新设备、新材料时，必须制定相应的安全技术措施，施工现场必须具有相关的安全标志牌。 </w:t>
      </w:r>
    </w:p>
    <w:p w14:paraId="61BD908D">
      <w:pPr>
        <w:pStyle w:val="9"/>
        <w:keepNext w:val="0"/>
        <w:keepLines w:val="0"/>
        <w:pageBreakBefore w:val="0"/>
        <w:widowControl w:val="0"/>
        <w:tabs>
          <w:tab w:val="left" w:pos="2790"/>
        </w:tabs>
        <w:kinsoku/>
        <w:wordWrap/>
        <w:overflowPunct/>
        <w:topLinePunct w:val="0"/>
        <w:autoSpaceDE/>
        <w:autoSpaceDN/>
        <w:bidi w:val="0"/>
        <w:adjustRightInd/>
        <w:snapToGrid/>
        <w:spacing w:line="440" w:lineRule="exact"/>
        <w:ind w:firstLine="420" w:firstLineChars="200"/>
        <w:textAlignment w:val="auto"/>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 </w:t>
      </w:r>
    </w:p>
    <w:p w14:paraId="4F7ED07E">
      <w:pPr>
        <w:pStyle w:val="9"/>
        <w:keepNext w:val="0"/>
        <w:keepLines w:val="0"/>
        <w:pageBreakBefore w:val="0"/>
        <w:widowControl w:val="0"/>
        <w:tabs>
          <w:tab w:val="left" w:pos="2790"/>
        </w:tabs>
        <w:kinsoku/>
        <w:wordWrap/>
        <w:overflowPunct/>
        <w:topLinePunct w:val="0"/>
        <w:autoSpaceDE/>
        <w:autoSpaceDN/>
        <w:bidi w:val="0"/>
        <w:adjustRightInd/>
        <w:snapToGrid/>
        <w:spacing w:line="440" w:lineRule="exact"/>
        <w:ind w:firstLine="420" w:firstLineChars="200"/>
        <w:textAlignment w:val="auto"/>
        <w:rPr>
          <w:rFonts w:hint="eastAsia" w:ascii="宋体" w:hAnsi="Times New Roman" w:eastAsia="Times New Roman" w:cs="Times New Roman"/>
          <w:color w:val="auto"/>
          <w:szCs w:val="21"/>
          <w:highlight w:val="none"/>
          <w:lang w:val="en-US" w:eastAsia="zh-CN"/>
        </w:rPr>
      </w:pPr>
      <w:r>
        <w:rPr>
          <w:rFonts w:hint="eastAsia" w:ascii="宋体" w:hAnsi="Times New Roman" w:eastAsia="Times New Roman" w:cs="Times New Roman"/>
          <w:color w:val="auto"/>
          <w:szCs w:val="21"/>
          <w:highlight w:val="none"/>
          <w:lang w:val="en-US" w:eastAsia="zh-CN"/>
        </w:rPr>
        <w:t xml:space="preserve">(11)安全生产费按照浙交〔2021〕12 号省交通运输厅关于印发《浙江省交通建设工程安全生产费用管理办法》的通知等的相关规定使用和管理。 </w:t>
      </w:r>
    </w:p>
    <w:p w14:paraId="0CAAFD9B">
      <w:pPr>
        <w:pStyle w:val="9"/>
        <w:keepNext w:val="0"/>
        <w:keepLines w:val="0"/>
        <w:pageBreakBefore w:val="0"/>
        <w:widowControl w:val="0"/>
        <w:tabs>
          <w:tab w:val="left" w:pos="2790"/>
        </w:tabs>
        <w:kinsoku/>
        <w:wordWrap/>
        <w:overflowPunct/>
        <w:topLinePunct w:val="0"/>
        <w:autoSpaceDE/>
        <w:autoSpaceDN/>
        <w:bidi w:val="0"/>
        <w:adjustRightInd/>
        <w:snapToGrid/>
        <w:spacing w:line="440" w:lineRule="exact"/>
        <w:ind w:firstLine="420" w:firstLineChars="200"/>
        <w:textAlignment w:val="auto"/>
        <w:rPr>
          <w:rFonts w:hint="eastAsia" w:ascii="宋体"/>
          <w:color w:val="auto"/>
          <w:szCs w:val="21"/>
          <w:highlight w:val="none"/>
        </w:rPr>
      </w:pPr>
      <w:r>
        <w:rPr>
          <w:rFonts w:hint="eastAsia" w:ascii="宋体"/>
          <w:color w:val="auto"/>
          <w:szCs w:val="21"/>
          <w:highlight w:val="none"/>
        </w:rPr>
        <w:t>3.违约责任</w:t>
      </w:r>
    </w:p>
    <w:p w14:paraId="04F6B0B4">
      <w:pPr>
        <w:pStyle w:val="9"/>
        <w:keepNext w:val="0"/>
        <w:keepLines w:val="0"/>
        <w:pageBreakBefore w:val="0"/>
        <w:widowControl w:val="0"/>
        <w:tabs>
          <w:tab w:val="left" w:pos="2790"/>
        </w:tabs>
        <w:kinsoku/>
        <w:wordWrap/>
        <w:overflowPunct/>
        <w:topLinePunct w:val="0"/>
        <w:autoSpaceDE/>
        <w:autoSpaceDN/>
        <w:bidi w:val="0"/>
        <w:adjustRightInd/>
        <w:snapToGrid/>
        <w:spacing w:line="440" w:lineRule="exact"/>
        <w:ind w:firstLine="420" w:firstLineChars="200"/>
        <w:textAlignment w:val="auto"/>
        <w:rPr>
          <w:rFonts w:hint="eastAsia" w:ascii="宋体"/>
          <w:color w:val="auto"/>
          <w:szCs w:val="21"/>
          <w:highlight w:val="none"/>
        </w:rPr>
      </w:pPr>
      <w:r>
        <w:rPr>
          <w:rFonts w:hint="eastAsia" w:ascii="宋体"/>
          <w:color w:val="auto"/>
          <w:szCs w:val="21"/>
          <w:highlight w:val="none"/>
        </w:rPr>
        <w:t>如因发包人或承包人违约造成安全事故，将依法追究责任。</w:t>
      </w:r>
    </w:p>
    <w:p w14:paraId="393CB240">
      <w:pPr>
        <w:pStyle w:val="9"/>
        <w:keepNext w:val="0"/>
        <w:keepLines w:val="0"/>
        <w:pageBreakBefore w:val="0"/>
        <w:widowControl w:val="0"/>
        <w:tabs>
          <w:tab w:val="left" w:pos="2790"/>
        </w:tabs>
        <w:kinsoku/>
        <w:wordWrap/>
        <w:overflowPunct/>
        <w:topLinePunct w:val="0"/>
        <w:autoSpaceDE/>
        <w:autoSpaceDN/>
        <w:bidi w:val="0"/>
        <w:adjustRightInd/>
        <w:snapToGrid/>
        <w:spacing w:line="440" w:lineRule="exact"/>
        <w:ind w:firstLine="420" w:firstLineChars="200"/>
        <w:textAlignment w:val="auto"/>
        <w:rPr>
          <w:rFonts w:hint="eastAsia" w:ascii="宋体"/>
          <w:color w:val="auto"/>
          <w:szCs w:val="21"/>
          <w:highlight w:val="none"/>
        </w:rPr>
      </w:pPr>
      <w:r>
        <w:rPr>
          <w:rFonts w:hint="eastAsia" w:ascii="宋体"/>
          <w:color w:val="auto"/>
          <w:szCs w:val="21"/>
          <w:highlight w:val="none"/>
        </w:rPr>
        <w:t>4.本合同由双方法定代表人或其授权的代理人签署并加盖单位章后生效，全部工程竣工验收后失效。</w:t>
      </w:r>
    </w:p>
    <w:p w14:paraId="2211CB9E">
      <w:pPr>
        <w:pStyle w:val="9"/>
        <w:keepNext w:val="0"/>
        <w:keepLines w:val="0"/>
        <w:pageBreakBefore w:val="0"/>
        <w:widowControl w:val="0"/>
        <w:tabs>
          <w:tab w:val="left" w:pos="2790"/>
        </w:tabs>
        <w:kinsoku/>
        <w:wordWrap/>
        <w:overflowPunct/>
        <w:topLinePunct w:val="0"/>
        <w:autoSpaceDE/>
        <w:autoSpaceDN/>
        <w:bidi w:val="0"/>
        <w:adjustRightInd/>
        <w:snapToGrid/>
        <w:spacing w:line="440" w:lineRule="exact"/>
        <w:ind w:firstLine="420" w:firstLineChars="200"/>
        <w:textAlignment w:val="auto"/>
        <w:rPr>
          <w:rFonts w:hint="eastAsia" w:ascii="宋体"/>
          <w:color w:val="auto"/>
          <w:szCs w:val="21"/>
          <w:highlight w:val="none"/>
        </w:rPr>
      </w:pPr>
      <w:r>
        <w:rPr>
          <w:rFonts w:hint="eastAsia" w:ascii="宋体"/>
          <w:color w:val="auto"/>
          <w:szCs w:val="21"/>
          <w:highlight w:val="none"/>
        </w:rPr>
        <w:t>5.本合同正本二份、副本</w:t>
      </w:r>
      <w:r>
        <w:rPr>
          <w:rFonts w:hint="eastAsia" w:ascii="宋体"/>
          <w:color w:val="auto"/>
          <w:szCs w:val="21"/>
          <w:highlight w:val="none"/>
          <w:u w:val="single"/>
        </w:rPr>
        <w:t xml:space="preserve">     </w:t>
      </w:r>
      <w:r>
        <w:rPr>
          <w:rFonts w:hint="eastAsia" w:ascii="宋体"/>
          <w:color w:val="auto"/>
          <w:szCs w:val="21"/>
          <w:highlight w:val="none"/>
        </w:rPr>
        <w:t>份，合同双方各执正本一份，副本</w:t>
      </w:r>
      <w:r>
        <w:rPr>
          <w:rFonts w:hint="eastAsia" w:ascii="宋体"/>
          <w:color w:val="auto"/>
          <w:szCs w:val="21"/>
          <w:highlight w:val="none"/>
          <w:u w:val="single"/>
        </w:rPr>
        <w:t xml:space="preserve">     </w:t>
      </w:r>
      <w:r>
        <w:rPr>
          <w:rFonts w:hint="eastAsia" w:ascii="宋体"/>
          <w:color w:val="auto"/>
          <w:szCs w:val="21"/>
          <w:highlight w:val="none"/>
        </w:rPr>
        <w:t>份，当正本与副本的内容不一致时，以正本为准。</w:t>
      </w:r>
    </w:p>
    <w:p w14:paraId="323DDDA3">
      <w:pPr>
        <w:pStyle w:val="44"/>
        <w:spacing w:line="380" w:lineRule="exact"/>
        <w:ind w:firstLine="420" w:firstLineChars="200"/>
        <w:rPr>
          <w:rFonts w:hint="eastAsia" w:ascii="宋体"/>
          <w:color w:val="auto"/>
          <w:highlight w:val="none"/>
        </w:rPr>
      </w:pPr>
      <w:r>
        <w:rPr>
          <w:rFonts w:hint="eastAsia" w:ascii="宋体"/>
          <w:color w:val="auto"/>
          <w:highlight w:val="none"/>
        </w:rPr>
        <w:t xml:space="preserve"> </w:t>
      </w:r>
    </w:p>
    <w:p w14:paraId="340232D4">
      <w:pPr>
        <w:pStyle w:val="44"/>
        <w:spacing w:line="380" w:lineRule="exact"/>
        <w:rPr>
          <w:rFonts w:hint="eastAsia" w:ascii="宋体"/>
          <w:color w:val="auto"/>
          <w:highlight w:val="none"/>
        </w:rPr>
      </w:pPr>
      <w:r>
        <w:rPr>
          <w:rFonts w:hint="eastAsia" w:ascii="宋体" w:hAnsi="宋体"/>
          <w:color w:val="auto"/>
          <w:highlight w:val="none"/>
        </w:rPr>
        <w:t>发包人：</w:t>
      </w:r>
      <w:r>
        <w:rPr>
          <w:rFonts w:hint="eastAsia" w:ascii="宋体"/>
          <w:color w:val="auto"/>
          <w:highlight w:val="none"/>
          <w:u w:val="single"/>
        </w:rPr>
        <w:t xml:space="preserve">                  </w:t>
      </w:r>
      <w:r>
        <w:rPr>
          <w:rFonts w:hint="eastAsia" w:ascii="宋体"/>
          <w:color w:val="auto"/>
          <w:highlight w:val="none"/>
        </w:rPr>
        <w:t xml:space="preserve"> (</w:t>
      </w:r>
      <w:r>
        <w:rPr>
          <w:rFonts w:hint="eastAsia" w:ascii="宋体" w:hAnsi="宋体"/>
          <w:color w:val="auto"/>
          <w:highlight w:val="none"/>
        </w:rPr>
        <w:t>盖单位章</w:t>
      </w:r>
      <w:r>
        <w:rPr>
          <w:rFonts w:hint="eastAsia" w:ascii="宋体"/>
          <w:color w:val="auto"/>
          <w:highlight w:val="none"/>
        </w:rPr>
        <w:t xml:space="preserve">)     </w:t>
      </w:r>
      <w:r>
        <w:rPr>
          <w:rFonts w:hint="eastAsia" w:ascii="宋体" w:hAnsi="宋体"/>
          <w:color w:val="auto"/>
          <w:highlight w:val="none"/>
        </w:rPr>
        <w:t>承包人：</w:t>
      </w:r>
      <w:r>
        <w:rPr>
          <w:rFonts w:hint="eastAsia" w:ascii="宋体"/>
          <w:color w:val="auto"/>
          <w:highlight w:val="none"/>
          <w:u w:val="single"/>
        </w:rPr>
        <w:t xml:space="preserve">                  </w:t>
      </w:r>
      <w:r>
        <w:rPr>
          <w:rFonts w:hint="eastAsia" w:ascii="宋体"/>
          <w:color w:val="auto"/>
          <w:highlight w:val="none"/>
        </w:rPr>
        <w:t xml:space="preserve"> (</w:t>
      </w:r>
      <w:r>
        <w:rPr>
          <w:rFonts w:hint="eastAsia" w:ascii="宋体" w:hAnsi="宋体"/>
          <w:color w:val="auto"/>
          <w:highlight w:val="none"/>
        </w:rPr>
        <w:t>盖单位章</w:t>
      </w:r>
      <w:r>
        <w:rPr>
          <w:rFonts w:hint="eastAsia" w:ascii="宋体"/>
          <w:color w:val="auto"/>
          <w:highlight w:val="none"/>
        </w:rPr>
        <w:t>)</w:t>
      </w:r>
    </w:p>
    <w:p w14:paraId="126A44E8">
      <w:pPr>
        <w:pStyle w:val="44"/>
        <w:spacing w:line="380" w:lineRule="exact"/>
        <w:rPr>
          <w:rFonts w:hint="eastAsia" w:ascii="宋体"/>
          <w:color w:val="auto"/>
          <w:highlight w:val="none"/>
        </w:rPr>
      </w:pPr>
      <w:r>
        <w:rPr>
          <w:rFonts w:hint="eastAsia" w:ascii="宋体" w:hAnsi="宋体"/>
          <w:color w:val="auto"/>
          <w:highlight w:val="none"/>
        </w:rPr>
        <w:t>法定代表人或其委托代理人：</w:t>
      </w:r>
      <w:r>
        <w:rPr>
          <w:rFonts w:hint="eastAsia" w:ascii="宋体"/>
          <w:color w:val="auto"/>
          <w:highlight w:val="none"/>
          <w:u w:val="single"/>
        </w:rPr>
        <w:t xml:space="preserve">     </w:t>
      </w:r>
      <w:r>
        <w:rPr>
          <w:rFonts w:hint="eastAsia" w:ascii="宋体"/>
          <w:color w:val="auto"/>
          <w:highlight w:val="none"/>
        </w:rPr>
        <w:t>(</w:t>
      </w:r>
      <w:r>
        <w:rPr>
          <w:rFonts w:hint="eastAsia" w:ascii="宋体" w:hAnsi="宋体"/>
          <w:color w:val="auto"/>
          <w:highlight w:val="none"/>
        </w:rPr>
        <w:t>签字</w:t>
      </w:r>
      <w:r>
        <w:rPr>
          <w:rFonts w:hint="eastAsia" w:ascii="宋体"/>
          <w:color w:val="auto"/>
          <w:highlight w:val="none"/>
        </w:rPr>
        <w:t xml:space="preserve">)     </w:t>
      </w:r>
      <w:r>
        <w:rPr>
          <w:rFonts w:hint="eastAsia" w:ascii="宋体" w:hAnsi="宋体"/>
          <w:color w:val="auto"/>
          <w:highlight w:val="none"/>
        </w:rPr>
        <w:t>法定代表人或其委托代理人：</w:t>
      </w:r>
      <w:r>
        <w:rPr>
          <w:rFonts w:hint="eastAsia" w:ascii="宋体"/>
          <w:color w:val="auto"/>
          <w:highlight w:val="none"/>
          <w:u w:val="single"/>
        </w:rPr>
        <w:t xml:space="preserve">     </w:t>
      </w:r>
      <w:r>
        <w:rPr>
          <w:rFonts w:hint="eastAsia" w:ascii="宋体"/>
          <w:color w:val="auto"/>
          <w:highlight w:val="none"/>
        </w:rPr>
        <w:t>(</w:t>
      </w:r>
      <w:r>
        <w:rPr>
          <w:rFonts w:hint="eastAsia" w:ascii="宋体" w:hAnsi="宋体"/>
          <w:color w:val="auto"/>
          <w:highlight w:val="none"/>
        </w:rPr>
        <w:t>签字</w:t>
      </w:r>
      <w:r>
        <w:rPr>
          <w:rFonts w:hint="eastAsia" w:ascii="宋体"/>
          <w:color w:val="auto"/>
          <w:highlight w:val="none"/>
        </w:rPr>
        <w:t>)</w:t>
      </w:r>
    </w:p>
    <w:p w14:paraId="77D75AB5">
      <w:pPr>
        <w:pStyle w:val="44"/>
        <w:spacing w:line="380" w:lineRule="exact"/>
        <w:ind w:firstLine="1890" w:firstLineChars="900"/>
        <w:rPr>
          <w:rFonts w:hint="eastAsia" w:ascii="宋体"/>
          <w:color w:val="auto"/>
          <w:highlight w:val="none"/>
        </w:rPr>
      </w:pPr>
      <w:r>
        <w:rPr>
          <w:rFonts w:hint="eastAsia" w:ascii="宋体"/>
          <w:color w:val="auto"/>
          <w:highlight w:val="none"/>
          <w:u w:val="single"/>
        </w:rPr>
        <w:t xml:space="preserve">     </w:t>
      </w:r>
      <w:r>
        <w:rPr>
          <w:rFonts w:hint="eastAsia" w:ascii="宋体" w:hAnsi="宋体"/>
          <w:color w:val="auto"/>
          <w:highlight w:val="none"/>
        </w:rPr>
        <w:t>年</w:t>
      </w:r>
      <w:r>
        <w:rPr>
          <w:rFonts w:hint="eastAsia" w:ascii="宋体"/>
          <w:color w:val="auto"/>
          <w:highlight w:val="none"/>
          <w:u w:val="single"/>
        </w:rPr>
        <w:t xml:space="preserve">   </w:t>
      </w:r>
      <w:r>
        <w:rPr>
          <w:rFonts w:hint="eastAsia" w:ascii="宋体" w:hAnsi="宋体"/>
          <w:color w:val="auto"/>
          <w:highlight w:val="none"/>
        </w:rPr>
        <w:t>月</w:t>
      </w:r>
      <w:r>
        <w:rPr>
          <w:rFonts w:hint="eastAsia" w:ascii="宋体"/>
          <w:color w:val="auto"/>
          <w:highlight w:val="none"/>
          <w:u w:val="single"/>
        </w:rPr>
        <w:t xml:space="preserve">    </w:t>
      </w:r>
      <w:r>
        <w:rPr>
          <w:rFonts w:hint="eastAsia" w:ascii="宋体" w:hAnsi="宋体"/>
          <w:color w:val="auto"/>
          <w:highlight w:val="none"/>
        </w:rPr>
        <w:t>日</w:t>
      </w:r>
      <w:r>
        <w:rPr>
          <w:rFonts w:hint="eastAsia" w:ascii="宋体"/>
          <w:color w:val="auto"/>
          <w:highlight w:val="none"/>
        </w:rPr>
        <w:t xml:space="preserve">                       </w:t>
      </w:r>
      <w:r>
        <w:rPr>
          <w:rFonts w:hint="eastAsia" w:ascii="宋体"/>
          <w:color w:val="auto"/>
          <w:highlight w:val="none"/>
          <w:u w:val="single"/>
        </w:rPr>
        <w:t xml:space="preserve">     </w:t>
      </w:r>
      <w:r>
        <w:rPr>
          <w:rFonts w:hint="eastAsia" w:ascii="宋体" w:hAnsi="宋体"/>
          <w:color w:val="auto"/>
          <w:highlight w:val="none"/>
        </w:rPr>
        <w:t>年</w:t>
      </w:r>
      <w:r>
        <w:rPr>
          <w:rFonts w:hint="eastAsia" w:ascii="宋体"/>
          <w:color w:val="auto"/>
          <w:highlight w:val="none"/>
          <w:u w:val="single"/>
        </w:rPr>
        <w:t xml:space="preserve">   </w:t>
      </w:r>
      <w:r>
        <w:rPr>
          <w:rFonts w:hint="eastAsia" w:ascii="宋体" w:hAnsi="宋体"/>
          <w:color w:val="auto"/>
          <w:highlight w:val="none"/>
        </w:rPr>
        <w:t>月</w:t>
      </w:r>
      <w:r>
        <w:rPr>
          <w:rFonts w:hint="eastAsia" w:ascii="宋体"/>
          <w:color w:val="auto"/>
          <w:highlight w:val="none"/>
          <w:u w:val="single"/>
        </w:rPr>
        <w:t xml:space="preserve">    </w:t>
      </w:r>
      <w:r>
        <w:rPr>
          <w:rFonts w:hint="eastAsia" w:ascii="宋体" w:hAnsi="宋体"/>
          <w:color w:val="auto"/>
          <w:highlight w:val="none"/>
        </w:rPr>
        <w:t>日</w:t>
      </w:r>
    </w:p>
    <w:p w14:paraId="46AC0881">
      <w:pPr>
        <w:pStyle w:val="44"/>
        <w:keepNext w:val="0"/>
        <w:keepLines w:val="0"/>
        <w:pageBreakBefore w:val="0"/>
        <w:widowControl w:val="0"/>
        <w:kinsoku/>
        <w:wordWrap/>
        <w:overflowPunct/>
        <w:topLinePunct w:val="0"/>
        <w:autoSpaceDE/>
        <w:autoSpaceDN/>
        <w:bidi w:val="0"/>
        <w:adjustRightInd/>
        <w:snapToGrid/>
        <w:spacing w:line="380" w:lineRule="exact"/>
        <w:textAlignment w:val="auto"/>
        <w:outlineLvl w:val="3"/>
        <w:rPr>
          <w:rFonts w:hint="eastAsia" w:ascii="黑体" w:hAnsi="黑体" w:eastAsia="黑体"/>
          <w:color w:val="auto"/>
          <w:sz w:val="28"/>
          <w:szCs w:val="28"/>
          <w:highlight w:val="none"/>
        </w:rPr>
      </w:pPr>
      <w:r>
        <w:rPr>
          <w:rFonts w:hint="eastAsia" w:ascii="宋体"/>
          <w:color w:val="auto"/>
          <w:sz w:val="24"/>
          <w:szCs w:val="24"/>
          <w:highlight w:val="none"/>
        </w:rPr>
        <w:br w:type="page"/>
      </w:r>
      <w:bookmarkStart w:id="728" w:name="_Hlk17789335"/>
      <w:r>
        <w:rPr>
          <w:rFonts w:hint="eastAsia" w:ascii="黑体" w:hAnsi="黑体" w:eastAsia="黑体"/>
          <w:color w:val="auto"/>
          <w:sz w:val="28"/>
          <w:szCs w:val="28"/>
          <w:highlight w:val="none"/>
        </w:rPr>
        <w:t>附件四  其他管理人员和技术人员最低要求</w:t>
      </w:r>
    </w:p>
    <w:p w14:paraId="017F86EE">
      <w:pPr>
        <w:pStyle w:val="44"/>
        <w:keepNext w:val="0"/>
        <w:keepLines w:val="0"/>
        <w:pageBreakBefore w:val="0"/>
        <w:widowControl w:val="0"/>
        <w:kinsoku/>
        <w:wordWrap/>
        <w:overflowPunct/>
        <w:topLinePunct w:val="0"/>
        <w:autoSpaceDE/>
        <w:autoSpaceDN/>
        <w:bidi w:val="0"/>
        <w:adjustRightInd/>
        <w:snapToGrid/>
        <w:spacing w:line="380" w:lineRule="exact"/>
        <w:textAlignment w:val="auto"/>
        <w:outlineLvl w:val="9"/>
        <w:rPr>
          <w:rFonts w:hint="eastAsia" w:ascii="宋体" w:eastAsia="宋体"/>
          <w:color w:val="auto"/>
          <w:sz w:val="24"/>
          <w:szCs w:val="24"/>
          <w:highlight w:val="none"/>
        </w:rPr>
      </w:pPr>
    </w:p>
    <w:p w14:paraId="567BAE5F">
      <w:pPr>
        <w:pStyle w:val="44"/>
        <w:keepNext w:val="0"/>
        <w:keepLines w:val="0"/>
        <w:pageBreakBefore w:val="0"/>
        <w:widowControl w:val="0"/>
        <w:kinsoku/>
        <w:wordWrap/>
        <w:overflowPunct/>
        <w:topLinePunct w:val="0"/>
        <w:autoSpaceDE/>
        <w:autoSpaceDN/>
        <w:bidi w:val="0"/>
        <w:adjustRightInd/>
        <w:snapToGrid/>
        <w:spacing w:line="380" w:lineRule="exact"/>
        <w:jc w:val="center"/>
        <w:textAlignment w:val="auto"/>
        <w:outlineLvl w:val="9"/>
        <w:rPr>
          <w:rFonts w:hint="default" w:ascii="宋体" w:eastAsia="宋体"/>
          <w:b/>
          <w:bCs/>
          <w:color w:val="auto"/>
          <w:sz w:val="28"/>
          <w:szCs w:val="28"/>
          <w:highlight w:val="none"/>
          <w:lang w:val="en-US" w:eastAsia="zh-CN"/>
        </w:rPr>
      </w:pPr>
      <w:r>
        <w:rPr>
          <w:rFonts w:hint="eastAsia" w:ascii="宋体" w:eastAsia="宋体"/>
          <w:b/>
          <w:bCs/>
          <w:color w:val="auto"/>
          <w:sz w:val="28"/>
          <w:szCs w:val="28"/>
          <w:highlight w:val="none"/>
          <w:lang w:val="en-US" w:eastAsia="zh-CN"/>
        </w:rPr>
        <w:t>其他管理和技术人员最低要求</w:t>
      </w:r>
    </w:p>
    <w:tbl>
      <w:tblPr>
        <w:tblStyle w:val="23"/>
        <w:tblW w:w="8688"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498"/>
        <w:gridCol w:w="830"/>
        <w:gridCol w:w="6360"/>
      </w:tblGrid>
      <w:tr w14:paraId="3303327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1498" w:type="dxa"/>
            <w:noWrap w:val="0"/>
            <w:vAlign w:val="center"/>
          </w:tcPr>
          <w:p w14:paraId="473D3B70">
            <w:pPr>
              <w:pStyle w:val="44"/>
              <w:spacing w:line="320" w:lineRule="exact"/>
              <w:jc w:val="center"/>
              <w:rPr>
                <w:rFonts w:hAnsi="宋体" w:cs="宋体"/>
                <w:b/>
                <w:bCs/>
                <w:color w:val="auto"/>
                <w:sz w:val="18"/>
                <w:szCs w:val="18"/>
                <w:highlight w:val="none"/>
              </w:rPr>
            </w:pPr>
            <w:r>
              <w:rPr>
                <w:rFonts w:hint="eastAsia" w:hAnsi="宋体"/>
                <w:b/>
                <w:bCs/>
                <w:color w:val="auto"/>
                <w:sz w:val="18"/>
                <w:szCs w:val="18"/>
                <w:highlight w:val="none"/>
              </w:rPr>
              <w:t>人员</w:t>
            </w:r>
          </w:p>
        </w:tc>
        <w:tc>
          <w:tcPr>
            <w:tcW w:w="830" w:type="dxa"/>
            <w:noWrap w:val="0"/>
            <w:vAlign w:val="center"/>
          </w:tcPr>
          <w:p w14:paraId="646B4D2E">
            <w:pPr>
              <w:pStyle w:val="44"/>
              <w:spacing w:line="320" w:lineRule="exact"/>
              <w:jc w:val="center"/>
              <w:rPr>
                <w:rFonts w:hAnsi="宋体" w:cs="宋体"/>
                <w:b/>
                <w:bCs/>
                <w:color w:val="auto"/>
                <w:sz w:val="18"/>
                <w:szCs w:val="18"/>
                <w:highlight w:val="none"/>
              </w:rPr>
            </w:pPr>
            <w:r>
              <w:rPr>
                <w:rFonts w:hint="eastAsia" w:hAnsi="宋体"/>
                <w:b/>
                <w:bCs/>
                <w:color w:val="auto"/>
                <w:sz w:val="18"/>
                <w:szCs w:val="18"/>
                <w:highlight w:val="none"/>
              </w:rPr>
              <w:t>数量</w:t>
            </w:r>
          </w:p>
        </w:tc>
        <w:tc>
          <w:tcPr>
            <w:tcW w:w="6360" w:type="dxa"/>
            <w:noWrap w:val="0"/>
            <w:vAlign w:val="center"/>
          </w:tcPr>
          <w:p w14:paraId="1E85C43B">
            <w:pPr>
              <w:pStyle w:val="44"/>
              <w:spacing w:line="320" w:lineRule="exact"/>
              <w:jc w:val="center"/>
              <w:rPr>
                <w:rFonts w:hAnsi="宋体" w:cs="宋体"/>
                <w:b/>
                <w:bCs/>
                <w:color w:val="auto"/>
                <w:sz w:val="18"/>
                <w:szCs w:val="18"/>
                <w:highlight w:val="none"/>
              </w:rPr>
            </w:pPr>
            <w:r>
              <w:rPr>
                <w:rFonts w:hint="eastAsia" w:hAnsi="宋体"/>
                <w:b/>
                <w:bCs/>
                <w:color w:val="auto"/>
                <w:sz w:val="18"/>
                <w:szCs w:val="18"/>
                <w:highlight w:val="none"/>
              </w:rPr>
              <w:t>资格要求</w:t>
            </w:r>
          </w:p>
        </w:tc>
      </w:tr>
      <w:tr w14:paraId="226B266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1498" w:type="dxa"/>
            <w:noWrap w:val="0"/>
            <w:vAlign w:val="center"/>
          </w:tcPr>
          <w:p w14:paraId="6B233472">
            <w:pPr>
              <w:pStyle w:val="44"/>
              <w:spacing w:line="320" w:lineRule="exact"/>
              <w:jc w:val="center"/>
              <w:rPr>
                <w:rFonts w:hint="default" w:hAnsi="宋体" w:eastAsia="宋体"/>
                <w:b w:val="0"/>
                <w:bCs w:val="0"/>
                <w:color w:val="auto"/>
                <w:sz w:val="18"/>
                <w:szCs w:val="18"/>
                <w:highlight w:val="none"/>
                <w:lang w:val="en-US" w:eastAsia="zh-CN"/>
              </w:rPr>
            </w:pPr>
            <w:bookmarkStart w:id="729" w:name="_Hlk17206788"/>
            <w:r>
              <w:rPr>
                <w:rFonts w:hint="eastAsia" w:hAnsi="宋体"/>
                <w:b w:val="0"/>
                <w:bCs w:val="0"/>
                <w:color w:val="auto"/>
                <w:sz w:val="18"/>
                <w:szCs w:val="18"/>
                <w:highlight w:val="none"/>
                <w:lang w:val="en-US" w:eastAsia="zh-CN"/>
              </w:rPr>
              <w:t>桥隧负责人</w:t>
            </w:r>
          </w:p>
        </w:tc>
        <w:tc>
          <w:tcPr>
            <w:tcW w:w="830" w:type="dxa"/>
            <w:noWrap w:val="0"/>
            <w:vAlign w:val="center"/>
          </w:tcPr>
          <w:p w14:paraId="3426E609">
            <w:pPr>
              <w:pStyle w:val="44"/>
              <w:spacing w:line="320" w:lineRule="exact"/>
              <w:jc w:val="center"/>
              <w:rPr>
                <w:rFonts w:hint="eastAsia" w:hAnsi="宋体" w:eastAsia="宋体"/>
                <w:b w:val="0"/>
                <w:bCs w:val="0"/>
                <w:color w:val="auto"/>
                <w:sz w:val="18"/>
                <w:szCs w:val="18"/>
                <w:highlight w:val="none"/>
                <w:lang w:val="en-US" w:eastAsia="zh-CN"/>
              </w:rPr>
            </w:pPr>
            <w:r>
              <w:rPr>
                <w:rFonts w:hint="eastAsia" w:hAnsi="宋体"/>
                <w:b w:val="0"/>
                <w:bCs w:val="0"/>
                <w:color w:val="auto"/>
                <w:sz w:val="18"/>
                <w:szCs w:val="18"/>
                <w:highlight w:val="none"/>
                <w:lang w:val="en-US" w:eastAsia="zh-CN"/>
              </w:rPr>
              <w:t>1</w:t>
            </w:r>
          </w:p>
        </w:tc>
        <w:tc>
          <w:tcPr>
            <w:tcW w:w="6360" w:type="dxa"/>
            <w:noWrap w:val="0"/>
            <w:vAlign w:val="center"/>
          </w:tcPr>
          <w:p w14:paraId="3766FB32">
            <w:pPr>
              <w:pStyle w:val="44"/>
              <w:spacing w:line="320" w:lineRule="exact"/>
              <w:jc w:val="both"/>
              <w:rPr>
                <w:rFonts w:hint="eastAsia" w:hAnsi="宋体"/>
                <w:b w:val="0"/>
                <w:bCs w:val="0"/>
                <w:color w:val="auto"/>
                <w:sz w:val="18"/>
                <w:szCs w:val="18"/>
                <w:highlight w:val="none"/>
              </w:rPr>
            </w:pPr>
            <w:r>
              <w:rPr>
                <w:rFonts w:hint="eastAsia"/>
                <w:b w:val="0"/>
                <w:bCs w:val="0"/>
                <w:strike w:val="0"/>
                <w:dstrike w:val="0"/>
                <w:color w:val="auto"/>
                <w:sz w:val="18"/>
                <w:szCs w:val="18"/>
                <w:highlight w:val="none"/>
                <w:lang w:val="en-US" w:eastAsia="zh-CN"/>
              </w:rPr>
              <w:t>具</w:t>
            </w:r>
            <w:r>
              <w:rPr>
                <w:rFonts w:hint="eastAsia"/>
                <w:b w:val="0"/>
                <w:bCs w:val="0"/>
                <w:strike w:val="0"/>
                <w:dstrike w:val="0"/>
                <w:color w:val="auto"/>
                <w:sz w:val="18"/>
                <w:szCs w:val="18"/>
                <w:highlight w:val="none"/>
              </w:rPr>
              <w:t>有</w:t>
            </w:r>
            <w:r>
              <w:rPr>
                <w:rFonts w:hint="eastAsia"/>
                <w:b w:val="0"/>
                <w:bCs w:val="0"/>
                <w:strike w:val="0"/>
                <w:dstrike w:val="0"/>
                <w:color w:val="auto"/>
                <w:sz w:val="18"/>
                <w:szCs w:val="18"/>
                <w:highlight w:val="none"/>
                <w:lang w:val="en-US" w:eastAsia="zh-CN"/>
              </w:rPr>
              <w:t>桥隧类专业</w:t>
            </w:r>
            <w:r>
              <w:rPr>
                <w:rFonts w:hint="eastAsia"/>
                <w:b w:val="0"/>
                <w:bCs w:val="0"/>
                <w:strike w:val="0"/>
                <w:dstrike w:val="0"/>
                <w:color w:val="auto"/>
                <w:sz w:val="18"/>
                <w:szCs w:val="18"/>
                <w:highlight w:val="none"/>
              </w:rPr>
              <w:t>高级工程师及以上技术职称</w:t>
            </w:r>
          </w:p>
        </w:tc>
      </w:tr>
      <w:tr w14:paraId="353C2E1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1498" w:type="dxa"/>
            <w:noWrap w:val="0"/>
            <w:vAlign w:val="center"/>
          </w:tcPr>
          <w:p w14:paraId="0FD08B20">
            <w:pPr>
              <w:pStyle w:val="44"/>
              <w:spacing w:line="320" w:lineRule="exact"/>
              <w:jc w:val="center"/>
              <w:rPr>
                <w:rFonts w:hint="default" w:ascii="宋体" w:eastAsia="宋体"/>
                <w:color w:val="auto"/>
                <w:sz w:val="18"/>
                <w:szCs w:val="18"/>
                <w:highlight w:val="none"/>
                <w:lang w:val="en-US" w:eastAsia="zh-CN"/>
              </w:rPr>
            </w:pPr>
            <w:r>
              <w:rPr>
                <w:rFonts w:hint="eastAsia" w:ascii="宋体"/>
                <w:color w:val="auto"/>
                <w:sz w:val="18"/>
                <w:szCs w:val="18"/>
                <w:highlight w:val="none"/>
                <w:lang w:val="en-US" w:eastAsia="zh-CN"/>
              </w:rPr>
              <w:t>交安负责人</w:t>
            </w:r>
          </w:p>
        </w:tc>
        <w:tc>
          <w:tcPr>
            <w:tcW w:w="830" w:type="dxa"/>
            <w:noWrap w:val="0"/>
            <w:vAlign w:val="center"/>
          </w:tcPr>
          <w:p w14:paraId="1D06FEDA">
            <w:pPr>
              <w:pStyle w:val="44"/>
              <w:spacing w:line="320" w:lineRule="exact"/>
              <w:jc w:val="center"/>
              <w:rPr>
                <w:rFonts w:hint="eastAsia" w:ascii="宋体" w:eastAsia="宋体"/>
                <w:color w:val="auto"/>
                <w:sz w:val="18"/>
                <w:szCs w:val="18"/>
                <w:highlight w:val="none"/>
                <w:lang w:val="en-US" w:eastAsia="zh-CN"/>
              </w:rPr>
            </w:pPr>
            <w:r>
              <w:rPr>
                <w:rFonts w:hint="eastAsia" w:ascii="宋体"/>
                <w:color w:val="auto"/>
                <w:sz w:val="18"/>
                <w:szCs w:val="18"/>
                <w:highlight w:val="none"/>
                <w:lang w:val="en-US" w:eastAsia="zh-CN"/>
              </w:rPr>
              <w:t>1</w:t>
            </w:r>
          </w:p>
        </w:tc>
        <w:tc>
          <w:tcPr>
            <w:tcW w:w="6360" w:type="dxa"/>
            <w:noWrap w:val="0"/>
            <w:vAlign w:val="center"/>
          </w:tcPr>
          <w:p w14:paraId="539546CA">
            <w:pPr>
              <w:pStyle w:val="44"/>
              <w:spacing w:line="320" w:lineRule="exact"/>
              <w:rPr>
                <w:rFonts w:hint="default" w:ascii="Times New Roman" w:hAnsi="宋体" w:eastAsia="宋体" w:cs="Calibri"/>
                <w:b/>
                <w:bCs/>
                <w:color w:val="auto"/>
                <w:kern w:val="2"/>
                <w:sz w:val="18"/>
                <w:szCs w:val="18"/>
                <w:highlight w:val="none"/>
                <w:lang w:val="en-US" w:eastAsia="zh-CN" w:bidi="ar-SA"/>
              </w:rPr>
            </w:pPr>
            <w:r>
              <w:rPr>
                <w:rFonts w:hint="eastAsia" w:ascii="宋体"/>
                <w:color w:val="auto"/>
                <w:sz w:val="18"/>
                <w:szCs w:val="18"/>
                <w:highlight w:val="none"/>
              </w:rPr>
              <w:t>中级及以上技术职称，</w:t>
            </w:r>
            <w:r>
              <w:rPr>
                <w:rFonts w:hint="eastAsia" w:ascii="宋体"/>
                <w:color w:val="auto"/>
                <w:sz w:val="18"/>
                <w:szCs w:val="18"/>
                <w:highlight w:val="none"/>
              </w:rPr>
              <w:t>具有5年及以上交安养护施工经验。</w:t>
            </w:r>
          </w:p>
        </w:tc>
      </w:tr>
      <w:tr w14:paraId="2AD3607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1498" w:type="dxa"/>
            <w:noWrap w:val="0"/>
            <w:vAlign w:val="center"/>
          </w:tcPr>
          <w:p w14:paraId="2ADDA360">
            <w:pPr>
              <w:pStyle w:val="9"/>
              <w:jc w:val="center"/>
              <w:rPr>
                <w:rFonts w:hint="eastAsia" w:ascii="宋体" w:cs="Calibri"/>
                <w:color w:val="auto"/>
                <w:sz w:val="18"/>
                <w:szCs w:val="18"/>
                <w:highlight w:val="none"/>
              </w:rPr>
            </w:pPr>
            <w:r>
              <w:rPr>
                <w:rFonts w:hint="eastAsia" w:ascii="宋体" w:cs="Calibri"/>
                <w:color w:val="auto"/>
                <w:sz w:val="18"/>
                <w:szCs w:val="18"/>
                <w:highlight w:val="none"/>
              </w:rPr>
              <w:t>质量检验负责人</w:t>
            </w:r>
          </w:p>
        </w:tc>
        <w:tc>
          <w:tcPr>
            <w:tcW w:w="830" w:type="dxa"/>
            <w:noWrap w:val="0"/>
            <w:vAlign w:val="center"/>
          </w:tcPr>
          <w:p w14:paraId="7A98D600">
            <w:pPr>
              <w:pStyle w:val="43"/>
              <w:spacing w:line="320" w:lineRule="exact"/>
              <w:jc w:val="center"/>
              <w:rPr>
                <w:rFonts w:hint="eastAsia" w:ascii="宋体"/>
                <w:color w:val="auto"/>
                <w:sz w:val="18"/>
                <w:szCs w:val="18"/>
                <w:highlight w:val="none"/>
              </w:rPr>
            </w:pPr>
            <w:r>
              <w:rPr>
                <w:rFonts w:hint="eastAsia" w:ascii="宋体"/>
                <w:color w:val="auto"/>
                <w:sz w:val="18"/>
                <w:szCs w:val="18"/>
                <w:highlight w:val="none"/>
              </w:rPr>
              <w:t>1</w:t>
            </w:r>
          </w:p>
        </w:tc>
        <w:tc>
          <w:tcPr>
            <w:tcW w:w="6360" w:type="dxa"/>
            <w:noWrap w:val="0"/>
            <w:vAlign w:val="center"/>
          </w:tcPr>
          <w:p w14:paraId="64828C99">
            <w:pPr>
              <w:pStyle w:val="9"/>
              <w:spacing w:line="300" w:lineRule="exact"/>
              <w:jc w:val="left"/>
              <w:rPr>
                <w:rFonts w:hint="eastAsia" w:ascii="宋体" w:cs="Calibri"/>
                <w:color w:val="auto"/>
                <w:sz w:val="18"/>
                <w:szCs w:val="18"/>
                <w:highlight w:val="none"/>
              </w:rPr>
            </w:pPr>
            <w:r>
              <w:rPr>
                <w:rFonts w:hint="eastAsia" w:ascii="宋体" w:cs="Calibri"/>
                <w:color w:val="auto"/>
                <w:sz w:val="18"/>
                <w:szCs w:val="18"/>
                <w:highlight w:val="none"/>
              </w:rPr>
              <w:t>中级及以上技术职称，并有省级及以上部门核发的质检员岗位证书或培训证书。</w:t>
            </w:r>
          </w:p>
        </w:tc>
      </w:tr>
      <w:bookmarkEnd w:id="729"/>
      <w:tr w14:paraId="26C60F5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1498" w:type="dxa"/>
            <w:noWrap w:val="0"/>
            <w:vAlign w:val="center"/>
          </w:tcPr>
          <w:p w14:paraId="786C6A96">
            <w:pPr>
              <w:pStyle w:val="9"/>
              <w:spacing w:line="240" w:lineRule="exact"/>
              <w:jc w:val="center"/>
              <w:rPr>
                <w:rFonts w:hint="eastAsia" w:ascii="宋体" w:cs="Calibri"/>
                <w:color w:val="auto"/>
                <w:sz w:val="18"/>
                <w:szCs w:val="18"/>
                <w:highlight w:val="none"/>
              </w:rPr>
            </w:pPr>
            <w:r>
              <w:rPr>
                <w:rFonts w:hint="eastAsia" w:ascii="宋体" w:cs="Calibri"/>
                <w:color w:val="auto"/>
                <w:sz w:val="18"/>
                <w:szCs w:val="18"/>
                <w:highlight w:val="none"/>
              </w:rPr>
              <w:t>试验负责人</w:t>
            </w:r>
          </w:p>
        </w:tc>
        <w:tc>
          <w:tcPr>
            <w:tcW w:w="830" w:type="dxa"/>
            <w:noWrap w:val="0"/>
            <w:vAlign w:val="center"/>
          </w:tcPr>
          <w:p w14:paraId="5D7B9DC4">
            <w:pPr>
              <w:pStyle w:val="44"/>
              <w:spacing w:line="320" w:lineRule="exact"/>
              <w:jc w:val="center"/>
              <w:rPr>
                <w:rFonts w:ascii="宋体"/>
                <w:color w:val="auto"/>
                <w:sz w:val="18"/>
                <w:szCs w:val="18"/>
                <w:highlight w:val="none"/>
              </w:rPr>
            </w:pPr>
            <w:r>
              <w:rPr>
                <w:rFonts w:hint="eastAsia" w:ascii="宋体"/>
                <w:color w:val="auto"/>
                <w:sz w:val="18"/>
                <w:szCs w:val="18"/>
                <w:highlight w:val="none"/>
              </w:rPr>
              <w:t>1</w:t>
            </w:r>
          </w:p>
        </w:tc>
        <w:tc>
          <w:tcPr>
            <w:tcW w:w="6360" w:type="dxa"/>
            <w:noWrap w:val="0"/>
            <w:vAlign w:val="center"/>
          </w:tcPr>
          <w:p w14:paraId="2D142A09">
            <w:pPr>
              <w:pStyle w:val="9"/>
              <w:spacing w:line="300" w:lineRule="exact"/>
              <w:jc w:val="left"/>
              <w:rPr>
                <w:rFonts w:hint="eastAsia" w:ascii="宋体" w:cs="Calibri"/>
                <w:color w:val="auto"/>
                <w:sz w:val="18"/>
                <w:szCs w:val="18"/>
                <w:highlight w:val="none"/>
              </w:rPr>
            </w:pPr>
            <w:r>
              <w:rPr>
                <w:rFonts w:hint="eastAsia" w:ascii="宋体" w:cs="Calibri"/>
                <w:color w:val="auto"/>
                <w:sz w:val="18"/>
                <w:szCs w:val="18"/>
                <w:highlight w:val="none"/>
              </w:rPr>
              <w:t>中级及以上技术职称，</w:t>
            </w:r>
            <w:r>
              <w:rPr>
                <w:rFonts w:hint="eastAsia" w:ascii="宋体" w:eastAsia="宋体" w:cs="Calibri"/>
                <w:color w:val="auto"/>
                <w:sz w:val="18"/>
                <w:szCs w:val="18"/>
                <w:highlight w:val="none"/>
                <w:lang w:val="en-US" w:eastAsia="zh-CN"/>
              </w:rPr>
              <w:t>并具有试验检测工程师证书</w:t>
            </w:r>
            <w:r>
              <w:rPr>
                <w:rFonts w:hint="eastAsia" w:ascii="宋体" w:cs="Calibri"/>
                <w:color w:val="auto"/>
                <w:sz w:val="18"/>
                <w:szCs w:val="18"/>
                <w:highlight w:val="none"/>
              </w:rPr>
              <w:t>。</w:t>
            </w:r>
          </w:p>
        </w:tc>
      </w:tr>
      <w:tr w14:paraId="57B07E6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1498" w:type="dxa"/>
            <w:noWrap w:val="0"/>
            <w:vAlign w:val="center"/>
          </w:tcPr>
          <w:p w14:paraId="51C41D4C">
            <w:pPr>
              <w:pStyle w:val="9"/>
              <w:spacing w:line="240" w:lineRule="exact"/>
              <w:jc w:val="center"/>
              <w:rPr>
                <w:rFonts w:hint="default" w:ascii="宋体" w:eastAsia="宋体" w:cs="Calibri"/>
                <w:color w:val="auto"/>
                <w:sz w:val="18"/>
                <w:szCs w:val="18"/>
                <w:highlight w:val="none"/>
                <w:lang w:val="en-US" w:eastAsia="zh-CN"/>
              </w:rPr>
            </w:pPr>
            <w:r>
              <w:rPr>
                <w:rFonts w:hint="eastAsia" w:ascii="宋体" w:eastAsia="宋体" w:cs="Calibri"/>
                <w:color w:val="auto"/>
                <w:sz w:val="18"/>
                <w:szCs w:val="18"/>
                <w:highlight w:val="none"/>
                <w:lang w:val="en-US" w:eastAsia="zh-CN"/>
              </w:rPr>
              <w:t>测量负责人</w:t>
            </w:r>
          </w:p>
        </w:tc>
        <w:tc>
          <w:tcPr>
            <w:tcW w:w="830" w:type="dxa"/>
            <w:noWrap w:val="0"/>
            <w:vAlign w:val="center"/>
          </w:tcPr>
          <w:p w14:paraId="188A9434">
            <w:pPr>
              <w:pStyle w:val="44"/>
              <w:spacing w:line="320" w:lineRule="exact"/>
              <w:jc w:val="center"/>
              <w:rPr>
                <w:rFonts w:hint="eastAsia" w:ascii="宋体" w:eastAsia="宋体"/>
                <w:color w:val="auto"/>
                <w:sz w:val="18"/>
                <w:szCs w:val="18"/>
                <w:highlight w:val="none"/>
                <w:lang w:val="en-US" w:eastAsia="zh-CN"/>
              </w:rPr>
            </w:pPr>
          </w:p>
        </w:tc>
        <w:tc>
          <w:tcPr>
            <w:tcW w:w="6360" w:type="dxa"/>
            <w:noWrap w:val="0"/>
            <w:vAlign w:val="center"/>
          </w:tcPr>
          <w:p w14:paraId="004D2707">
            <w:pPr>
              <w:pStyle w:val="9"/>
              <w:spacing w:line="300" w:lineRule="exact"/>
              <w:jc w:val="left"/>
              <w:rPr>
                <w:rFonts w:hint="default" w:ascii="宋体" w:eastAsia="宋体" w:cs="Calibri"/>
                <w:color w:val="auto"/>
                <w:sz w:val="18"/>
                <w:szCs w:val="18"/>
                <w:highlight w:val="none"/>
                <w:lang w:val="en-US" w:eastAsia="zh-CN"/>
              </w:rPr>
            </w:pPr>
            <w:r>
              <w:rPr>
                <w:rFonts w:hint="eastAsia" w:ascii="宋体" w:eastAsia="宋体" w:cs="Calibri"/>
                <w:color w:val="auto"/>
                <w:sz w:val="18"/>
                <w:szCs w:val="18"/>
                <w:highlight w:val="none"/>
                <w:lang w:val="en-US" w:eastAsia="zh-CN"/>
              </w:rPr>
              <w:t>可由上述质量检</w:t>
            </w:r>
            <w:r>
              <w:rPr>
                <w:rFonts w:hint="eastAsia" w:ascii="宋体" w:cs="Calibri"/>
                <w:color w:val="auto"/>
                <w:sz w:val="18"/>
                <w:szCs w:val="18"/>
                <w:highlight w:val="none"/>
              </w:rPr>
              <w:t>验</w:t>
            </w:r>
            <w:r>
              <w:rPr>
                <w:rFonts w:hint="eastAsia" w:ascii="宋体" w:eastAsia="宋体" w:cs="Calibri"/>
                <w:color w:val="auto"/>
                <w:sz w:val="18"/>
                <w:szCs w:val="18"/>
                <w:highlight w:val="none"/>
                <w:lang w:val="en-US" w:eastAsia="zh-CN"/>
              </w:rPr>
              <w:t>负责人或试验负责人兼任。</w:t>
            </w:r>
          </w:p>
        </w:tc>
      </w:tr>
    </w:tbl>
    <w:p w14:paraId="3B6661F7">
      <w:pPr>
        <w:pStyle w:val="9"/>
        <w:spacing w:line="320" w:lineRule="exact"/>
        <w:rPr>
          <w:rFonts w:hint="eastAsia"/>
          <w:color w:val="auto"/>
          <w:sz w:val="18"/>
          <w:szCs w:val="18"/>
          <w:highlight w:val="none"/>
        </w:rPr>
      </w:pPr>
      <w:r>
        <w:rPr>
          <w:rFonts w:hint="eastAsia"/>
          <w:color w:val="auto"/>
          <w:sz w:val="18"/>
          <w:szCs w:val="18"/>
          <w:highlight w:val="none"/>
        </w:rPr>
        <w:t>注：</w:t>
      </w:r>
      <w:r>
        <w:rPr>
          <w:rFonts w:hint="eastAsia" w:eastAsia="宋体"/>
          <w:color w:val="auto"/>
          <w:sz w:val="18"/>
          <w:szCs w:val="18"/>
          <w:highlight w:val="none"/>
          <w:lang w:val="en-US" w:eastAsia="zh-CN"/>
        </w:rPr>
        <w:t>上述人员相关资料（身份证正反面复印件、技术职称证书复制件及要求的其他证书复制件，并加盖单位公章）</w:t>
      </w:r>
      <w:r>
        <w:rPr>
          <w:rFonts w:hint="eastAsia"/>
          <w:color w:val="auto"/>
          <w:sz w:val="18"/>
          <w:szCs w:val="18"/>
          <w:highlight w:val="none"/>
        </w:rPr>
        <w:t>在</w:t>
      </w:r>
      <w:r>
        <w:rPr>
          <w:rFonts w:hint="eastAsia" w:eastAsia="宋体"/>
          <w:color w:val="auto"/>
          <w:sz w:val="18"/>
          <w:szCs w:val="18"/>
          <w:highlight w:val="none"/>
          <w:lang w:val="en-US" w:eastAsia="zh-CN"/>
        </w:rPr>
        <w:t>签订合同协议</w:t>
      </w:r>
      <w:r>
        <w:rPr>
          <w:rFonts w:hint="eastAsia"/>
          <w:color w:val="auto"/>
          <w:sz w:val="18"/>
          <w:szCs w:val="18"/>
          <w:highlight w:val="none"/>
        </w:rPr>
        <w:t>书前报招标人审批后作为派驻本合同段的项目管理机构主要人员</w:t>
      </w:r>
      <w:r>
        <w:rPr>
          <w:rFonts w:hint="eastAsia" w:eastAsia="宋体"/>
          <w:color w:val="auto"/>
          <w:sz w:val="18"/>
          <w:szCs w:val="18"/>
          <w:highlight w:val="none"/>
          <w:lang w:eastAsia="zh-CN"/>
        </w:rPr>
        <w:t>，</w:t>
      </w:r>
      <w:r>
        <w:rPr>
          <w:rFonts w:hint="eastAsia" w:eastAsia="宋体"/>
          <w:color w:val="auto"/>
          <w:sz w:val="18"/>
          <w:szCs w:val="18"/>
          <w:highlight w:val="none"/>
          <w:lang w:val="en-US" w:eastAsia="zh-CN"/>
        </w:rPr>
        <w:t>并在施工期内</w:t>
      </w:r>
      <w:r>
        <w:rPr>
          <w:rFonts w:hint="eastAsia"/>
          <w:color w:val="auto"/>
          <w:sz w:val="18"/>
          <w:szCs w:val="18"/>
          <w:highlight w:val="none"/>
        </w:rPr>
        <w:t>不允许更换。</w:t>
      </w:r>
      <w:r>
        <w:rPr>
          <w:rFonts w:hint="eastAsia" w:eastAsia="宋体"/>
          <w:color w:val="auto"/>
          <w:sz w:val="18"/>
          <w:szCs w:val="18"/>
          <w:highlight w:val="none"/>
          <w:lang w:val="en-US" w:eastAsia="zh-CN"/>
        </w:rPr>
        <w:t>上述人员</w:t>
      </w:r>
      <w:r>
        <w:rPr>
          <w:rFonts w:hint="eastAsia"/>
          <w:color w:val="auto"/>
          <w:sz w:val="18"/>
          <w:szCs w:val="18"/>
          <w:highlight w:val="none"/>
        </w:rPr>
        <w:t>是对</w:t>
      </w:r>
      <w:r>
        <w:rPr>
          <w:rFonts w:hint="eastAsia" w:eastAsia="宋体"/>
          <w:color w:val="auto"/>
          <w:sz w:val="18"/>
          <w:szCs w:val="18"/>
          <w:highlight w:val="none"/>
          <w:lang w:val="en-US" w:eastAsia="zh-CN"/>
        </w:rPr>
        <w:t>承包人</w:t>
      </w:r>
      <w:r>
        <w:rPr>
          <w:rFonts w:hint="eastAsia"/>
          <w:color w:val="auto"/>
          <w:sz w:val="18"/>
          <w:szCs w:val="18"/>
          <w:highlight w:val="none"/>
        </w:rPr>
        <w:t>需派驻的其他管理人员和技术人员的最低要求，如工程需要或发包人要求承包人增加相关人员的，相关费用均视为已包含在投标报价中</w:t>
      </w:r>
      <w:r>
        <w:rPr>
          <w:rFonts w:hint="eastAsia" w:eastAsia="宋体"/>
          <w:color w:val="auto"/>
          <w:sz w:val="18"/>
          <w:szCs w:val="18"/>
          <w:highlight w:val="none"/>
          <w:lang w:val="en-US" w:eastAsia="zh-CN"/>
        </w:rPr>
        <w:t>，发包人不再另行支付</w:t>
      </w:r>
      <w:r>
        <w:rPr>
          <w:rFonts w:hint="eastAsia" w:eastAsia="宋体"/>
          <w:color w:val="auto"/>
          <w:sz w:val="18"/>
          <w:szCs w:val="18"/>
          <w:highlight w:val="none"/>
          <w:lang w:eastAsia="zh-CN"/>
        </w:rPr>
        <w:t>。</w:t>
      </w:r>
    </w:p>
    <w:p w14:paraId="292C153C">
      <w:pPr>
        <w:pStyle w:val="44"/>
        <w:spacing w:line="320" w:lineRule="exact"/>
        <w:ind w:firstLine="210" w:firstLineChars="100"/>
        <w:rPr>
          <w:rFonts w:hint="eastAsia" w:ascii="宋体"/>
          <w:color w:val="auto"/>
          <w:highlight w:val="none"/>
        </w:rPr>
      </w:pPr>
      <w:r>
        <w:rPr>
          <w:rFonts w:hint="eastAsia" w:ascii="宋体"/>
          <w:color w:val="auto"/>
          <w:highlight w:val="none"/>
        </w:rPr>
        <w:t xml:space="preserve"> </w:t>
      </w:r>
    </w:p>
    <w:p w14:paraId="39E6B174">
      <w:pPr>
        <w:pStyle w:val="44"/>
        <w:keepNext w:val="0"/>
        <w:keepLines w:val="0"/>
        <w:pageBreakBefore w:val="0"/>
        <w:widowControl w:val="0"/>
        <w:kinsoku/>
        <w:wordWrap/>
        <w:overflowPunct/>
        <w:topLinePunct w:val="0"/>
        <w:autoSpaceDE/>
        <w:autoSpaceDN/>
        <w:bidi w:val="0"/>
        <w:adjustRightInd/>
        <w:snapToGrid/>
        <w:spacing w:line="320" w:lineRule="exact"/>
        <w:textAlignment w:val="auto"/>
        <w:outlineLvl w:val="3"/>
        <w:rPr>
          <w:rFonts w:hint="eastAsia" w:ascii="黑体" w:hAnsi="黑体" w:eastAsia="黑体"/>
          <w:color w:val="auto"/>
          <w:sz w:val="28"/>
          <w:szCs w:val="28"/>
          <w:highlight w:val="none"/>
        </w:rPr>
      </w:pPr>
      <w:r>
        <w:rPr>
          <w:rFonts w:hint="eastAsia" w:ascii="黑体" w:hAnsi="黑体" w:eastAsia="黑体"/>
          <w:color w:val="auto"/>
          <w:sz w:val="28"/>
          <w:szCs w:val="28"/>
          <w:highlight w:val="none"/>
        </w:rPr>
        <w:br w:type="page"/>
      </w:r>
      <w:r>
        <w:rPr>
          <w:rFonts w:hint="eastAsia" w:ascii="黑体" w:hAnsi="黑体" w:eastAsia="黑体"/>
          <w:color w:val="auto"/>
          <w:sz w:val="28"/>
          <w:szCs w:val="28"/>
          <w:highlight w:val="none"/>
        </w:rPr>
        <w:t xml:space="preserve">附件五 </w:t>
      </w:r>
      <w:r>
        <w:rPr>
          <w:rFonts w:hint="eastAsia" w:ascii="黑体" w:hAnsi="黑体" w:eastAsia="黑体"/>
          <w:color w:val="auto"/>
          <w:sz w:val="28"/>
          <w:szCs w:val="28"/>
          <w:highlight w:val="none"/>
          <w:lang w:val="en-US" w:eastAsia="zh-CN"/>
        </w:rPr>
        <w:t xml:space="preserve"> </w:t>
      </w:r>
      <w:r>
        <w:rPr>
          <w:rFonts w:hint="eastAsia" w:ascii="黑体" w:hAnsi="黑体" w:eastAsia="黑体"/>
          <w:color w:val="auto"/>
          <w:sz w:val="28"/>
          <w:szCs w:val="28"/>
          <w:highlight w:val="none"/>
        </w:rPr>
        <w:t>主要机械设备和试验检测设备最低要求</w:t>
      </w:r>
    </w:p>
    <w:p w14:paraId="34CFFFB8">
      <w:pPr>
        <w:pStyle w:val="44"/>
        <w:keepNext w:val="0"/>
        <w:keepLines w:val="0"/>
        <w:pageBreakBefore w:val="0"/>
        <w:widowControl w:val="0"/>
        <w:kinsoku/>
        <w:wordWrap/>
        <w:overflowPunct/>
        <w:topLinePunct w:val="0"/>
        <w:autoSpaceDE/>
        <w:autoSpaceDN/>
        <w:bidi w:val="0"/>
        <w:adjustRightInd/>
        <w:snapToGrid/>
        <w:spacing w:line="320" w:lineRule="exact"/>
        <w:textAlignment w:val="auto"/>
        <w:outlineLvl w:val="9"/>
        <w:rPr>
          <w:rFonts w:hint="eastAsia" w:ascii="黑体" w:hAnsi="黑体" w:eastAsia="黑体"/>
          <w:color w:val="auto"/>
          <w:sz w:val="28"/>
          <w:szCs w:val="28"/>
          <w:highlight w:val="none"/>
        </w:rPr>
      </w:pPr>
    </w:p>
    <w:p w14:paraId="1240BECA">
      <w:pPr>
        <w:pStyle w:val="44"/>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hint="eastAsia" w:ascii="黑体" w:hAnsi="黑体" w:eastAsia="黑体"/>
          <w:color w:val="auto"/>
          <w:sz w:val="28"/>
          <w:szCs w:val="28"/>
          <w:highlight w:val="none"/>
        </w:rPr>
      </w:pPr>
      <w:r>
        <w:rPr>
          <w:rFonts w:hint="eastAsia" w:ascii="黑体" w:hAnsi="黑体" w:eastAsia="黑体"/>
          <w:color w:val="auto"/>
          <w:sz w:val="28"/>
          <w:szCs w:val="28"/>
          <w:highlight w:val="none"/>
        </w:rPr>
        <w:t>主要机械设备和试验检测设备最低要求</w:t>
      </w:r>
    </w:p>
    <w:tbl>
      <w:tblPr>
        <w:tblStyle w:val="23"/>
        <w:tblpPr w:leftFromText="180" w:rightFromText="180" w:vertAnchor="text" w:horzAnchor="page" w:tblpX="1921" w:tblpY="130"/>
        <w:tblOverlap w:val="never"/>
        <w:tblW w:w="8346"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971"/>
        <w:gridCol w:w="4039"/>
        <w:gridCol w:w="943"/>
        <w:gridCol w:w="1393"/>
      </w:tblGrid>
      <w:tr w14:paraId="55BE665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1971" w:type="dxa"/>
            <w:noWrap w:val="0"/>
            <w:vAlign w:val="center"/>
          </w:tcPr>
          <w:p w14:paraId="13E4FDB6">
            <w:pPr>
              <w:pStyle w:val="9"/>
              <w:tabs>
                <w:tab w:val="left" w:pos="2790"/>
              </w:tabs>
              <w:spacing w:line="320" w:lineRule="exact"/>
              <w:jc w:val="center"/>
              <w:rPr>
                <w:rFonts w:hint="eastAsia" w:ascii="Times New Roman" w:hAnsi="宋体" w:eastAsia="Times New Roman" w:cs="Calibri"/>
                <w:b/>
                <w:bCs/>
                <w:color w:val="auto"/>
                <w:kern w:val="2"/>
                <w:sz w:val="21"/>
                <w:szCs w:val="21"/>
                <w:highlight w:val="none"/>
                <w:lang w:val="en-US" w:eastAsia="zh-CN" w:bidi="ar-SA"/>
              </w:rPr>
            </w:pPr>
            <w:r>
              <w:rPr>
                <w:rFonts w:hint="eastAsia" w:ascii="Times New Roman" w:hAnsi="宋体" w:eastAsia="Times New Roman" w:cs="Calibri"/>
                <w:b/>
                <w:bCs/>
                <w:color w:val="auto"/>
                <w:kern w:val="2"/>
                <w:sz w:val="21"/>
                <w:szCs w:val="21"/>
                <w:highlight w:val="none"/>
                <w:lang w:val="en-US" w:eastAsia="zh-CN" w:bidi="ar-SA"/>
              </w:rPr>
              <w:t>设备名称</w:t>
            </w:r>
          </w:p>
        </w:tc>
        <w:tc>
          <w:tcPr>
            <w:tcW w:w="4039" w:type="dxa"/>
            <w:noWrap w:val="0"/>
            <w:vAlign w:val="center"/>
          </w:tcPr>
          <w:p w14:paraId="748D3B5B">
            <w:pPr>
              <w:pStyle w:val="9"/>
              <w:tabs>
                <w:tab w:val="left" w:pos="2790"/>
              </w:tabs>
              <w:spacing w:line="320" w:lineRule="exact"/>
              <w:jc w:val="center"/>
              <w:rPr>
                <w:rFonts w:hint="eastAsia" w:ascii="Times New Roman" w:hAnsi="宋体" w:eastAsia="Times New Roman" w:cs="Calibri"/>
                <w:b/>
                <w:bCs/>
                <w:color w:val="auto"/>
                <w:kern w:val="2"/>
                <w:sz w:val="21"/>
                <w:szCs w:val="21"/>
                <w:highlight w:val="none"/>
                <w:lang w:val="en-US" w:eastAsia="zh-CN" w:bidi="ar-SA"/>
              </w:rPr>
            </w:pPr>
            <w:r>
              <w:rPr>
                <w:rFonts w:hint="eastAsia" w:ascii="Times New Roman" w:hAnsi="宋体" w:eastAsia="Times New Roman" w:cs="Calibri"/>
                <w:b/>
                <w:bCs/>
                <w:color w:val="auto"/>
                <w:kern w:val="2"/>
                <w:sz w:val="21"/>
                <w:szCs w:val="21"/>
                <w:highlight w:val="none"/>
                <w:lang w:val="en-US" w:eastAsia="zh-CN" w:bidi="ar-SA"/>
              </w:rPr>
              <w:t>规格、功能及容量</w:t>
            </w:r>
          </w:p>
        </w:tc>
        <w:tc>
          <w:tcPr>
            <w:tcW w:w="943" w:type="dxa"/>
            <w:noWrap w:val="0"/>
            <w:vAlign w:val="center"/>
          </w:tcPr>
          <w:p w14:paraId="58FBE811">
            <w:pPr>
              <w:pStyle w:val="9"/>
              <w:tabs>
                <w:tab w:val="left" w:pos="2790"/>
              </w:tabs>
              <w:spacing w:line="320" w:lineRule="exact"/>
              <w:jc w:val="center"/>
              <w:rPr>
                <w:rFonts w:hint="eastAsia" w:ascii="Times New Roman" w:hAnsi="宋体" w:eastAsia="Times New Roman" w:cs="Calibri"/>
                <w:b/>
                <w:bCs/>
                <w:color w:val="auto"/>
                <w:kern w:val="2"/>
                <w:sz w:val="21"/>
                <w:szCs w:val="21"/>
                <w:highlight w:val="none"/>
                <w:lang w:val="en-US" w:eastAsia="zh-CN" w:bidi="ar-SA"/>
              </w:rPr>
            </w:pPr>
            <w:r>
              <w:rPr>
                <w:rFonts w:hint="eastAsia" w:ascii="Times New Roman" w:hAnsi="宋体" w:eastAsia="Times New Roman" w:cs="Calibri"/>
                <w:b/>
                <w:bCs/>
                <w:color w:val="auto"/>
                <w:kern w:val="2"/>
                <w:sz w:val="21"/>
                <w:szCs w:val="21"/>
                <w:highlight w:val="none"/>
                <w:lang w:val="en-US" w:eastAsia="zh-CN" w:bidi="ar-SA"/>
              </w:rPr>
              <w:t>单位</w:t>
            </w:r>
          </w:p>
        </w:tc>
        <w:tc>
          <w:tcPr>
            <w:tcW w:w="1393" w:type="dxa"/>
            <w:noWrap w:val="0"/>
            <w:vAlign w:val="center"/>
          </w:tcPr>
          <w:p w14:paraId="6D163DC4">
            <w:pPr>
              <w:pStyle w:val="9"/>
              <w:tabs>
                <w:tab w:val="left" w:pos="2790"/>
              </w:tabs>
              <w:spacing w:line="320" w:lineRule="exact"/>
              <w:jc w:val="center"/>
              <w:rPr>
                <w:rFonts w:hint="eastAsia" w:ascii="Times New Roman" w:hAnsi="宋体" w:eastAsia="Times New Roman" w:cs="Calibri"/>
                <w:b/>
                <w:bCs/>
                <w:color w:val="auto"/>
                <w:kern w:val="2"/>
                <w:sz w:val="21"/>
                <w:szCs w:val="21"/>
                <w:highlight w:val="none"/>
                <w:lang w:val="en-US" w:eastAsia="zh-CN" w:bidi="ar-SA"/>
              </w:rPr>
            </w:pPr>
            <w:r>
              <w:rPr>
                <w:rFonts w:hint="eastAsia" w:ascii="Times New Roman" w:hAnsi="宋体" w:eastAsia="Times New Roman" w:cs="Calibri"/>
                <w:b/>
                <w:bCs/>
                <w:color w:val="auto"/>
                <w:kern w:val="2"/>
                <w:sz w:val="21"/>
                <w:szCs w:val="21"/>
                <w:highlight w:val="none"/>
                <w:lang w:val="en-US" w:eastAsia="zh-CN" w:bidi="ar-SA"/>
              </w:rPr>
              <w:t>最低数量要求</w:t>
            </w:r>
          </w:p>
        </w:tc>
      </w:tr>
      <w:tr w14:paraId="49454DB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971" w:type="dxa"/>
            <w:noWrap w:val="0"/>
            <w:vAlign w:val="top"/>
          </w:tcPr>
          <w:p w14:paraId="1299C9CE">
            <w:pPr>
              <w:pStyle w:val="75"/>
              <w:spacing w:before="92" w:line="220" w:lineRule="auto"/>
              <w:ind w:left="0" w:leftChars="0" w:right="0" w:rightChars="0" w:firstLine="0" w:firstLineChars="0"/>
              <w:jc w:val="center"/>
              <w:rPr>
                <w:rFonts w:hint="eastAsia" w:ascii="宋体" w:hAnsi="宋体" w:eastAsia="宋体" w:cs="宋体"/>
                <w:color w:val="auto"/>
                <w:kern w:val="2"/>
                <w:sz w:val="21"/>
                <w:szCs w:val="21"/>
                <w:highlight w:val="none"/>
                <w:lang w:val="en-US" w:eastAsia="zh-CN" w:bidi="ar-SA"/>
              </w:rPr>
            </w:pPr>
            <w:r>
              <w:rPr>
                <w:color w:val="auto"/>
                <w:spacing w:val="-3"/>
                <w:sz w:val="21"/>
                <w:szCs w:val="21"/>
                <w:highlight w:val="none"/>
              </w:rPr>
              <w:t>工程车</w:t>
            </w:r>
          </w:p>
        </w:tc>
        <w:tc>
          <w:tcPr>
            <w:tcW w:w="4039" w:type="dxa"/>
            <w:noWrap w:val="0"/>
            <w:vAlign w:val="top"/>
          </w:tcPr>
          <w:p w14:paraId="300B9395">
            <w:pPr>
              <w:pStyle w:val="75"/>
              <w:spacing w:before="92" w:line="220" w:lineRule="auto"/>
              <w:ind w:left="0" w:leftChars="0" w:right="0" w:rightChars="0" w:firstLine="0" w:firstLineChars="0"/>
              <w:jc w:val="center"/>
              <w:rPr>
                <w:rFonts w:hint="eastAsia" w:ascii="宋体" w:hAnsi="宋体" w:eastAsia="宋体" w:cs="宋体"/>
                <w:color w:val="auto"/>
                <w:kern w:val="2"/>
                <w:sz w:val="21"/>
                <w:szCs w:val="21"/>
                <w:highlight w:val="none"/>
                <w:lang w:val="en-US" w:eastAsia="en-US" w:bidi="ar-SA"/>
              </w:rPr>
            </w:pPr>
            <w:r>
              <w:rPr>
                <w:color w:val="auto"/>
                <w:spacing w:val="-1"/>
                <w:sz w:val="21"/>
                <w:szCs w:val="21"/>
                <w:highlight w:val="none"/>
              </w:rPr>
              <w:t>满足工程指挥、现场作业</w:t>
            </w:r>
          </w:p>
        </w:tc>
        <w:tc>
          <w:tcPr>
            <w:tcW w:w="943" w:type="dxa"/>
            <w:noWrap w:val="0"/>
            <w:vAlign w:val="top"/>
          </w:tcPr>
          <w:p w14:paraId="2300DBD3">
            <w:pPr>
              <w:pStyle w:val="75"/>
              <w:spacing w:before="92" w:line="220" w:lineRule="auto"/>
              <w:ind w:left="0" w:leftChars="0" w:right="0" w:rightChars="0" w:firstLine="0" w:firstLineChars="0"/>
              <w:jc w:val="center"/>
              <w:rPr>
                <w:rFonts w:hint="eastAsia" w:ascii="宋体" w:hAnsi="宋体" w:eastAsia="宋体" w:cs="宋体"/>
                <w:color w:val="auto"/>
                <w:kern w:val="2"/>
                <w:sz w:val="21"/>
                <w:szCs w:val="21"/>
                <w:highlight w:val="none"/>
                <w:lang w:val="en-US" w:eastAsia="en-US" w:bidi="ar-SA"/>
              </w:rPr>
            </w:pPr>
            <w:r>
              <w:rPr>
                <w:color w:val="auto"/>
                <w:sz w:val="21"/>
                <w:szCs w:val="21"/>
                <w:highlight w:val="none"/>
              </w:rPr>
              <w:t>辆</w:t>
            </w:r>
          </w:p>
        </w:tc>
        <w:tc>
          <w:tcPr>
            <w:tcW w:w="1393" w:type="dxa"/>
            <w:noWrap w:val="0"/>
            <w:vAlign w:val="top"/>
          </w:tcPr>
          <w:p w14:paraId="563D9E67">
            <w:pPr>
              <w:pStyle w:val="75"/>
              <w:spacing w:before="92" w:line="241" w:lineRule="auto"/>
              <w:ind w:left="0" w:leftChars="0" w:right="0" w:rightChars="0" w:firstLine="0" w:firstLineChars="0"/>
              <w:jc w:val="center"/>
              <w:rPr>
                <w:rFonts w:hint="eastAsia" w:ascii="宋体" w:hAnsi="宋体" w:eastAsia="宋体" w:cs="宋体"/>
                <w:color w:val="auto"/>
                <w:kern w:val="2"/>
                <w:sz w:val="21"/>
                <w:szCs w:val="21"/>
                <w:highlight w:val="none"/>
                <w:lang w:val="en-US" w:eastAsia="en-US" w:bidi="ar-SA"/>
              </w:rPr>
            </w:pPr>
            <w:r>
              <w:rPr>
                <w:color w:val="auto"/>
                <w:sz w:val="21"/>
                <w:szCs w:val="21"/>
                <w:highlight w:val="none"/>
              </w:rPr>
              <w:t>1</w:t>
            </w:r>
          </w:p>
        </w:tc>
      </w:tr>
      <w:tr w14:paraId="3763C8E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971" w:type="dxa"/>
            <w:noWrap w:val="0"/>
            <w:vAlign w:val="top"/>
          </w:tcPr>
          <w:p w14:paraId="5CB2CC92">
            <w:pPr>
              <w:pStyle w:val="75"/>
              <w:spacing w:before="114" w:line="220" w:lineRule="auto"/>
              <w:ind w:left="0" w:leftChars="0" w:right="0" w:rightChars="0" w:firstLine="0" w:firstLineChars="0"/>
              <w:jc w:val="center"/>
              <w:rPr>
                <w:rFonts w:hint="eastAsia" w:ascii="宋体" w:hAnsi="宋体" w:eastAsia="宋体" w:cs="宋体"/>
                <w:color w:val="auto"/>
                <w:kern w:val="2"/>
                <w:sz w:val="21"/>
                <w:szCs w:val="21"/>
                <w:highlight w:val="none"/>
                <w:lang w:val="en-US" w:eastAsia="en-US" w:bidi="ar-SA"/>
              </w:rPr>
            </w:pPr>
            <w:r>
              <w:rPr>
                <w:color w:val="auto"/>
                <w:spacing w:val="-2"/>
                <w:sz w:val="21"/>
                <w:szCs w:val="21"/>
                <w:highlight w:val="none"/>
              </w:rPr>
              <w:t>绝缘电阻测试仪</w:t>
            </w:r>
          </w:p>
        </w:tc>
        <w:tc>
          <w:tcPr>
            <w:tcW w:w="4039" w:type="dxa"/>
            <w:noWrap w:val="0"/>
            <w:vAlign w:val="top"/>
          </w:tcPr>
          <w:p w14:paraId="16B0ABCC">
            <w:pPr>
              <w:pStyle w:val="75"/>
              <w:spacing w:before="114" w:line="220" w:lineRule="auto"/>
              <w:ind w:left="0" w:leftChars="0" w:right="0" w:rightChars="0" w:firstLine="0" w:firstLineChars="0"/>
              <w:jc w:val="center"/>
              <w:rPr>
                <w:rFonts w:hint="eastAsia" w:ascii="宋体" w:hAnsi="宋体" w:eastAsia="宋体" w:cs="宋体"/>
                <w:color w:val="auto"/>
                <w:kern w:val="2"/>
                <w:sz w:val="21"/>
                <w:szCs w:val="21"/>
                <w:highlight w:val="none"/>
                <w:lang w:val="en-US" w:eastAsia="en-US" w:bidi="ar-SA"/>
              </w:rPr>
            </w:pPr>
            <w:r>
              <w:rPr>
                <w:color w:val="auto"/>
                <w:spacing w:val="-1"/>
                <w:sz w:val="21"/>
                <w:szCs w:val="21"/>
                <w:highlight w:val="none"/>
              </w:rPr>
              <w:t>500V，2500V，各一</w:t>
            </w:r>
          </w:p>
        </w:tc>
        <w:tc>
          <w:tcPr>
            <w:tcW w:w="943" w:type="dxa"/>
            <w:noWrap w:val="0"/>
            <w:vAlign w:val="top"/>
          </w:tcPr>
          <w:p w14:paraId="29BF1970">
            <w:pPr>
              <w:pStyle w:val="75"/>
              <w:spacing w:before="114" w:line="222" w:lineRule="auto"/>
              <w:ind w:left="0" w:leftChars="0" w:right="0" w:rightChars="0" w:firstLine="0" w:firstLineChars="0"/>
              <w:jc w:val="center"/>
              <w:rPr>
                <w:rFonts w:hint="eastAsia" w:ascii="宋体" w:hAnsi="宋体" w:eastAsia="宋体" w:cs="宋体"/>
                <w:color w:val="auto"/>
                <w:kern w:val="2"/>
                <w:sz w:val="21"/>
                <w:szCs w:val="21"/>
                <w:highlight w:val="none"/>
                <w:lang w:val="en-US" w:eastAsia="en-US" w:bidi="ar-SA"/>
              </w:rPr>
            </w:pPr>
            <w:r>
              <w:rPr>
                <w:color w:val="auto"/>
                <w:sz w:val="21"/>
                <w:szCs w:val="21"/>
                <w:highlight w:val="none"/>
              </w:rPr>
              <w:t>台</w:t>
            </w:r>
          </w:p>
        </w:tc>
        <w:tc>
          <w:tcPr>
            <w:tcW w:w="1393" w:type="dxa"/>
            <w:noWrap w:val="0"/>
            <w:vAlign w:val="top"/>
          </w:tcPr>
          <w:p w14:paraId="0C9498B2">
            <w:pPr>
              <w:pStyle w:val="75"/>
              <w:spacing w:before="114" w:line="237" w:lineRule="auto"/>
              <w:ind w:left="0" w:leftChars="0" w:right="0" w:rightChars="0" w:firstLine="0" w:firstLineChars="0"/>
              <w:jc w:val="center"/>
              <w:rPr>
                <w:rFonts w:hint="eastAsia" w:ascii="宋体" w:hAnsi="宋体" w:eastAsia="宋体" w:cs="宋体"/>
                <w:color w:val="auto"/>
                <w:kern w:val="2"/>
                <w:sz w:val="21"/>
                <w:szCs w:val="21"/>
                <w:highlight w:val="none"/>
                <w:lang w:val="en-US" w:eastAsia="zh-CN" w:bidi="ar-SA"/>
              </w:rPr>
            </w:pPr>
            <w:r>
              <w:rPr>
                <w:color w:val="auto"/>
                <w:sz w:val="21"/>
                <w:szCs w:val="21"/>
                <w:highlight w:val="none"/>
              </w:rPr>
              <w:t>2</w:t>
            </w:r>
          </w:p>
        </w:tc>
      </w:tr>
      <w:tr w14:paraId="28B5BF5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971" w:type="dxa"/>
            <w:noWrap w:val="0"/>
            <w:vAlign w:val="top"/>
          </w:tcPr>
          <w:p w14:paraId="7AA1BE62">
            <w:pPr>
              <w:pStyle w:val="75"/>
              <w:spacing w:before="116" w:line="220" w:lineRule="auto"/>
              <w:ind w:left="0" w:leftChars="0" w:right="0" w:rightChars="0" w:firstLine="0" w:firstLineChars="0"/>
              <w:jc w:val="center"/>
              <w:rPr>
                <w:rFonts w:hint="eastAsia" w:ascii="宋体" w:hAnsi="宋体" w:eastAsia="宋体" w:cs="宋体"/>
                <w:color w:val="auto"/>
                <w:kern w:val="2"/>
                <w:sz w:val="21"/>
                <w:szCs w:val="21"/>
                <w:highlight w:val="none"/>
                <w:lang w:val="en-US" w:eastAsia="en-US" w:bidi="ar-SA"/>
              </w:rPr>
            </w:pPr>
            <w:r>
              <w:rPr>
                <w:color w:val="auto"/>
                <w:spacing w:val="-2"/>
                <w:sz w:val="21"/>
                <w:szCs w:val="21"/>
                <w:highlight w:val="none"/>
              </w:rPr>
              <w:t>光时域反射仪</w:t>
            </w:r>
          </w:p>
        </w:tc>
        <w:tc>
          <w:tcPr>
            <w:tcW w:w="4039" w:type="dxa"/>
            <w:noWrap w:val="0"/>
            <w:vAlign w:val="top"/>
          </w:tcPr>
          <w:p w14:paraId="574618B8">
            <w:pPr>
              <w:pStyle w:val="75"/>
              <w:spacing w:before="116" w:line="220" w:lineRule="auto"/>
              <w:ind w:left="0" w:leftChars="0" w:right="0" w:rightChars="0" w:firstLine="0" w:firstLineChars="0"/>
              <w:jc w:val="center"/>
              <w:rPr>
                <w:rFonts w:hint="eastAsia" w:ascii="宋体" w:hAnsi="宋体" w:eastAsia="宋体" w:cs="宋体"/>
                <w:color w:val="auto"/>
                <w:kern w:val="2"/>
                <w:sz w:val="21"/>
                <w:szCs w:val="21"/>
                <w:highlight w:val="none"/>
                <w:lang w:val="en-US" w:eastAsia="en-US" w:bidi="ar-SA"/>
              </w:rPr>
            </w:pPr>
            <w:r>
              <w:rPr>
                <w:color w:val="auto"/>
                <w:spacing w:val="-2"/>
                <w:sz w:val="21"/>
                <w:szCs w:val="21"/>
                <w:highlight w:val="none"/>
              </w:rPr>
              <w:t>光纤衰耗测试</w:t>
            </w:r>
          </w:p>
        </w:tc>
        <w:tc>
          <w:tcPr>
            <w:tcW w:w="943" w:type="dxa"/>
            <w:noWrap w:val="0"/>
            <w:vAlign w:val="top"/>
          </w:tcPr>
          <w:p w14:paraId="674FC8CB">
            <w:pPr>
              <w:pStyle w:val="75"/>
              <w:spacing w:before="116" w:line="222" w:lineRule="auto"/>
              <w:ind w:left="0" w:leftChars="0" w:right="0" w:rightChars="0" w:firstLine="0" w:firstLineChars="0"/>
              <w:jc w:val="center"/>
              <w:rPr>
                <w:rFonts w:hint="eastAsia" w:ascii="宋体" w:hAnsi="宋体" w:eastAsia="宋体" w:cs="宋体"/>
                <w:color w:val="auto"/>
                <w:kern w:val="2"/>
                <w:sz w:val="21"/>
                <w:szCs w:val="21"/>
                <w:highlight w:val="none"/>
                <w:lang w:val="en-US" w:eastAsia="en-US" w:bidi="ar-SA"/>
              </w:rPr>
            </w:pPr>
            <w:r>
              <w:rPr>
                <w:color w:val="auto"/>
                <w:sz w:val="21"/>
                <w:szCs w:val="21"/>
                <w:highlight w:val="none"/>
              </w:rPr>
              <w:t>台</w:t>
            </w:r>
          </w:p>
        </w:tc>
        <w:tc>
          <w:tcPr>
            <w:tcW w:w="1393" w:type="dxa"/>
            <w:noWrap w:val="0"/>
            <w:vAlign w:val="top"/>
          </w:tcPr>
          <w:p w14:paraId="52EA41ED">
            <w:pPr>
              <w:pStyle w:val="75"/>
              <w:spacing w:before="116" w:line="234" w:lineRule="auto"/>
              <w:ind w:left="0" w:leftChars="0" w:right="0" w:rightChars="0" w:firstLine="0" w:firstLineChars="0"/>
              <w:jc w:val="center"/>
              <w:rPr>
                <w:rFonts w:hint="eastAsia" w:ascii="宋体" w:hAnsi="宋体" w:eastAsia="宋体" w:cs="宋体"/>
                <w:color w:val="auto"/>
                <w:kern w:val="2"/>
                <w:sz w:val="21"/>
                <w:szCs w:val="21"/>
                <w:highlight w:val="none"/>
                <w:lang w:val="en-US" w:eastAsia="zh-CN" w:bidi="ar-SA"/>
              </w:rPr>
            </w:pPr>
            <w:r>
              <w:rPr>
                <w:color w:val="auto"/>
                <w:sz w:val="21"/>
                <w:szCs w:val="21"/>
                <w:highlight w:val="none"/>
              </w:rPr>
              <w:t>1</w:t>
            </w:r>
          </w:p>
        </w:tc>
      </w:tr>
      <w:tr w14:paraId="4A68E64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971" w:type="dxa"/>
            <w:noWrap w:val="0"/>
            <w:vAlign w:val="top"/>
          </w:tcPr>
          <w:p w14:paraId="45D60EB9">
            <w:pPr>
              <w:pStyle w:val="75"/>
              <w:spacing w:before="119" w:line="220" w:lineRule="auto"/>
              <w:ind w:left="0" w:leftChars="0" w:right="0" w:rightChars="0" w:firstLine="0" w:firstLineChars="0"/>
              <w:jc w:val="center"/>
              <w:rPr>
                <w:rFonts w:hint="eastAsia" w:ascii="宋体" w:hAnsi="宋体" w:eastAsia="宋体" w:cs="宋体"/>
                <w:color w:val="auto"/>
                <w:kern w:val="2"/>
                <w:sz w:val="21"/>
                <w:szCs w:val="21"/>
                <w:highlight w:val="none"/>
                <w:lang w:val="en-US" w:eastAsia="en-US" w:bidi="ar-SA"/>
              </w:rPr>
            </w:pPr>
            <w:r>
              <w:rPr>
                <w:color w:val="auto"/>
                <w:spacing w:val="-2"/>
                <w:sz w:val="21"/>
                <w:szCs w:val="21"/>
                <w:highlight w:val="none"/>
              </w:rPr>
              <w:t>光功率计</w:t>
            </w:r>
          </w:p>
        </w:tc>
        <w:tc>
          <w:tcPr>
            <w:tcW w:w="4039" w:type="dxa"/>
            <w:noWrap w:val="0"/>
            <w:vAlign w:val="top"/>
          </w:tcPr>
          <w:p w14:paraId="6BB3C178">
            <w:pPr>
              <w:pStyle w:val="75"/>
              <w:spacing w:before="119" w:line="220" w:lineRule="auto"/>
              <w:ind w:left="0" w:leftChars="0" w:right="0" w:rightChars="0" w:firstLine="0" w:firstLineChars="0"/>
              <w:jc w:val="center"/>
              <w:rPr>
                <w:rFonts w:hint="eastAsia" w:ascii="宋体" w:hAnsi="宋体" w:eastAsia="宋体" w:cs="宋体"/>
                <w:color w:val="auto"/>
                <w:kern w:val="2"/>
                <w:sz w:val="21"/>
                <w:szCs w:val="21"/>
                <w:highlight w:val="none"/>
                <w:lang w:val="en-US" w:eastAsia="en-US" w:bidi="ar-SA"/>
              </w:rPr>
            </w:pPr>
            <w:r>
              <w:rPr>
                <w:color w:val="auto"/>
                <w:spacing w:val="-2"/>
                <w:sz w:val="21"/>
                <w:szCs w:val="21"/>
                <w:highlight w:val="none"/>
              </w:rPr>
              <w:t>光功率测试</w:t>
            </w:r>
          </w:p>
        </w:tc>
        <w:tc>
          <w:tcPr>
            <w:tcW w:w="943" w:type="dxa"/>
            <w:noWrap w:val="0"/>
            <w:vAlign w:val="top"/>
          </w:tcPr>
          <w:p w14:paraId="688E72E1">
            <w:pPr>
              <w:pStyle w:val="75"/>
              <w:spacing w:before="119" w:line="222" w:lineRule="auto"/>
              <w:ind w:left="0" w:leftChars="0" w:right="0" w:rightChars="0" w:firstLine="0" w:firstLineChars="0"/>
              <w:jc w:val="center"/>
              <w:rPr>
                <w:rFonts w:hint="eastAsia" w:ascii="宋体" w:hAnsi="宋体" w:eastAsia="宋体" w:cs="宋体"/>
                <w:color w:val="auto"/>
                <w:kern w:val="2"/>
                <w:sz w:val="21"/>
                <w:szCs w:val="21"/>
                <w:highlight w:val="none"/>
                <w:lang w:val="en-US" w:eastAsia="en-US" w:bidi="ar-SA"/>
              </w:rPr>
            </w:pPr>
            <w:r>
              <w:rPr>
                <w:color w:val="auto"/>
                <w:sz w:val="21"/>
                <w:szCs w:val="21"/>
                <w:highlight w:val="none"/>
              </w:rPr>
              <w:t>台</w:t>
            </w:r>
          </w:p>
        </w:tc>
        <w:tc>
          <w:tcPr>
            <w:tcW w:w="1393" w:type="dxa"/>
            <w:noWrap w:val="0"/>
            <w:vAlign w:val="top"/>
          </w:tcPr>
          <w:p w14:paraId="1A3C3D1B">
            <w:pPr>
              <w:pStyle w:val="75"/>
              <w:spacing w:before="120" w:line="232" w:lineRule="auto"/>
              <w:ind w:left="0" w:leftChars="0" w:right="0" w:rightChars="0" w:firstLine="0" w:firstLineChars="0"/>
              <w:jc w:val="center"/>
              <w:rPr>
                <w:rFonts w:hint="eastAsia" w:ascii="宋体" w:hAnsi="宋体" w:eastAsia="宋体" w:cs="宋体"/>
                <w:color w:val="auto"/>
                <w:kern w:val="2"/>
                <w:sz w:val="21"/>
                <w:szCs w:val="21"/>
                <w:highlight w:val="none"/>
                <w:lang w:val="en-US" w:eastAsia="zh-CN" w:bidi="ar-SA"/>
              </w:rPr>
            </w:pPr>
            <w:r>
              <w:rPr>
                <w:color w:val="auto"/>
                <w:sz w:val="21"/>
                <w:szCs w:val="21"/>
                <w:highlight w:val="none"/>
              </w:rPr>
              <w:t>1</w:t>
            </w:r>
          </w:p>
        </w:tc>
      </w:tr>
      <w:tr w14:paraId="5B01019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971" w:type="dxa"/>
            <w:noWrap w:val="0"/>
            <w:vAlign w:val="top"/>
          </w:tcPr>
          <w:p w14:paraId="7A2D060D">
            <w:pPr>
              <w:pStyle w:val="75"/>
              <w:spacing w:before="102" w:line="219" w:lineRule="auto"/>
              <w:ind w:left="0" w:leftChars="0" w:right="0" w:rightChars="0" w:firstLine="0" w:firstLineChars="0"/>
              <w:jc w:val="center"/>
              <w:rPr>
                <w:rFonts w:hint="eastAsia" w:ascii="宋体" w:hAnsi="宋体" w:eastAsia="宋体" w:cs="宋体"/>
                <w:color w:val="auto"/>
                <w:kern w:val="2"/>
                <w:sz w:val="21"/>
                <w:szCs w:val="21"/>
                <w:highlight w:val="none"/>
                <w:lang w:val="en-US" w:eastAsia="en-US" w:bidi="ar-SA"/>
              </w:rPr>
            </w:pPr>
            <w:r>
              <w:rPr>
                <w:color w:val="auto"/>
                <w:spacing w:val="-8"/>
                <w:sz w:val="21"/>
                <w:szCs w:val="21"/>
                <w:highlight w:val="none"/>
              </w:rPr>
              <w:t>电焊机</w:t>
            </w:r>
          </w:p>
        </w:tc>
        <w:tc>
          <w:tcPr>
            <w:tcW w:w="4039" w:type="dxa"/>
            <w:noWrap w:val="0"/>
            <w:vAlign w:val="top"/>
          </w:tcPr>
          <w:p w14:paraId="517BE82D">
            <w:pPr>
              <w:pStyle w:val="75"/>
              <w:spacing w:before="102"/>
              <w:ind w:left="0" w:leftChars="0" w:right="0" w:rightChars="0" w:firstLine="0" w:firstLineChars="0"/>
              <w:jc w:val="center"/>
              <w:rPr>
                <w:rFonts w:hint="eastAsia" w:ascii="宋体" w:hAnsi="宋体" w:eastAsia="宋体" w:cs="宋体"/>
                <w:color w:val="auto"/>
                <w:kern w:val="2"/>
                <w:sz w:val="21"/>
                <w:szCs w:val="21"/>
                <w:highlight w:val="none"/>
                <w:lang w:val="en-US" w:eastAsia="en-US" w:bidi="ar-SA"/>
              </w:rPr>
            </w:pPr>
            <w:r>
              <w:rPr>
                <w:color w:val="auto"/>
                <w:spacing w:val="-3"/>
                <w:sz w:val="21"/>
                <w:szCs w:val="21"/>
                <w:highlight w:val="none"/>
              </w:rPr>
              <w:t>5-10KW</w:t>
            </w:r>
          </w:p>
        </w:tc>
        <w:tc>
          <w:tcPr>
            <w:tcW w:w="943" w:type="dxa"/>
            <w:noWrap w:val="0"/>
            <w:vAlign w:val="top"/>
          </w:tcPr>
          <w:p w14:paraId="7A29B4D0">
            <w:pPr>
              <w:pStyle w:val="75"/>
              <w:spacing w:before="102" w:line="222" w:lineRule="auto"/>
              <w:ind w:left="0" w:leftChars="0" w:right="0" w:rightChars="0" w:firstLine="0" w:firstLineChars="0"/>
              <w:jc w:val="center"/>
              <w:rPr>
                <w:rFonts w:hint="eastAsia" w:ascii="宋体" w:hAnsi="宋体" w:eastAsia="宋体" w:cs="宋体"/>
                <w:color w:val="auto"/>
                <w:kern w:val="2"/>
                <w:sz w:val="21"/>
                <w:szCs w:val="21"/>
                <w:highlight w:val="none"/>
                <w:lang w:val="en-US" w:eastAsia="en-US" w:bidi="ar-SA"/>
              </w:rPr>
            </w:pPr>
            <w:r>
              <w:rPr>
                <w:color w:val="auto"/>
                <w:sz w:val="21"/>
                <w:szCs w:val="21"/>
                <w:highlight w:val="none"/>
              </w:rPr>
              <w:t>台</w:t>
            </w:r>
          </w:p>
        </w:tc>
        <w:tc>
          <w:tcPr>
            <w:tcW w:w="1393" w:type="dxa"/>
            <w:noWrap w:val="0"/>
            <w:vAlign w:val="top"/>
          </w:tcPr>
          <w:p w14:paraId="4EC94B4C">
            <w:pPr>
              <w:pStyle w:val="75"/>
              <w:spacing w:before="102" w:line="241" w:lineRule="auto"/>
              <w:ind w:left="0" w:leftChars="0" w:right="0" w:rightChars="0" w:firstLine="0" w:firstLineChars="0"/>
              <w:jc w:val="center"/>
              <w:rPr>
                <w:rFonts w:hint="eastAsia" w:ascii="宋体" w:hAnsi="宋体" w:eastAsia="宋体" w:cs="宋体"/>
                <w:color w:val="auto"/>
                <w:kern w:val="2"/>
                <w:sz w:val="21"/>
                <w:szCs w:val="21"/>
                <w:highlight w:val="none"/>
                <w:lang w:val="en-US" w:eastAsia="zh-CN" w:bidi="ar-SA"/>
              </w:rPr>
            </w:pPr>
            <w:r>
              <w:rPr>
                <w:color w:val="auto"/>
                <w:sz w:val="21"/>
                <w:szCs w:val="21"/>
                <w:highlight w:val="none"/>
              </w:rPr>
              <w:t>1</w:t>
            </w:r>
          </w:p>
        </w:tc>
      </w:tr>
      <w:tr w14:paraId="7CF6BCD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971" w:type="dxa"/>
            <w:noWrap w:val="0"/>
            <w:vAlign w:val="top"/>
          </w:tcPr>
          <w:p w14:paraId="79198EFB">
            <w:pPr>
              <w:pStyle w:val="75"/>
              <w:spacing w:before="104" w:line="220" w:lineRule="auto"/>
              <w:ind w:left="0" w:leftChars="0" w:right="0" w:rightChars="0" w:firstLine="0" w:firstLineChars="0"/>
              <w:jc w:val="center"/>
              <w:rPr>
                <w:rFonts w:hint="eastAsia" w:ascii="宋体" w:hAnsi="宋体" w:eastAsia="宋体" w:cs="宋体"/>
                <w:color w:val="auto"/>
                <w:kern w:val="2"/>
                <w:sz w:val="21"/>
                <w:szCs w:val="21"/>
                <w:highlight w:val="none"/>
                <w:lang w:val="en-US" w:eastAsia="en-US" w:bidi="ar-SA"/>
              </w:rPr>
            </w:pPr>
            <w:r>
              <w:rPr>
                <w:color w:val="auto"/>
                <w:spacing w:val="-4"/>
                <w:sz w:val="21"/>
                <w:szCs w:val="21"/>
                <w:highlight w:val="none"/>
              </w:rPr>
              <w:t>照度计</w:t>
            </w:r>
          </w:p>
        </w:tc>
        <w:tc>
          <w:tcPr>
            <w:tcW w:w="4039" w:type="dxa"/>
            <w:noWrap w:val="0"/>
            <w:vAlign w:val="top"/>
          </w:tcPr>
          <w:p w14:paraId="2CCE4BDE">
            <w:pPr>
              <w:pStyle w:val="75"/>
              <w:spacing w:before="104" w:line="220" w:lineRule="auto"/>
              <w:ind w:left="0" w:leftChars="0" w:right="0" w:rightChars="0" w:firstLine="0" w:firstLineChars="0"/>
              <w:jc w:val="center"/>
              <w:rPr>
                <w:rFonts w:hint="eastAsia" w:ascii="宋体" w:hAnsi="宋体" w:eastAsia="宋体" w:cs="宋体"/>
                <w:color w:val="auto"/>
                <w:kern w:val="2"/>
                <w:sz w:val="21"/>
                <w:szCs w:val="21"/>
                <w:highlight w:val="none"/>
                <w:lang w:val="en-US" w:eastAsia="en-US" w:bidi="ar-SA"/>
              </w:rPr>
            </w:pPr>
            <w:r>
              <w:rPr>
                <w:color w:val="auto"/>
                <w:spacing w:val="-2"/>
                <w:sz w:val="21"/>
                <w:szCs w:val="21"/>
                <w:highlight w:val="none"/>
              </w:rPr>
              <w:t>灯光照度测试</w:t>
            </w:r>
          </w:p>
        </w:tc>
        <w:tc>
          <w:tcPr>
            <w:tcW w:w="943" w:type="dxa"/>
            <w:noWrap w:val="0"/>
            <w:vAlign w:val="top"/>
          </w:tcPr>
          <w:p w14:paraId="3EC3402C">
            <w:pPr>
              <w:pStyle w:val="75"/>
              <w:spacing w:before="105" w:line="222" w:lineRule="auto"/>
              <w:ind w:left="0" w:leftChars="0" w:right="0" w:rightChars="0" w:firstLine="0" w:firstLineChars="0"/>
              <w:jc w:val="center"/>
              <w:rPr>
                <w:rFonts w:hint="eastAsia" w:ascii="宋体" w:hAnsi="宋体" w:eastAsia="宋体" w:cs="宋体"/>
                <w:color w:val="auto"/>
                <w:kern w:val="2"/>
                <w:sz w:val="21"/>
                <w:szCs w:val="21"/>
                <w:highlight w:val="none"/>
                <w:lang w:val="en-US" w:eastAsia="en-US" w:bidi="ar-SA"/>
              </w:rPr>
            </w:pPr>
            <w:r>
              <w:rPr>
                <w:color w:val="auto"/>
                <w:sz w:val="21"/>
                <w:szCs w:val="21"/>
                <w:highlight w:val="none"/>
              </w:rPr>
              <w:t>只</w:t>
            </w:r>
          </w:p>
        </w:tc>
        <w:tc>
          <w:tcPr>
            <w:tcW w:w="1393" w:type="dxa"/>
            <w:noWrap w:val="0"/>
            <w:vAlign w:val="top"/>
          </w:tcPr>
          <w:p w14:paraId="67E6FBEA">
            <w:pPr>
              <w:pStyle w:val="75"/>
              <w:spacing w:before="104" w:line="241" w:lineRule="auto"/>
              <w:ind w:left="0" w:leftChars="0" w:right="0" w:rightChars="0" w:firstLine="0" w:firstLineChars="0"/>
              <w:jc w:val="center"/>
              <w:rPr>
                <w:rFonts w:hint="eastAsia" w:ascii="宋体" w:hAnsi="宋体" w:eastAsia="宋体" w:cs="宋体"/>
                <w:color w:val="auto"/>
                <w:kern w:val="2"/>
                <w:sz w:val="21"/>
                <w:szCs w:val="21"/>
                <w:highlight w:val="none"/>
                <w:lang w:val="en-US" w:eastAsia="zh-CN" w:bidi="ar-SA"/>
              </w:rPr>
            </w:pPr>
            <w:r>
              <w:rPr>
                <w:color w:val="auto"/>
                <w:sz w:val="21"/>
                <w:szCs w:val="21"/>
                <w:highlight w:val="none"/>
              </w:rPr>
              <w:t>1</w:t>
            </w:r>
          </w:p>
        </w:tc>
      </w:tr>
      <w:tr w14:paraId="3A13680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971" w:type="dxa"/>
            <w:shd w:val="clear" w:color="auto" w:fill="auto"/>
            <w:noWrap w:val="0"/>
            <w:vAlign w:val="top"/>
          </w:tcPr>
          <w:p w14:paraId="4F6F3FE2">
            <w:pPr>
              <w:pStyle w:val="75"/>
              <w:spacing w:before="104" w:line="220" w:lineRule="auto"/>
              <w:ind w:left="0" w:leftChars="0" w:right="0" w:rightChars="0" w:firstLine="0" w:firstLineChars="0"/>
              <w:jc w:val="center"/>
              <w:rPr>
                <w:rFonts w:hint="eastAsia"/>
                <w:color w:val="auto"/>
                <w:spacing w:val="-4"/>
                <w:sz w:val="21"/>
                <w:szCs w:val="21"/>
                <w:highlight w:val="none"/>
                <w:lang w:val="en-US" w:eastAsia="zh-CN"/>
              </w:rPr>
            </w:pPr>
            <w:r>
              <w:rPr>
                <w:rFonts w:hint="eastAsia"/>
                <w:color w:val="auto"/>
                <w:spacing w:val="-4"/>
                <w:sz w:val="21"/>
                <w:szCs w:val="21"/>
                <w:highlight w:val="none"/>
                <w:lang w:val="en-US" w:eastAsia="zh-CN"/>
              </w:rPr>
              <w:t>防尘降尘设备</w:t>
            </w:r>
          </w:p>
        </w:tc>
        <w:tc>
          <w:tcPr>
            <w:tcW w:w="4039" w:type="dxa"/>
            <w:shd w:val="clear" w:color="auto" w:fill="auto"/>
            <w:noWrap w:val="0"/>
            <w:vAlign w:val="top"/>
          </w:tcPr>
          <w:p w14:paraId="44965F34">
            <w:pPr>
              <w:pStyle w:val="75"/>
              <w:spacing w:before="104" w:line="220" w:lineRule="auto"/>
              <w:ind w:left="0" w:leftChars="0" w:right="0" w:rightChars="0" w:firstLine="0" w:firstLineChars="0"/>
              <w:jc w:val="center"/>
              <w:rPr>
                <w:rFonts w:hint="eastAsia"/>
                <w:color w:val="auto"/>
                <w:spacing w:val="-4"/>
                <w:sz w:val="21"/>
                <w:szCs w:val="21"/>
                <w:highlight w:val="none"/>
                <w:lang w:val="en-US" w:eastAsia="zh-CN"/>
              </w:rPr>
            </w:pPr>
            <w:r>
              <w:rPr>
                <w:rFonts w:hint="eastAsia"/>
                <w:color w:val="auto"/>
                <w:spacing w:val="-4"/>
                <w:sz w:val="21"/>
                <w:szCs w:val="21"/>
                <w:highlight w:val="none"/>
              </w:rPr>
              <w:t>满足施工要求</w:t>
            </w:r>
          </w:p>
        </w:tc>
        <w:tc>
          <w:tcPr>
            <w:tcW w:w="943" w:type="dxa"/>
            <w:shd w:val="clear" w:color="auto" w:fill="auto"/>
            <w:noWrap w:val="0"/>
            <w:vAlign w:val="top"/>
          </w:tcPr>
          <w:p w14:paraId="6E583B28">
            <w:pPr>
              <w:pStyle w:val="75"/>
              <w:spacing w:before="104" w:line="220" w:lineRule="auto"/>
              <w:ind w:left="0" w:leftChars="0" w:right="0" w:rightChars="0" w:firstLine="0" w:firstLineChars="0"/>
              <w:jc w:val="center"/>
              <w:rPr>
                <w:rFonts w:hint="default"/>
                <w:color w:val="auto"/>
                <w:spacing w:val="-4"/>
                <w:sz w:val="21"/>
                <w:szCs w:val="21"/>
                <w:highlight w:val="none"/>
                <w:lang w:val="en-US" w:eastAsia="zh-CN"/>
              </w:rPr>
            </w:pPr>
            <w:r>
              <w:rPr>
                <w:rFonts w:hint="eastAsia"/>
                <w:color w:val="auto"/>
                <w:spacing w:val="-4"/>
                <w:sz w:val="21"/>
                <w:szCs w:val="21"/>
                <w:highlight w:val="none"/>
                <w:lang w:val="en-US" w:eastAsia="zh-CN"/>
              </w:rPr>
              <w:t>套</w:t>
            </w:r>
          </w:p>
        </w:tc>
        <w:tc>
          <w:tcPr>
            <w:tcW w:w="1393" w:type="dxa"/>
            <w:shd w:val="clear" w:color="auto" w:fill="auto"/>
            <w:noWrap w:val="0"/>
            <w:vAlign w:val="top"/>
          </w:tcPr>
          <w:p w14:paraId="344A30D0">
            <w:pPr>
              <w:pStyle w:val="75"/>
              <w:spacing w:before="104" w:line="220" w:lineRule="auto"/>
              <w:ind w:left="0" w:leftChars="0" w:right="0" w:rightChars="0" w:firstLine="0" w:firstLineChars="0"/>
              <w:jc w:val="center"/>
              <w:rPr>
                <w:rFonts w:hint="default"/>
                <w:color w:val="auto"/>
                <w:spacing w:val="-4"/>
                <w:sz w:val="21"/>
                <w:szCs w:val="21"/>
                <w:highlight w:val="none"/>
                <w:lang w:val="en-US" w:eastAsia="zh-CN"/>
              </w:rPr>
            </w:pPr>
            <w:r>
              <w:rPr>
                <w:rFonts w:hint="eastAsia"/>
                <w:color w:val="auto"/>
                <w:spacing w:val="-4"/>
                <w:sz w:val="21"/>
                <w:szCs w:val="21"/>
                <w:highlight w:val="none"/>
                <w:lang w:val="en-US" w:eastAsia="zh-CN"/>
              </w:rPr>
              <w:t>1</w:t>
            </w:r>
          </w:p>
        </w:tc>
      </w:tr>
    </w:tbl>
    <w:p w14:paraId="731CA0BD">
      <w:pPr>
        <w:pStyle w:val="9"/>
        <w:spacing w:line="320" w:lineRule="exact"/>
        <w:rPr>
          <w:rFonts w:hint="eastAsia" w:ascii="Times New Roman" w:hAnsi="Times New Roman" w:eastAsia="宋体" w:cs="Times New Roman"/>
          <w:color w:val="auto"/>
          <w:sz w:val="18"/>
          <w:szCs w:val="18"/>
          <w:highlight w:val="none"/>
          <w:lang w:val="en-US" w:eastAsia="zh-CN"/>
        </w:rPr>
      </w:pPr>
      <w:r>
        <w:rPr>
          <w:rFonts w:hint="eastAsia" w:ascii="Times New Roman" w:hAnsi="Times New Roman" w:eastAsia="宋体" w:cs="Times New Roman"/>
          <w:color w:val="auto"/>
          <w:sz w:val="18"/>
          <w:szCs w:val="18"/>
          <w:highlight w:val="none"/>
          <w:lang w:val="en-US" w:eastAsia="zh-CN"/>
        </w:rPr>
        <w:t>注：上述设备仅为发包人要求的主要机械设备和试验检测设备的最低要求，</w:t>
      </w:r>
      <w:r>
        <w:rPr>
          <w:rFonts w:hint="eastAsia" w:ascii="Times New Roman" w:hAnsi="Times New Roman" w:eastAsia="宋体" w:cs="Times New Roman"/>
          <w:color w:val="auto"/>
          <w:sz w:val="18"/>
          <w:szCs w:val="18"/>
          <w:highlight w:val="none"/>
          <w:lang w:val="en-US" w:eastAsia="zh-CN"/>
        </w:rPr>
        <w:t>如工程需要或发包人要求承包人增加相关设备的，相关费用均视为已包含在投标报价中。</w:t>
      </w:r>
    </w:p>
    <w:p w14:paraId="00E85EA6">
      <w:pPr>
        <w:pStyle w:val="11"/>
        <w:rPr>
          <w:rFonts w:hint="eastAsia" w:ascii="Times New Roman" w:hAnsi="Times New Roman" w:eastAsia="宋体" w:cs="Times New Roman"/>
          <w:color w:val="auto"/>
          <w:sz w:val="18"/>
          <w:szCs w:val="18"/>
          <w:highlight w:val="none"/>
          <w:lang w:val="en-US" w:eastAsia="zh-CN"/>
        </w:rPr>
      </w:pPr>
    </w:p>
    <w:p w14:paraId="1F562AB4">
      <w:pPr>
        <w:pStyle w:val="11"/>
        <w:ind w:firstLine="420"/>
        <w:rPr>
          <w:rFonts w:hint="eastAsia"/>
          <w:color w:val="auto"/>
          <w:highlight w:val="none"/>
        </w:rPr>
      </w:pPr>
    </w:p>
    <w:bookmarkEnd w:id="728"/>
    <w:p w14:paraId="54EA7C56">
      <w:pPr>
        <w:pStyle w:val="44"/>
        <w:keepNext w:val="0"/>
        <w:keepLines w:val="0"/>
        <w:pageBreakBefore w:val="0"/>
        <w:widowControl w:val="0"/>
        <w:kinsoku/>
        <w:wordWrap/>
        <w:overflowPunct/>
        <w:topLinePunct w:val="0"/>
        <w:autoSpaceDE/>
        <w:autoSpaceDN/>
        <w:bidi w:val="0"/>
        <w:adjustRightInd/>
        <w:snapToGrid/>
        <w:spacing w:line="380" w:lineRule="exact"/>
        <w:textAlignment w:val="auto"/>
        <w:outlineLvl w:val="3"/>
        <w:rPr>
          <w:rFonts w:ascii="黑体" w:hAnsi="黑体" w:eastAsia="黑体"/>
          <w:color w:val="auto"/>
          <w:sz w:val="28"/>
          <w:szCs w:val="28"/>
          <w:highlight w:val="none"/>
        </w:rPr>
      </w:pPr>
      <w:r>
        <w:rPr>
          <w:rFonts w:hint="eastAsia" w:ascii="黑体" w:hAnsi="黑体" w:eastAsia="黑体"/>
          <w:color w:val="auto"/>
          <w:sz w:val="28"/>
          <w:szCs w:val="28"/>
          <w:highlight w:val="none"/>
        </w:rPr>
        <w:br w:type="page"/>
      </w:r>
      <w:r>
        <w:rPr>
          <w:rFonts w:hint="eastAsia" w:ascii="黑体" w:hAnsi="黑体" w:eastAsia="黑体"/>
          <w:color w:val="auto"/>
          <w:sz w:val="28"/>
          <w:szCs w:val="28"/>
          <w:highlight w:val="none"/>
        </w:rPr>
        <w:t>附件六  项目经理委任书</w:t>
      </w:r>
    </w:p>
    <w:p w14:paraId="2A8E5FB3">
      <w:pPr>
        <w:pStyle w:val="44"/>
        <w:spacing w:line="420" w:lineRule="exact"/>
        <w:rPr>
          <w:rFonts w:hint="eastAsia" w:ascii="宋体"/>
          <w:color w:val="auto"/>
          <w:sz w:val="24"/>
          <w:szCs w:val="24"/>
          <w:highlight w:val="none"/>
        </w:rPr>
      </w:pPr>
      <w:r>
        <w:rPr>
          <w:rFonts w:hint="eastAsia" w:ascii="宋体"/>
          <w:color w:val="auto"/>
          <w:sz w:val="24"/>
          <w:szCs w:val="24"/>
          <w:highlight w:val="none"/>
        </w:rPr>
        <w:t xml:space="preserve"> </w:t>
      </w:r>
    </w:p>
    <w:p w14:paraId="7CC5DD1B">
      <w:pPr>
        <w:pStyle w:val="44"/>
        <w:spacing w:line="420" w:lineRule="exact"/>
        <w:jc w:val="center"/>
        <w:rPr>
          <w:rFonts w:hint="eastAsia" w:ascii="黑体" w:eastAsia="黑体"/>
          <w:color w:val="auto"/>
          <w:sz w:val="28"/>
          <w:szCs w:val="28"/>
          <w:highlight w:val="none"/>
          <w:u w:val="single"/>
        </w:rPr>
      </w:pPr>
      <w:r>
        <w:rPr>
          <w:rFonts w:hint="eastAsia" w:ascii="黑体" w:eastAsia="黑体"/>
          <w:color w:val="auto"/>
          <w:sz w:val="28"/>
          <w:szCs w:val="28"/>
          <w:highlight w:val="none"/>
          <w:u w:val="single"/>
        </w:rPr>
        <w:t>(</w:t>
      </w:r>
      <w:r>
        <w:rPr>
          <w:rFonts w:hint="eastAsia" w:ascii="黑体" w:hAnsi="黑体" w:eastAsia="黑体"/>
          <w:color w:val="auto"/>
          <w:sz w:val="28"/>
          <w:szCs w:val="28"/>
          <w:highlight w:val="none"/>
          <w:u w:val="single"/>
        </w:rPr>
        <w:t>承包人全称</w:t>
      </w:r>
      <w:r>
        <w:rPr>
          <w:rFonts w:hint="eastAsia" w:ascii="黑体" w:eastAsia="黑体"/>
          <w:color w:val="auto"/>
          <w:sz w:val="28"/>
          <w:szCs w:val="28"/>
          <w:highlight w:val="none"/>
          <w:u w:val="single"/>
        </w:rPr>
        <w:t>)</w:t>
      </w:r>
    </w:p>
    <w:p w14:paraId="5AE294A0">
      <w:pPr>
        <w:pStyle w:val="44"/>
        <w:spacing w:line="420" w:lineRule="exact"/>
        <w:jc w:val="center"/>
        <w:rPr>
          <w:rFonts w:hint="eastAsia" w:ascii="黑体" w:eastAsia="黑体"/>
          <w:color w:val="auto"/>
          <w:sz w:val="28"/>
          <w:szCs w:val="28"/>
          <w:highlight w:val="none"/>
        </w:rPr>
      </w:pPr>
      <w:r>
        <w:rPr>
          <w:rFonts w:hint="eastAsia" w:ascii="黑体" w:eastAsia="黑体"/>
          <w:color w:val="auto"/>
          <w:sz w:val="28"/>
          <w:szCs w:val="28"/>
          <w:highlight w:val="none"/>
          <w:u w:val="single"/>
        </w:rPr>
        <w:t>(</w:t>
      </w:r>
      <w:r>
        <w:rPr>
          <w:rFonts w:hint="eastAsia" w:ascii="黑体" w:hAnsi="黑体" w:eastAsia="黑体"/>
          <w:color w:val="auto"/>
          <w:sz w:val="28"/>
          <w:szCs w:val="28"/>
          <w:highlight w:val="none"/>
          <w:u w:val="single"/>
        </w:rPr>
        <w:t>合同工程名称</w:t>
      </w:r>
      <w:r>
        <w:rPr>
          <w:rFonts w:hint="eastAsia" w:ascii="黑体" w:eastAsia="黑体"/>
          <w:color w:val="auto"/>
          <w:sz w:val="28"/>
          <w:szCs w:val="28"/>
          <w:highlight w:val="none"/>
          <w:u w:val="single"/>
        </w:rPr>
        <w:t>)</w:t>
      </w:r>
      <w:r>
        <w:rPr>
          <w:rFonts w:hint="eastAsia" w:ascii="黑体" w:hAnsi="黑体" w:eastAsia="黑体"/>
          <w:color w:val="auto"/>
          <w:sz w:val="28"/>
          <w:szCs w:val="28"/>
          <w:highlight w:val="none"/>
        </w:rPr>
        <w:t>项目经理委任书</w:t>
      </w:r>
    </w:p>
    <w:p w14:paraId="7672C62A">
      <w:pPr>
        <w:pStyle w:val="44"/>
        <w:spacing w:line="500" w:lineRule="exact"/>
        <w:rPr>
          <w:rFonts w:hint="eastAsia" w:ascii="宋体"/>
          <w:color w:val="auto"/>
          <w:highlight w:val="none"/>
        </w:rPr>
      </w:pPr>
      <w:r>
        <w:rPr>
          <w:rFonts w:hint="eastAsia" w:ascii="宋体"/>
          <w:color w:val="auto"/>
          <w:highlight w:val="none"/>
        </w:rPr>
        <w:t xml:space="preserve"> </w:t>
      </w:r>
    </w:p>
    <w:p w14:paraId="508A045C">
      <w:pPr>
        <w:pStyle w:val="44"/>
        <w:spacing w:line="500" w:lineRule="exact"/>
        <w:rPr>
          <w:rFonts w:hint="eastAsia" w:ascii="宋体"/>
          <w:color w:val="auto"/>
          <w:highlight w:val="none"/>
        </w:rPr>
      </w:pPr>
      <w:r>
        <w:rPr>
          <w:rFonts w:hint="eastAsia" w:ascii="宋体" w:hAnsi="宋体"/>
          <w:color w:val="auto"/>
          <w:highlight w:val="none"/>
        </w:rPr>
        <w:t>致：</w:t>
      </w:r>
      <w:r>
        <w:rPr>
          <w:rFonts w:hint="eastAsia" w:ascii="宋体"/>
          <w:color w:val="auto"/>
          <w:highlight w:val="none"/>
          <w:u w:val="single"/>
        </w:rPr>
        <w:t>(</w:t>
      </w:r>
      <w:r>
        <w:rPr>
          <w:rFonts w:hint="eastAsia" w:ascii="宋体" w:hAnsi="宋体"/>
          <w:color w:val="auto"/>
          <w:highlight w:val="none"/>
          <w:u w:val="single"/>
        </w:rPr>
        <w:t>发包人全称</w:t>
      </w:r>
      <w:r>
        <w:rPr>
          <w:rFonts w:hint="eastAsia" w:ascii="宋体"/>
          <w:color w:val="auto"/>
          <w:highlight w:val="none"/>
          <w:u w:val="single"/>
        </w:rPr>
        <w:t>)</w:t>
      </w:r>
    </w:p>
    <w:p w14:paraId="2187E964">
      <w:pPr>
        <w:pStyle w:val="44"/>
        <w:spacing w:line="500" w:lineRule="exact"/>
        <w:ind w:firstLine="420" w:firstLineChars="200"/>
        <w:rPr>
          <w:rFonts w:hint="eastAsia" w:ascii="宋体"/>
          <w:color w:val="auto"/>
          <w:highlight w:val="none"/>
        </w:rPr>
      </w:pPr>
      <w:r>
        <w:rPr>
          <w:rFonts w:hint="eastAsia" w:ascii="宋体"/>
          <w:color w:val="auto"/>
          <w:highlight w:val="none"/>
          <w:u w:val="single"/>
        </w:rPr>
        <w:t>(</w:t>
      </w:r>
      <w:r>
        <w:rPr>
          <w:rFonts w:hint="eastAsia" w:ascii="宋体" w:hAnsi="宋体"/>
          <w:color w:val="auto"/>
          <w:highlight w:val="none"/>
          <w:u w:val="single"/>
        </w:rPr>
        <w:t>承包人全称</w:t>
      </w:r>
      <w:r>
        <w:rPr>
          <w:rFonts w:hint="eastAsia" w:ascii="宋体"/>
          <w:color w:val="auto"/>
          <w:highlight w:val="none"/>
          <w:u w:val="single"/>
        </w:rPr>
        <w:t>)</w:t>
      </w:r>
      <w:r>
        <w:rPr>
          <w:rFonts w:hint="eastAsia" w:ascii="宋体" w:hAnsi="宋体"/>
          <w:color w:val="auto"/>
          <w:highlight w:val="none"/>
        </w:rPr>
        <w:t>法定代表人</w:t>
      </w:r>
      <w:r>
        <w:rPr>
          <w:rFonts w:hint="eastAsia" w:ascii="宋体"/>
          <w:color w:val="auto"/>
          <w:highlight w:val="none"/>
          <w:u w:val="single"/>
        </w:rPr>
        <w:t>(</w:t>
      </w:r>
      <w:r>
        <w:rPr>
          <w:rFonts w:hint="eastAsia" w:ascii="宋体" w:hAnsi="宋体"/>
          <w:color w:val="auto"/>
          <w:highlight w:val="none"/>
          <w:u w:val="single"/>
        </w:rPr>
        <w:t>职务、姓名</w:t>
      </w:r>
      <w:r>
        <w:rPr>
          <w:rFonts w:hint="eastAsia" w:ascii="宋体"/>
          <w:color w:val="auto"/>
          <w:highlight w:val="none"/>
          <w:u w:val="single"/>
        </w:rPr>
        <w:t>)</w:t>
      </w:r>
      <w:r>
        <w:rPr>
          <w:rFonts w:hint="eastAsia" w:ascii="宋体" w:hAnsi="宋体"/>
          <w:color w:val="auto"/>
          <w:highlight w:val="none"/>
        </w:rPr>
        <w:t>代表本单位委任</w:t>
      </w:r>
      <w:r>
        <w:rPr>
          <w:rFonts w:hint="eastAsia" w:ascii="宋体"/>
          <w:color w:val="auto"/>
          <w:highlight w:val="none"/>
          <w:u w:val="single"/>
        </w:rPr>
        <w:t>(</w:t>
      </w:r>
      <w:r>
        <w:rPr>
          <w:rFonts w:hint="eastAsia" w:ascii="宋体" w:hAnsi="宋体"/>
          <w:color w:val="auto"/>
          <w:highlight w:val="none"/>
          <w:u w:val="single"/>
        </w:rPr>
        <w:t>职务、姓名</w:t>
      </w:r>
      <w:r>
        <w:rPr>
          <w:rFonts w:hint="eastAsia" w:ascii="宋体"/>
          <w:color w:val="auto"/>
          <w:highlight w:val="none"/>
          <w:u w:val="single"/>
        </w:rPr>
        <w:t>)</w:t>
      </w:r>
      <w:r>
        <w:rPr>
          <w:rFonts w:hint="eastAsia" w:ascii="宋体" w:hAnsi="宋体"/>
          <w:color w:val="auto"/>
          <w:highlight w:val="none"/>
        </w:rPr>
        <w:t>为</w:t>
      </w:r>
      <w:r>
        <w:rPr>
          <w:rFonts w:hint="eastAsia" w:ascii="宋体"/>
          <w:color w:val="auto"/>
          <w:highlight w:val="none"/>
          <w:u w:val="single"/>
        </w:rPr>
        <w:t>(</w:t>
      </w:r>
      <w:r>
        <w:rPr>
          <w:rFonts w:hint="eastAsia" w:ascii="宋体" w:hAnsi="宋体"/>
          <w:color w:val="auto"/>
          <w:highlight w:val="none"/>
          <w:u w:val="single"/>
        </w:rPr>
        <w:t>合同工程名称</w:t>
      </w:r>
      <w:r>
        <w:rPr>
          <w:rFonts w:hint="eastAsia" w:ascii="宋体"/>
          <w:color w:val="auto"/>
          <w:highlight w:val="none"/>
          <w:u w:val="single"/>
        </w:rPr>
        <w:t>)</w:t>
      </w:r>
      <w:r>
        <w:rPr>
          <w:rFonts w:hint="eastAsia" w:ascii="宋体" w:hAnsi="宋体"/>
          <w:color w:val="auto"/>
          <w:highlight w:val="none"/>
        </w:rPr>
        <w:t>的项目经理。凡本合同执行中的有关技术、工程进度、现场管理、质量检验、结算与支付等方面工作，由</w:t>
      </w:r>
      <w:r>
        <w:rPr>
          <w:rFonts w:hint="eastAsia" w:ascii="宋体" w:hAnsi="宋体" w:eastAsia="宋体"/>
          <w:color w:val="auto"/>
          <w:highlight w:val="none"/>
          <w:u w:val="single"/>
          <w:lang w:val="en-US" w:eastAsia="zh-CN"/>
        </w:rPr>
        <w:t xml:space="preserve">   </w:t>
      </w:r>
      <w:r>
        <w:rPr>
          <w:rFonts w:hint="eastAsia" w:ascii="宋体"/>
          <w:color w:val="auto"/>
          <w:highlight w:val="none"/>
          <w:u w:val="single"/>
        </w:rPr>
        <w:t>(</w:t>
      </w:r>
      <w:r>
        <w:rPr>
          <w:rFonts w:hint="eastAsia" w:ascii="宋体" w:hAnsi="宋体"/>
          <w:color w:val="auto"/>
          <w:highlight w:val="none"/>
          <w:u w:val="single"/>
        </w:rPr>
        <w:t>姓名</w:t>
      </w:r>
      <w:r>
        <w:rPr>
          <w:rFonts w:hint="eastAsia" w:ascii="宋体"/>
          <w:color w:val="auto"/>
          <w:highlight w:val="none"/>
          <w:u w:val="single"/>
        </w:rPr>
        <w:t>)</w:t>
      </w:r>
      <w:r>
        <w:rPr>
          <w:rFonts w:hint="eastAsia" w:ascii="宋体" w:eastAsia="宋体"/>
          <w:color w:val="auto"/>
          <w:highlight w:val="none"/>
          <w:u w:val="single"/>
          <w:lang w:val="en-US" w:eastAsia="zh-CN"/>
        </w:rPr>
        <w:t xml:space="preserve">  </w:t>
      </w:r>
      <w:r>
        <w:rPr>
          <w:rFonts w:hint="eastAsia" w:ascii="宋体" w:hAnsi="宋体"/>
          <w:color w:val="auto"/>
          <w:highlight w:val="none"/>
        </w:rPr>
        <w:t>代表本单位全面负责。</w:t>
      </w:r>
    </w:p>
    <w:p w14:paraId="6DF46FC9">
      <w:pPr>
        <w:pStyle w:val="44"/>
        <w:spacing w:line="500" w:lineRule="exact"/>
        <w:rPr>
          <w:rFonts w:hint="eastAsia" w:ascii="宋体"/>
          <w:color w:val="auto"/>
          <w:highlight w:val="none"/>
        </w:rPr>
      </w:pPr>
      <w:r>
        <w:rPr>
          <w:rFonts w:hint="eastAsia" w:ascii="宋体"/>
          <w:color w:val="auto"/>
          <w:highlight w:val="none"/>
        </w:rPr>
        <w:t xml:space="preserve"> </w:t>
      </w:r>
    </w:p>
    <w:p w14:paraId="4058B4B8">
      <w:pPr>
        <w:pStyle w:val="44"/>
        <w:spacing w:line="500" w:lineRule="exact"/>
        <w:rPr>
          <w:rFonts w:hint="eastAsia" w:ascii="宋体"/>
          <w:color w:val="auto"/>
          <w:highlight w:val="none"/>
        </w:rPr>
      </w:pPr>
      <w:r>
        <w:rPr>
          <w:rFonts w:hint="eastAsia" w:ascii="宋体"/>
          <w:color w:val="auto"/>
          <w:highlight w:val="none"/>
        </w:rPr>
        <w:t xml:space="preserve"> </w:t>
      </w:r>
    </w:p>
    <w:p w14:paraId="26ACB1E2">
      <w:pPr>
        <w:pStyle w:val="44"/>
        <w:spacing w:line="500" w:lineRule="exact"/>
        <w:ind w:firstLine="3570" w:firstLineChars="1700"/>
        <w:rPr>
          <w:rFonts w:hint="eastAsia" w:ascii="宋体"/>
          <w:color w:val="auto"/>
          <w:highlight w:val="none"/>
        </w:rPr>
      </w:pPr>
      <w:r>
        <w:rPr>
          <w:rFonts w:hint="eastAsia" w:ascii="宋体" w:hAnsi="宋体"/>
          <w:color w:val="auto"/>
          <w:highlight w:val="none"/>
        </w:rPr>
        <w:t>承</w:t>
      </w:r>
      <w:r>
        <w:rPr>
          <w:rFonts w:hint="eastAsia" w:ascii="宋体"/>
          <w:color w:val="auto"/>
          <w:highlight w:val="none"/>
        </w:rPr>
        <w:t xml:space="preserve">  </w:t>
      </w:r>
      <w:r>
        <w:rPr>
          <w:rFonts w:hint="eastAsia" w:ascii="宋体" w:hAnsi="宋体"/>
          <w:color w:val="auto"/>
          <w:highlight w:val="none"/>
        </w:rPr>
        <w:t>包</w:t>
      </w:r>
      <w:r>
        <w:rPr>
          <w:rFonts w:hint="eastAsia" w:ascii="宋体"/>
          <w:color w:val="auto"/>
          <w:highlight w:val="none"/>
        </w:rPr>
        <w:t xml:space="preserve">  </w:t>
      </w:r>
      <w:r>
        <w:rPr>
          <w:rFonts w:hint="eastAsia" w:ascii="宋体" w:hAnsi="宋体"/>
          <w:color w:val="auto"/>
          <w:highlight w:val="none"/>
        </w:rPr>
        <w:t>人：</w:t>
      </w:r>
      <w:r>
        <w:rPr>
          <w:rFonts w:hint="eastAsia" w:ascii="宋体"/>
          <w:color w:val="auto"/>
          <w:highlight w:val="none"/>
          <w:u w:val="single"/>
        </w:rPr>
        <w:t xml:space="preserve">          </w:t>
      </w:r>
      <w:r>
        <w:rPr>
          <w:rFonts w:hint="eastAsia" w:ascii="宋体"/>
          <w:color w:val="auto"/>
          <w:highlight w:val="none"/>
        </w:rPr>
        <w:t>(</w:t>
      </w:r>
      <w:r>
        <w:rPr>
          <w:rFonts w:hint="eastAsia" w:ascii="宋体" w:hAnsi="宋体"/>
          <w:color w:val="auto"/>
          <w:highlight w:val="none"/>
        </w:rPr>
        <w:t>盖单位章</w:t>
      </w:r>
      <w:r>
        <w:rPr>
          <w:rFonts w:hint="eastAsia" w:ascii="宋体"/>
          <w:color w:val="auto"/>
          <w:highlight w:val="none"/>
        </w:rPr>
        <w:t>)</w:t>
      </w:r>
    </w:p>
    <w:p w14:paraId="02766086">
      <w:pPr>
        <w:pStyle w:val="44"/>
        <w:spacing w:line="500" w:lineRule="exact"/>
        <w:ind w:firstLine="3570" w:firstLineChars="1700"/>
        <w:rPr>
          <w:rFonts w:hint="eastAsia" w:ascii="宋体"/>
          <w:color w:val="auto"/>
          <w:highlight w:val="none"/>
        </w:rPr>
      </w:pPr>
      <w:r>
        <w:rPr>
          <w:rFonts w:hint="eastAsia" w:ascii="宋体" w:hAnsi="宋体"/>
          <w:color w:val="auto"/>
          <w:highlight w:val="none"/>
        </w:rPr>
        <w:t>法定代表人：</w:t>
      </w:r>
      <w:r>
        <w:rPr>
          <w:rFonts w:hint="eastAsia" w:ascii="宋体"/>
          <w:color w:val="auto"/>
          <w:highlight w:val="none"/>
          <w:u w:val="single"/>
        </w:rPr>
        <w:t xml:space="preserve">      (</w:t>
      </w:r>
      <w:r>
        <w:rPr>
          <w:rFonts w:hint="eastAsia" w:ascii="宋体" w:hAnsi="宋体"/>
          <w:color w:val="auto"/>
          <w:highlight w:val="none"/>
          <w:u w:val="single"/>
        </w:rPr>
        <w:t>职务</w:t>
      </w:r>
      <w:r>
        <w:rPr>
          <w:rFonts w:hint="eastAsia" w:ascii="宋体"/>
          <w:color w:val="auto"/>
          <w:highlight w:val="none"/>
          <w:u w:val="single"/>
        </w:rPr>
        <w:t xml:space="preserve">)       </w:t>
      </w:r>
    </w:p>
    <w:p w14:paraId="452EB0F5">
      <w:pPr>
        <w:pStyle w:val="44"/>
        <w:spacing w:line="500" w:lineRule="exact"/>
        <w:ind w:firstLine="4830" w:firstLineChars="2300"/>
        <w:rPr>
          <w:rFonts w:hint="eastAsia" w:ascii="宋体"/>
          <w:color w:val="auto"/>
          <w:highlight w:val="none"/>
        </w:rPr>
      </w:pPr>
      <w:r>
        <w:rPr>
          <w:rFonts w:hint="eastAsia" w:ascii="宋体"/>
          <w:color w:val="auto"/>
          <w:highlight w:val="none"/>
          <w:u w:val="single"/>
        </w:rPr>
        <w:t xml:space="preserve">      (</w:t>
      </w:r>
      <w:r>
        <w:rPr>
          <w:rFonts w:hint="eastAsia" w:ascii="宋体" w:hAnsi="宋体"/>
          <w:color w:val="auto"/>
          <w:highlight w:val="none"/>
          <w:u w:val="single"/>
        </w:rPr>
        <w:t>姓名</w:t>
      </w:r>
      <w:r>
        <w:rPr>
          <w:rFonts w:hint="eastAsia" w:ascii="宋体"/>
          <w:color w:val="auto"/>
          <w:highlight w:val="none"/>
          <w:u w:val="single"/>
        </w:rPr>
        <w:t xml:space="preserve">)       </w:t>
      </w:r>
    </w:p>
    <w:p w14:paraId="18E87FB6">
      <w:pPr>
        <w:pStyle w:val="44"/>
        <w:spacing w:line="500" w:lineRule="exact"/>
        <w:ind w:firstLine="4830" w:firstLineChars="2300"/>
        <w:rPr>
          <w:rFonts w:hint="eastAsia" w:ascii="宋体"/>
          <w:color w:val="auto"/>
          <w:highlight w:val="none"/>
        </w:rPr>
      </w:pPr>
      <w:r>
        <w:rPr>
          <w:rFonts w:hint="eastAsia" w:ascii="宋体"/>
          <w:color w:val="auto"/>
          <w:highlight w:val="none"/>
          <w:u w:val="single"/>
        </w:rPr>
        <w:t xml:space="preserve">      (</w:t>
      </w:r>
      <w:r>
        <w:rPr>
          <w:rFonts w:hint="eastAsia" w:ascii="宋体" w:hAnsi="宋体"/>
          <w:color w:val="auto"/>
          <w:highlight w:val="none"/>
          <w:u w:val="single"/>
        </w:rPr>
        <w:t>签字</w:t>
      </w:r>
      <w:r>
        <w:rPr>
          <w:rFonts w:hint="eastAsia" w:ascii="宋体"/>
          <w:color w:val="auto"/>
          <w:highlight w:val="none"/>
          <w:u w:val="single"/>
        </w:rPr>
        <w:t xml:space="preserve">)       </w:t>
      </w:r>
    </w:p>
    <w:p w14:paraId="08523435">
      <w:pPr>
        <w:pStyle w:val="44"/>
        <w:spacing w:line="500" w:lineRule="exact"/>
        <w:ind w:firstLine="4867" w:firstLineChars="2318"/>
        <w:rPr>
          <w:rFonts w:hint="eastAsia" w:ascii="宋体"/>
          <w:color w:val="auto"/>
          <w:highlight w:val="none"/>
        </w:rPr>
      </w:pPr>
      <w:r>
        <w:rPr>
          <w:rFonts w:hint="eastAsia" w:ascii="宋体"/>
          <w:color w:val="auto"/>
          <w:highlight w:val="none"/>
          <w:u w:val="single"/>
        </w:rPr>
        <w:t xml:space="preserve">      </w:t>
      </w:r>
      <w:r>
        <w:rPr>
          <w:rFonts w:hint="eastAsia" w:ascii="宋体" w:hAnsi="宋体"/>
          <w:color w:val="auto"/>
          <w:highlight w:val="none"/>
        </w:rPr>
        <w:t>年</w:t>
      </w:r>
      <w:r>
        <w:rPr>
          <w:rFonts w:hint="eastAsia" w:ascii="宋体"/>
          <w:color w:val="auto"/>
          <w:highlight w:val="none"/>
          <w:u w:val="single"/>
        </w:rPr>
        <w:t xml:space="preserve">   </w:t>
      </w:r>
      <w:r>
        <w:rPr>
          <w:rFonts w:hint="eastAsia" w:ascii="宋体" w:hAnsi="宋体"/>
          <w:color w:val="auto"/>
          <w:highlight w:val="none"/>
        </w:rPr>
        <w:t>月</w:t>
      </w:r>
      <w:r>
        <w:rPr>
          <w:rFonts w:hint="eastAsia" w:ascii="宋体"/>
          <w:color w:val="auto"/>
          <w:highlight w:val="none"/>
          <w:u w:val="single"/>
        </w:rPr>
        <w:t xml:space="preserve">    </w:t>
      </w:r>
      <w:r>
        <w:rPr>
          <w:rFonts w:hint="eastAsia" w:ascii="宋体" w:hAnsi="宋体"/>
          <w:color w:val="auto"/>
          <w:highlight w:val="none"/>
        </w:rPr>
        <w:t>日</w:t>
      </w:r>
    </w:p>
    <w:p w14:paraId="49132357">
      <w:pPr>
        <w:pStyle w:val="44"/>
        <w:spacing w:line="500" w:lineRule="exact"/>
        <w:rPr>
          <w:rFonts w:hint="eastAsia" w:ascii="宋体"/>
          <w:color w:val="auto"/>
          <w:highlight w:val="none"/>
        </w:rPr>
      </w:pPr>
      <w:r>
        <w:rPr>
          <w:rFonts w:hint="eastAsia" w:ascii="宋体"/>
          <w:color w:val="auto"/>
          <w:highlight w:val="none"/>
        </w:rPr>
        <w:t xml:space="preserve"> </w:t>
      </w:r>
    </w:p>
    <w:p w14:paraId="3B5DCD06">
      <w:pPr>
        <w:pStyle w:val="44"/>
        <w:spacing w:line="500" w:lineRule="exact"/>
        <w:rPr>
          <w:rFonts w:hint="eastAsia" w:ascii="宋体"/>
          <w:color w:val="auto"/>
          <w:highlight w:val="none"/>
        </w:rPr>
      </w:pPr>
      <w:r>
        <w:rPr>
          <w:rFonts w:hint="eastAsia" w:ascii="宋体" w:hAnsi="宋体"/>
          <w:color w:val="auto"/>
          <w:highlight w:val="none"/>
        </w:rPr>
        <w:t>抄送：</w:t>
      </w:r>
      <w:r>
        <w:rPr>
          <w:rFonts w:hint="eastAsia" w:ascii="宋体"/>
          <w:color w:val="auto"/>
          <w:highlight w:val="none"/>
          <w:u w:val="single"/>
        </w:rPr>
        <w:t>(</w:t>
      </w:r>
      <w:r>
        <w:rPr>
          <w:rFonts w:hint="eastAsia" w:ascii="宋体" w:hAnsi="宋体"/>
          <w:color w:val="auto"/>
          <w:highlight w:val="none"/>
          <w:u w:val="single"/>
        </w:rPr>
        <w:t>监理人</w:t>
      </w:r>
      <w:r>
        <w:rPr>
          <w:rFonts w:hint="eastAsia" w:ascii="宋体"/>
          <w:color w:val="auto"/>
          <w:highlight w:val="none"/>
          <w:u w:val="single"/>
        </w:rPr>
        <w:t>)</w:t>
      </w:r>
    </w:p>
    <w:p w14:paraId="41C03408">
      <w:pPr>
        <w:pStyle w:val="44"/>
        <w:spacing w:line="500" w:lineRule="exact"/>
        <w:rPr>
          <w:rFonts w:hint="eastAsia" w:ascii="宋体"/>
          <w:color w:val="auto"/>
          <w:highlight w:val="none"/>
        </w:rPr>
      </w:pPr>
      <w:r>
        <w:rPr>
          <w:rFonts w:hint="eastAsia" w:ascii="宋体"/>
          <w:color w:val="auto"/>
          <w:highlight w:val="none"/>
        </w:rPr>
        <w:t xml:space="preserve"> </w:t>
      </w:r>
    </w:p>
    <w:p w14:paraId="3DDF8F6A">
      <w:pPr>
        <w:pStyle w:val="44"/>
        <w:keepNext w:val="0"/>
        <w:keepLines w:val="0"/>
        <w:pageBreakBefore w:val="0"/>
        <w:widowControl w:val="0"/>
        <w:kinsoku/>
        <w:wordWrap/>
        <w:overflowPunct/>
        <w:topLinePunct w:val="0"/>
        <w:autoSpaceDE/>
        <w:autoSpaceDN/>
        <w:bidi w:val="0"/>
        <w:adjustRightInd/>
        <w:snapToGrid/>
        <w:spacing w:line="420" w:lineRule="exact"/>
        <w:textAlignment w:val="auto"/>
        <w:outlineLvl w:val="3"/>
        <w:rPr>
          <w:rFonts w:hint="eastAsia" w:ascii="黑体" w:eastAsia="黑体"/>
          <w:color w:val="auto"/>
          <w:sz w:val="28"/>
          <w:szCs w:val="28"/>
          <w:highlight w:val="none"/>
        </w:rPr>
      </w:pPr>
      <w:r>
        <w:rPr>
          <w:rFonts w:hint="eastAsia" w:ascii="宋体"/>
          <w:color w:val="auto"/>
          <w:sz w:val="24"/>
          <w:szCs w:val="24"/>
          <w:highlight w:val="none"/>
        </w:rPr>
        <w:br w:type="page"/>
      </w:r>
      <w:r>
        <w:rPr>
          <w:rFonts w:hint="eastAsia" w:ascii="黑体" w:hAnsi="黑体" w:eastAsia="黑体"/>
          <w:color w:val="auto"/>
          <w:sz w:val="28"/>
          <w:szCs w:val="28"/>
          <w:highlight w:val="none"/>
        </w:rPr>
        <w:t>附件七</w:t>
      </w:r>
      <w:r>
        <w:rPr>
          <w:rFonts w:hint="eastAsia" w:ascii="黑体" w:eastAsia="黑体"/>
          <w:color w:val="auto"/>
          <w:sz w:val="28"/>
          <w:szCs w:val="28"/>
          <w:highlight w:val="none"/>
        </w:rPr>
        <w:t xml:space="preserve">  </w:t>
      </w:r>
      <w:r>
        <w:rPr>
          <w:rFonts w:hint="eastAsia" w:ascii="黑体" w:hAnsi="黑体" w:eastAsia="黑体"/>
          <w:color w:val="auto"/>
          <w:sz w:val="28"/>
          <w:szCs w:val="28"/>
          <w:highlight w:val="none"/>
        </w:rPr>
        <w:t>履约担保格式</w:t>
      </w:r>
    </w:p>
    <w:p w14:paraId="47945603">
      <w:pPr>
        <w:pStyle w:val="44"/>
        <w:spacing w:line="420" w:lineRule="exact"/>
        <w:jc w:val="center"/>
        <w:rPr>
          <w:rFonts w:hint="eastAsia" w:ascii="黑体" w:hAnsi="黑体" w:eastAsia="黑体"/>
          <w:color w:val="auto"/>
          <w:sz w:val="28"/>
          <w:szCs w:val="28"/>
          <w:highlight w:val="none"/>
        </w:rPr>
      </w:pPr>
    </w:p>
    <w:p w14:paraId="7D3973DB">
      <w:pPr>
        <w:pStyle w:val="44"/>
        <w:spacing w:line="420" w:lineRule="exact"/>
        <w:jc w:val="center"/>
        <w:rPr>
          <w:rFonts w:hint="eastAsia" w:ascii="黑体" w:eastAsia="黑体"/>
          <w:color w:val="auto"/>
          <w:sz w:val="28"/>
          <w:szCs w:val="28"/>
          <w:highlight w:val="none"/>
        </w:rPr>
      </w:pPr>
      <w:r>
        <w:rPr>
          <w:rFonts w:hint="eastAsia" w:ascii="黑体" w:hAnsi="黑体" w:eastAsia="黑体"/>
          <w:color w:val="auto"/>
          <w:sz w:val="28"/>
          <w:szCs w:val="28"/>
          <w:highlight w:val="none"/>
        </w:rPr>
        <w:t>履约担保</w:t>
      </w:r>
    </w:p>
    <w:p w14:paraId="16B6CF88">
      <w:pPr>
        <w:pStyle w:val="44"/>
        <w:spacing w:line="520" w:lineRule="exact"/>
        <w:rPr>
          <w:rFonts w:hint="eastAsia" w:ascii="宋体"/>
          <w:color w:val="auto"/>
          <w:highlight w:val="none"/>
        </w:rPr>
      </w:pPr>
      <w:r>
        <w:rPr>
          <w:rFonts w:hint="eastAsia" w:ascii="宋体"/>
          <w:color w:val="auto"/>
          <w:highlight w:val="none"/>
        </w:rPr>
        <w:t xml:space="preserve"> </w:t>
      </w:r>
    </w:p>
    <w:p w14:paraId="0DC999B2">
      <w:pPr>
        <w:pStyle w:val="44"/>
        <w:spacing w:line="520" w:lineRule="exact"/>
        <w:rPr>
          <w:rFonts w:hint="eastAsia" w:ascii="宋体"/>
          <w:color w:val="auto"/>
          <w:highlight w:val="none"/>
        </w:rPr>
      </w:pPr>
      <w:r>
        <w:rPr>
          <w:rFonts w:hint="eastAsia" w:ascii="宋体"/>
          <w:color w:val="auto"/>
          <w:highlight w:val="none"/>
          <w:u w:val="single"/>
        </w:rPr>
        <w:t xml:space="preserve">             </w:t>
      </w:r>
      <w:r>
        <w:rPr>
          <w:rFonts w:hint="eastAsia" w:ascii="宋体"/>
          <w:color w:val="auto"/>
          <w:highlight w:val="none"/>
        </w:rPr>
        <w:t xml:space="preserve"> (</w:t>
      </w:r>
      <w:r>
        <w:rPr>
          <w:rFonts w:hint="eastAsia" w:ascii="宋体" w:hAnsi="宋体"/>
          <w:color w:val="auto"/>
          <w:highlight w:val="none"/>
        </w:rPr>
        <w:t>发包人名称</w:t>
      </w:r>
      <w:r>
        <w:rPr>
          <w:rFonts w:hint="eastAsia" w:ascii="宋体"/>
          <w:color w:val="auto"/>
          <w:highlight w:val="none"/>
        </w:rPr>
        <w:t>)</w:t>
      </w:r>
      <w:r>
        <w:rPr>
          <w:rFonts w:hint="eastAsia" w:ascii="宋体" w:hAnsi="宋体"/>
          <w:color w:val="auto"/>
          <w:highlight w:val="none"/>
        </w:rPr>
        <w:t>：</w:t>
      </w:r>
    </w:p>
    <w:p w14:paraId="313E6DF8">
      <w:pPr>
        <w:pStyle w:val="44"/>
        <w:spacing w:line="520" w:lineRule="exact"/>
        <w:ind w:firstLine="420" w:firstLineChars="200"/>
        <w:rPr>
          <w:rFonts w:hint="eastAsia" w:ascii="宋体"/>
          <w:color w:val="auto"/>
          <w:highlight w:val="none"/>
        </w:rPr>
      </w:pPr>
      <w:r>
        <w:rPr>
          <w:rFonts w:hint="eastAsia" w:ascii="宋体" w:hAnsi="宋体"/>
          <w:color w:val="auto"/>
          <w:highlight w:val="none"/>
        </w:rPr>
        <w:t>鉴于</w:t>
      </w:r>
      <w:r>
        <w:rPr>
          <w:rFonts w:hint="eastAsia" w:ascii="宋体"/>
          <w:color w:val="auto"/>
          <w:highlight w:val="none"/>
          <w:u w:val="single"/>
        </w:rPr>
        <w:t xml:space="preserve">         </w:t>
      </w:r>
      <w:r>
        <w:rPr>
          <w:rFonts w:hint="eastAsia" w:ascii="宋体"/>
          <w:color w:val="auto"/>
          <w:highlight w:val="none"/>
        </w:rPr>
        <w:t>(</w:t>
      </w:r>
      <w:r>
        <w:rPr>
          <w:rFonts w:hint="eastAsia" w:ascii="宋体" w:hAnsi="宋体"/>
          <w:color w:val="auto"/>
          <w:highlight w:val="none"/>
        </w:rPr>
        <w:t>发包人名称，以下简称</w:t>
      </w:r>
      <w:r>
        <w:rPr>
          <w:rFonts w:hint="eastAsia" w:ascii="宋体"/>
          <w:color w:val="auto"/>
          <w:highlight w:val="none"/>
        </w:rPr>
        <w:t>“发包人”)</w:t>
      </w:r>
      <w:r>
        <w:rPr>
          <w:rFonts w:hint="eastAsia" w:ascii="宋体" w:hAnsi="宋体"/>
          <w:color w:val="auto"/>
          <w:highlight w:val="none"/>
        </w:rPr>
        <w:t>接受</w:t>
      </w:r>
      <w:r>
        <w:rPr>
          <w:rFonts w:hint="eastAsia" w:ascii="宋体"/>
          <w:color w:val="auto"/>
          <w:highlight w:val="none"/>
          <w:u w:val="single"/>
        </w:rPr>
        <w:t xml:space="preserve">          </w:t>
      </w:r>
      <w:r>
        <w:rPr>
          <w:rFonts w:hint="eastAsia" w:ascii="宋体"/>
          <w:color w:val="auto"/>
          <w:highlight w:val="none"/>
        </w:rPr>
        <w:t>(</w:t>
      </w:r>
      <w:r>
        <w:rPr>
          <w:rFonts w:hint="eastAsia" w:ascii="宋体" w:hAnsi="宋体"/>
          <w:color w:val="auto"/>
          <w:highlight w:val="none"/>
        </w:rPr>
        <w:t>承包人名称</w:t>
      </w:r>
      <w:r>
        <w:rPr>
          <w:rFonts w:hint="eastAsia" w:ascii="宋体"/>
          <w:color w:val="auto"/>
          <w:highlight w:val="none"/>
        </w:rPr>
        <w:t>)(</w:t>
      </w:r>
      <w:r>
        <w:rPr>
          <w:rFonts w:hint="eastAsia" w:ascii="宋体" w:hAnsi="宋体"/>
          <w:color w:val="auto"/>
          <w:highlight w:val="none"/>
        </w:rPr>
        <w:t>以下称</w:t>
      </w:r>
      <w:r>
        <w:rPr>
          <w:rFonts w:hint="eastAsia" w:ascii="宋体"/>
          <w:color w:val="auto"/>
          <w:highlight w:val="none"/>
        </w:rPr>
        <w:t>“承包人”)</w:t>
      </w:r>
      <w:r>
        <w:rPr>
          <w:rFonts w:hint="eastAsia" w:ascii="宋体" w:hAnsi="宋体"/>
          <w:color w:val="auto"/>
          <w:highlight w:val="none"/>
        </w:rPr>
        <w:t>于</w:t>
      </w:r>
      <w:r>
        <w:rPr>
          <w:rFonts w:hint="eastAsia" w:ascii="宋体"/>
          <w:color w:val="auto"/>
          <w:highlight w:val="none"/>
          <w:u w:val="single"/>
        </w:rPr>
        <w:t xml:space="preserve">    </w:t>
      </w:r>
      <w:r>
        <w:rPr>
          <w:rFonts w:hint="eastAsia" w:ascii="宋体" w:hAnsi="宋体"/>
          <w:color w:val="auto"/>
          <w:highlight w:val="none"/>
        </w:rPr>
        <w:t>年</w:t>
      </w:r>
      <w:r>
        <w:rPr>
          <w:rFonts w:hint="eastAsia" w:ascii="宋体"/>
          <w:color w:val="auto"/>
          <w:highlight w:val="none"/>
          <w:u w:val="single"/>
        </w:rPr>
        <w:t xml:space="preserve">   </w:t>
      </w:r>
      <w:r>
        <w:rPr>
          <w:rFonts w:hint="eastAsia" w:ascii="宋体" w:hAnsi="宋体"/>
          <w:color w:val="auto"/>
          <w:highlight w:val="none"/>
        </w:rPr>
        <w:t>月</w:t>
      </w:r>
      <w:r>
        <w:rPr>
          <w:rFonts w:hint="eastAsia" w:ascii="宋体"/>
          <w:color w:val="auto"/>
          <w:highlight w:val="none"/>
          <w:u w:val="single"/>
        </w:rPr>
        <w:t xml:space="preserve">   </w:t>
      </w:r>
      <w:r>
        <w:rPr>
          <w:rFonts w:hint="eastAsia" w:ascii="宋体" w:hAnsi="宋体"/>
          <w:color w:val="auto"/>
          <w:highlight w:val="none"/>
        </w:rPr>
        <w:t>日参加</w:t>
      </w:r>
      <w:r>
        <w:rPr>
          <w:rFonts w:hint="eastAsia" w:ascii="宋体"/>
          <w:color w:val="auto"/>
          <w:highlight w:val="none"/>
          <w:u w:val="single"/>
        </w:rPr>
        <w:t xml:space="preserve">         </w:t>
      </w:r>
      <w:r>
        <w:rPr>
          <w:rFonts w:hint="eastAsia" w:ascii="宋体"/>
          <w:color w:val="auto"/>
          <w:highlight w:val="none"/>
        </w:rPr>
        <w:t xml:space="preserve"> (</w:t>
      </w:r>
      <w:r>
        <w:rPr>
          <w:rFonts w:hint="eastAsia" w:ascii="宋体" w:hAnsi="宋体"/>
          <w:color w:val="auto"/>
          <w:highlight w:val="none"/>
        </w:rPr>
        <w:t>项目名称</w:t>
      </w:r>
      <w:r>
        <w:rPr>
          <w:rFonts w:hint="eastAsia" w:ascii="宋体"/>
          <w:color w:val="auto"/>
          <w:highlight w:val="none"/>
        </w:rPr>
        <w:t>)</w:t>
      </w:r>
      <w:r>
        <w:rPr>
          <w:rFonts w:hint="eastAsia" w:ascii="宋体"/>
          <w:color w:val="auto"/>
          <w:highlight w:val="none"/>
          <w:u w:val="single"/>
        </w:rPr>
        <w:t xml:space="preserve">   </w:t>
      </w:r>
      <w:r>
        <w:rPr>
          <w:rFonts w:hint="eastAsia" w:ascii="宋体" w:hAnsi="宋体"/>
          <w:color w:val="auto"/>
          <w:highlight w:val="none"/>
        </w:rPr>
        <w:t>标段</w:t>
      </w:r>
      <w:r>
        <w:rPr>
          <w:rFonts w:hint="eastAsia" w:ascii="宋体" w:hAnsi="宋体" w:eastAsia="宋体"/>
          <w:color w:val="auto"/>
          <w:highlight w:val="none"/>
          <w:lang w:val="en-US" w:eastAsia="zh-CN"/>
        </w:rPr>
        <w:t>公路养护工程</w:t>
      </w:r>
      <w:r>
        <w:rPr>
          <w:rFonts w:hint="eastAsia" w:ascii="宋体" w:hAnsi="宋体"/>
          <w:color w:val="auto"/>
          <w:highlight w:val="none"/>
        </w:rPr>
        <w:t>施工的投标。我方愿意无条件地、不可撤销地就承包人履行与你方订立的合同，向你方提供担保。</w:t>
      </w:r>
    </w:p>
    <w:p w14:paraId="15905076">
      <w:pPr>
        <w:pStyle w:val="44"/>
        <w:spacing w:line="520" w:lineRule="exact"/>
        <w:ind w:firstLine="420" w:firstLineChars="200"/>
        <w:rPr>
          <w:rFonts w:hint="eastAsia" w:ascii="宋体"/>
          <w:color w:val="auto"/>
          <w:highlight w:val="none"/>
        </w:rPr>
      </w:pPr>
      <w:r>
        <w:rPr>
          <w:rFonts w:hint="eastAsia" w:ascii="宋体"/>
          <w:color w:val="auto"/>
          <w:highlight w:val="none"/>
        </w:rPr>
        <w:t>1.</w:t>
      </w:r>
      <w:r>
        <w:rPr>
          <w:rFonts w:hint="eastAsia" w:ascii="宋体" w:hAnsi="宋体"/>
          <w:color w:val="auto"/>
          <w:highlight w:val="none"/>
        </w:rPr>
        <w:t>担保金额人民币</w:t>
      </w:r>
      <w:r>
        <w:rPr>
          <w:rFonts w:hint="eastAsia" w:ascii="宋体"/>
          <w:color w:val="auto"/>
          <w:highlight w:val="none"/>
        </w:rPr>
        <w:t>(</w:t>
      </w:r>
      <w:r>
        <w:rPr>
          <w:rFonts w:hint="eastAsia" w:ascii="宋体" w:hAnsi="宋体"/>
          <w:color w:val="auto"/>
          <w:highlight w:val="none"/>
        </w:rPr>
        <w:t>大写</w:t>
      </w:r>
      <w:r>
        <w:rPr>
          <w:rFonts w:hint="eastAsia" w:ascii="宋体"/>
          <w:color w:val="auto"/>
          <w:highlight w:val="none"/>
        </w:rPr>
        <w:t>)</w:t>
      </w:r>
      <w:r>
        <w:rPr>
          <w:rFonts w:hint="eastAsia" w:ascii="宋体"/>
          <w:color w:val="auto"/>
          <w:highlight w:val="none"/>
          <w:u w:val="single"/>
        </w:rPr>
        <w:t xml:space="preserve">           </w:t>
      </w:r>
      <w:r>
        <w:rPr>
          <w:rFonts w:hint="eastAsia" w:ascii="宋体" w:hAnsi="宋体"/>
          <w:color w:val="auto"/>
          <w:highlight w:val="none"/>
        </w:rPr>
        <w:t>元</w:t>
      </w:r>
      <w:r>
        <w:rPr>
          <w:rFonts w:hint="eastAsia" w:ascii="宋体"/>
          <w:color w:val="auto"/>
          <w:highlight w:val="none"/>
        </w:rPr>
        <w:t>(</w:t>
      </w:r>
      <w:r>
        <w:rPr>
          <w:rFonts w:hint="eastAsia" w:ascii="宋体" w:hAnsi="宋体"/>
          <w:color w:val="auto"/>
          <w:highlight w:val="none"/>
        </w:rPr>
        <w:t>￥</w:t>
      </w:r>
      <w:r>
        <w:rPr>
          <w:rFonts w:hint="eastAsia" w:ascii="宋体"/>
          <w:color w:val="auto"/>
          <w:highlight w:val="none"/>
          <w:u w:val="single"/>
        </w:rPr>
        <w:t xml:space="preserve">           </w:t>
      </w:r>
      <w:r>
        <w:rPr>
          <w:rFonts w:hint="eastAsia" w:ascii="宋体"/>
          <w:color w:val="auto"/>
          <w:highlight w:val="none"/>
        </w:rPr>
        <w:t>)</w:t>
      </w:r>
      <w:r>
        <w:rPr>
          <w:rFonts w:hint="eastAsia" w:ascii="宋体" w:hAnsi="宋体"/>
          <w:color w:val="auto"/>
          <w:highlight w:val="none"/>
        </w:rPr>
        <w:t>。</w:t>
      </w:r>
    </w:p>
    <w:p w14:paraId="0B6C556D">
      <w:pPr>
        <w:pStyle w:val="44"/>
        <w:spacing w:line="520" w:lineRule="exact"/>
        <w:ind w:firstLine="420" w:firstLineChars="200"/>
        <w:rPr>
          <w:rFonts w:hint="eastAsia" w:ascii="宋体"/>
          <w:color w:val="auto"/>
          <w:highlight w:val="none"/>
        </w:rPr>
      </w:pPr>
      <w:r>
        <w:rPr>
          <w:rFonts w:hint="eastAsia" w:ascii="宋体"/>
          <w:color w:val="auto"/>
          <w:highlight w:val="none"/>
        </w:rPr>
        <w:t>2.</w:t>
      </w:r>
      <w:r>
        <w:rPr>
          <w:rFonts w:hint="eastAsia" w:ascii="宋体" w:hAnsi="宋体"/>
          <w:color w:val="auto"/>
          <w:highlight w:val="none"/>
        </w:rPr>
        <w:t>担保有效期自发包人与承包人签订的合同生效之日起至发包人签发交工验收证书之日止。</w:t>
      </w:r>
    </w:p>
    <w:p w14:paraId="4F54D11C">
      <w:pPr>
        <w:pStyle w:val="44"/>
        <w:spacing w:line="520" w:lineRule="exact"/>
        <w:ind w:firstLine="420" w:firstLineChars="200"/>
        <w:rPr>
          <w:rFonts w:hint="eastAsia" w:ascii="宋体"/>
          <w:color w:val="auto"/>
          <w:highlight w:val="none"/>
        </w:rPr>
      </w:pPr>
      <w:r>
        <w:rPr>
          <w:rFonts w:hint="eastAsia" w:ascii="宋体"/>
          <w:color w:val="auto"/>
          <w:highlight w:val="none"/>
        </w:rPr>
        <w:t>3.</w:t>
      </w:r>
      <w:r>
        <w:rPr>
          <w:rFonts w:hint="eastAsia" w:ascii="宋体" w:hAnsi="宋体"/>
          <w:color w:val="auto"/>
          <w:highlight w:val="none"/>
        </w:rPr>
        <w:t>在本担保有效期内，因承包人违反合同约定的义务给你方造成经济损失时，我方在收到你方以书面形式提出的在担保金额内的赔偿要求后，在</w:t>
      </w:r>
      <w:r>
        <w:rPr>
          <w:rFonts w:hint="eastAsia" w:ascii="宋体"/>
          <w:color w:val="auto"/>
          <w:highlight w:val="none"/>
        </w:rPr>
        <w:t>7</w:t>
      </w:r>
      <w:r>
        <w:rPr>
          <w:rFonts w:hint="eastAsia" w:ascii="宋体" w:hAnsi="宋体"/>
          <w:color w:val="auto"/>
          <w:highlight w:val="none"/>
        </w:rPr>
        <w:t>天内无条件支付，无须你方出具证明或陈述理由。</w:t>
      </w:r>
    </w:p>
    <w:p w14:paraId="6BEB3238">
      <w:pPr>
        <w:pStyle w:val="44"/>
        <w:spacing w:line="520" w:lineRule="exact"/>
        <w:ind w:firstLine="420" w:firstLineChars="200"/>
        <w:rPr>
          <w:rFonts w:hint="eastAsia" w:ascii="宋体"/>
          <w:color w:val="auto"/>
          <w:highlight w:val="none"/>
        </w:rPr>
      </w:pPr>
      <w:r>
        <w:rPr>
          <w:rFonts w:hint="eastAsia" w:ascii="宋体"/>
          <w:color w:val="auto"/>
          <w:highlight w:val="none"/>
        </w:rPr>
        <w:t>4.</w:t>
      </w:r>
      <w:r>
        <w:rPr>
          <w:rFonts w:hint="eastAsia" w:ascii="宋体" w:hAnsi="宋体"/>
          <w:color w:val="auto"/>
          <w:highlight w:val="none"/>
        </w:rPr>
        <w:t>发包人和承包人按合同条款第</w:t>
      </w:r>
      <w:r>
        <w:rPr>
          <w:rFonts w:hint="eastAsia" w:ascii="宋体"/>
          <w:color w:val="auto"/>
          <w:highlight w:val="none"/>
        </w:rPr>
        <w:t>15</w:t>
      </w:r>
      <w:r>
        <w:rPr>
          <w:rFonts w:hint="eastAsia" w:ascii="宋体" w:hAnsi="宋体"/>
          <w:color w:val="auto"/>
          <w:highlight w:val="none"/>
        </w:rPr>
        <w:t>条变更合同时，我方承担本担保规定的义务不变。</w:t>
      </w:r>
    </w:p>
    <w:p w14:paraId="655D241C">
      <w:pPr>
        <w:pStyle w:val="44"/>
        <w:spacing w:line="520" w:lineRule="exact"/>
        <w:rPr>
          <w:rFonts w:hint="eastAsia" w:ascii="宋体"/>
          <w:color w:val="auto"/>
          <w:highlight w:val="none"/>
        </w:rPr>
      </w:pPr>
      <w:r>
        <w:rPr>
          <w:rFonts w:hint="eastAsia" w:ascii="宋体"/>
          <w:color w:val="auto"/>
          <w:highlight w:val="none"/>
        </w:rPr>
        <w:t xml:space="preserve"> </w:t>
      </w:r>
    </w:p>
    <w:p w14:paraId="6ED3F623">
      <w:pPr>
        <w:pStyle w:val="44"/>
        <w:spacing w:line="520" w:lineRule="exact"/>
        <w:rPr>
          <w:rFonts w:hint="eastAsia" w:ascii="宋体"/>
          <w:color w:val="auto"/>
          <w:highlight w:val="none"/>
        </w:rPr>
      </w:pPr>
      <w:r>
        <w:rPr>
          <w:rFonts w:hint="eastAsia" w:ascii="宋体"/>
          <w:color w:val="auto"/>
          <w:highlight w:val="none"/>
        </w:rPr>
        <w:t xml:space="preserve"> </w:t>
      </w:r>
    </w:p>
    <w:p w14:paraId="5BB976D0">
      <w:pPr>
        <w:pStyle w:val="44"/>
        <w:spacing w:line="520" w:lineRule="exact"/>
        <w:ind w:firstLine="3675" w:firstLineChars="1750"/>
        <w:rPr>
          <w:rFonts w:hint="eastAsia" w:ascii="宋体"/>
          <w:color w:val="auto"/>
          <w:highlight w:val="none"/>
        </w:rPr>
      </w:pPr>
      <w:r>
        <w:rPr>
          <w:rFonts w:hint="eastAsia" w:ascii="宋体" w:hAnsi="宋体"/>
          <w:color w:val="auto"/>
          <w:highlight w:val="none"/>
        </w:rPr>
        <w:t>担</w:t>
      </w:r>
      <w:r>
        <w:rPr>
          <w:rFonts w:hint="eastAsia" w:ascii="宋体"/>
          <w:color w:val="auto"/>
          <w:highlight w:val="none"/>
        </w:rPr>
        <w:t xml:space="preserve"> </w:t>
      </w:r>
      <w:r>
        <w:rPr>
          <w:rFonts w:hint="eastAsia" w:ascii="宋体" w:hAnsi="宋体"/>
          <w:color w:val="auto"/>
          <w:highlight w:val="none"/>
        </w:rPr>
        <w:t>保</w:t>
      </w:r>
      <w:r>
        <w:rPr>
          <w:rFonts w:hint="eastAsia" w:ascii="宋体"/>
          <w:color w:val="auto"/>
          <w:highlight w:val="none"/>
        </w:rPr>
        <w:t xml:space="preserve"> </w:t>
      </w:r>
      <w:r>
        <w:rPr>
          <w:rFonts w:hint="eastAsia" w:ascii="宋体" w:hAnsi="宋体"/>
          <w:color w:val="auto"/>
          <w:highlight w:val="none"/>
        </w:rPr>
        <w:t>人：</w:t>
      </w:r>
      <w:r>
        <w:rPr>
          <w:rFonts w:hint="eastAsia" w:ascii="宋体"/>
          <w:color w:val="auto"/>
          <w:highlight w:val="none"/>
          <w:u w:val="single"/>
        </w:rPr>
        <w:t xml:space="preserve">                     </w:t>
      </w:r>
      <w:r>
        <w:rPr>
          <w:rFonts w:hint="eastAsia" w:ascii="宋体"/>
          <w:color w:val="auto"/>
          <w:highlight w:val="none"/>
        </w:rPr>
        <w:t>(</w:t>
      </w:r>
      <w:r>
        <w:rPr>
          <w:rFonts w:hint="eastAsia" w:ascii="宋体" w:hAnsi="宋体"/>
          <w:color w:val="auto"/>
          <w:highlight w:val="none"/>
        </w:rPr>
        <w:t>盖单位章</w:t>
      </w:r>
      <w:r>
        <w:rPr>
          <w:rFonts w:hint="eastAsia" w:ascii="宋体"/>
          <w:color w:val="auto"/>
          <w:highlight w:val="none"/>
        </w:rPr>
        <w:t>)</w:t>
      </w:r>
    </w:p>
    <w:p w14:paraId="55E05F6C">
      <w:pPr>
        <w:pStyle w:val="44"/>
        <w:spacing w:line="520" w:lineRule="exact"/>
        <w:ind w:firstLine="3675" w:firstLineChars="1750"/>
        <w:rPr>
          <w:rFonts w:hint="eastAsia" w:ascii="宋体"/>
          <w:color w:val="auto"/>
          <w:highlight w:val="none"/>
        </w:rPr>
      </w:pPr>
      <w:r>
        <w:rPr>
          <w:rFonts w:hint="eastAsia" w:ascii="宋体" w:hAnsi="宋体"/>
          <w:color w:val="auto"/>
          <w:highlight w:val="none"/>
        </w:rPr>
        <w:t>法定代表人或其委托代理人：</w:t>
      </w:r>
      <w:r>
        <w:rPr>
          <w:rFonts w:hint="eastAsia" w:ascii="宋体"/>
          <w:color w:val="auto"/>
          <w:highlight w:val="none"/>
          <w:u w:val="single"/>
        </w:rPr>
        <w:t xml:space="preserve">         </w:t>
      </w:r>
      <w:r>
        <w:rPr>
          <w:rFonts w:hint="eastAsia" w:ascii="宋体"/>
          <w:color w:val="auto"/>
          <w:highlight w:val="none"/>
        </w:rPr>
        <w:t>(</w:t>
      </w:r>
      <w:r>
        <w:rPr>
          <w:rFonts w:hint="eastAsia" w:ascii="宋体" w:hAnsi="宋体"/>
          <w:color w:val="auto"/>
          <w:highlight w:val="none"/>
        </w:rPr>
        <w:t>签字</w:t>
      </w:r>
      <w:r>
        <w:rPr>
          <w:rFonts w:hint="eastAsia" w:ascii="宋体"/>
          <w:color w:val="auto"/>
          <w:highlight w:val="none"/>
        </w:rPr>
        <w:t>)</w:t>
      </w:r>
    </w:p>
    <w:p w14:paraId="1C1E07FF">
      <w:pPr>
        <w:pStyle w:val="44"/>
        <w:spacing w:line="520" w:lineRule="exact"/>
        <w:ind w:firstLine="3675" w:firstLineChars="1750"/>
        <w:rPr>
          <w:rFonts w:hint="eastAsia" w:ascii="宋体"/>
          <w:color w:val="auto"/>
          <w:highlight w:val="none"/>
        </w:rPr>
      </w:pPr>
      <w:r>
        <w:rPr>
          <w:rFonts w:hint="eastAsia" w:ascii="宋体" w:hAnsi="宋体"/>
          <w:color w:val="auto"/>
          <w:highlight w:val="none"/>
        </w:rPr>
        <w:t>地</w:t>
      </w:r>
      <w:r>
        <w:rPr>
          <w:rFonts w:hint="eastAsia" w:ascii="宋体"/>
          <w:color w:val="auto"/>
          <w:highlight w:val="none"/>
        </w:rPr>
        <w:t xml:space="preserve">    </w:t>
      </w:r>
      <w:r>
        <w:rPr>
          <w:rFonts w:hint="eastAsia" w:ascii="宋体" w:hAnsi="宋体"/>
          <w:color w:val="auto"/>
          <w:highlight w:val="none"/>
        </w:rPr>
        <w:t>址：</w:t>
      </w:r>
      <w:r>
        <w:rPr>
          <w:rFonts w:hint="eastAsia" w:ascii="宋体"/>
          <w:color w:val="auto"/>
          <w:highlight w:val="none"/>
          <w:u w:val="single"/>
        </w:rPr>
        <w:t xml:space="preserve">                               </w:t>
      </w:r>
    </w:p>
    <w:p w14:paraId="11F5E342">
      <w:pPr>
        <w:pStyle w:val="44"/>
        <w:spacing w:line="520" w:lineRule="exact"/>
        <w:ind w:firstLine="3675" w:firstLineChars="1750"/>
        <w:rPr>
          <w:rFonts w:hint="eastAsia" w:ascii="宋体"/>
          <w:color w:val="auto"/>
          <w:highlight w:val="none"/>
        </w:rPr>
      </w:pPr>
      <w:r>
        <w:rPr>
          <w:rFonts w:hint="eastAsia" w:ascii="宋体" w:hAnsi="宋体"/>
          <w:color w:val="auto"/>
          <w:highlight w:val="none"/>
        </w:rPr>
        <w:t>邮政编码：</w:t>
      </w:r>
      <w:r>
        <w:rPr>
          <w:rFonts w:hint="eastAsia" w:ascii="宋体"/>
          <w:color w:val="auto"/>
          <w:highlight w:val="none"/>
          <w:u w:val="single"/>
        </w:rPr>
        <w:t xml:space="preserve">                               </w:t>
      </w:r>
    </w:p>
    <w:p w14:paraId="72297569">
      <w:pPr>
        <w:pStyle w:val="44"/>
        <w:spacing w:line="520" w:lineRule="exact"/>
        <w:ind w:firstLine="3675" w:firstLineChars="1750"/>
        <w:rPr>
          <w:rFonts w:hint="eastAsia" w:ascii="宋体"/>
          <w:color w:val="auto"/>
          <w:highlight w:val="none"/>
        </w:rPr>
      </w:pPr>
      <w:r>
        <w:rPr>
          <w:rFonts w:hint="eastAsia" w:ascii="宋体" w:hAnsi="宋体"/>
          <w:color w:val="auto"/>
          <w:highlight w:val="none"/>
        </w:rPr>
        <w:t>电</w:t>
      </w:r>
      <w:r>
        <w:rPr>
          <w:rFonts w:hint="eastAsia" w:ascii="宋体"/>
          <w:color w:val="auto"/>
          <w:highlight w:val="none"/>
        </w:rPr>
        <w:t xml:space="preserve">    </w:t>
      </w:r>
      <w:r>
        <w:rPr>
          <w:rFonts w:hint="eastAsia" w:ascii="宋体" w:hAnsi="宋体"/>
          <w:color w:val="auto"/>
          <w:highlight w:val="none"/>
        </w:rPr>
        <w:t>话：</w:t>
      </w:r>
      <w:r>
        <w:rPr>
          <w:rFonts w:hint="eastAsia" w:ascii="宋体"/>
          <w:color w:val="auto"/>
          <w:highlight w:val="none"/>
          <w:u w:val="single"/>
        </w:rPr>
        <w:t xml:space="preserve">                               </w:t>
      </w:r>
    </w:p>
    <w:p w14:paraId="42F21766">
      <w:pPr>
        <w:pStyle w:val="44"/>
        <w:spacing w:line="520" w:lineRule="exact"/>
        <w:ind w:firstLine="3675" w:firstLineChars="1750"/>
        <w:rPr>
          <w:rFonts w:hint="eastAsia" w:ascii="宋体"/>
          <w:color w:val="auto"/>
          <w:highlight w:val="none"/>
        </w:rPr>
      </w:pPr>
      <w:r>
        <w:rPr>
          <w:rFonts w:hint="eastAsia" w:ascii="宋体" w:hAnsi="宋体"/>
          <w:color w:val="auto"/>
          <w:highlight w:val="none"/>
        </w:rPr>
        <w:t>传</w:t>
      </w:r>
      <w:r>
        <w:rPr>
          <w:rFonts w:hint="eastAsia" w:ascii="宋体"/>
          <w:color w:val="auto"/>
          <w:highlight w:val="none"/>
        </w:rPr>
        <w:t xml:space="preserve">    </w:t>
      </w:r>
      <w:r>
        <w:rPr>
          <w:rFonts w:hint="eastAsia" w:ascii="宋体" w:hAnsi="宋体"/>
          <w:color w:val="auto"/>
          <w:highlight w:val="none"/>
        </w:rPr>
        <w:t>真：</w:t>
      </w:r>
      <w:r>
        <w:rPr>
          <w:rFonts w:hint="eastAsia" w:ascii="宋体"/>
          <w:color w:val="auto"/>
          <w:highlight w:val="none"/>
          <w:u w:val="single"/>
        </w:rPr>
        <w:t xml:space="preserve">                               </w:t>
      </w:r>
    </w:p>
    <w:p w14:paraId="7517A2F5">
      <w:pPr>
        <w:pStyle w:val="44"/>
        <w:spacing w:line="520" w:lineRule="exact"/>
        <w:ind w:firstLine="5985" w:firstLineChars="2850"/>
        <w:rPr>
          <w:rFonts w:hint="eastAsia" w:ascii="宋体"/>
          <w:color w:val="auto"/>
          <w:highlight w:val="none"/>
        </w:rPr>
      </w:pPr>
      <w:r>
        <w:rPr>
          <w:rFonts w:hint="eastAsia" w:ascii="宋体"/>
          <w:color w:val="auto"/>
          <w:highlight w:val="none"/>
          <w:u w:val="single"/>
        </w:rPr>
        <w:t xml:space="preserve">     </w:t>
      </w:r>
      <w:r>
        <w:rPr>
          <w:rFonts w:hint="eastAsia" w:ascii="宋体" w:hAnsi="宋体"/>
          <w:color w:val="auto"/>
          <w:highlight w:val="none"/>
        </w:rPr>
        <w:t>年</w:t>
      </w:r>
      <w:r>
        <w:rPr>
          <w:rFonts w:hint="eastAsia" w:ascii="宋体"/>
          <w:color w:val="auto"/>
          <w:highlight w:val="none"/>
          <w:u w:val="single"/>
        </w:rPr>
        <w:t xml:space="preserve">   </w:t>
      </w:r>
      <w:r>
        <w:rPr>
          <w:rFonts w:hint="eastAsia" w:ascii="宋体" w:hAnsi="宋体"/>
          <w:color w:val="auto"/>
          <w:highlight w:val="none"/>
        </w:rPr>
        <w:t>月</w:t>
      </w:r>
      <w:r>
        <w:rPr>
          <w:rFonts w:hint="eastAsia" w:ascii="宋体"/>
          <w:color w:val="auto"/>
          <w:highlight w:val="none"/>
          <w:u w:val="single"/>
        </w:rPr>
        <w:t xml:space="preserve">    </w:t>
      </w:r>
      <w:r>
        <w:rPr>
          <w:rFonts w:hint="eastAsia" w:ascii="宋体" w:hAnsi="宋体"/>
          <w:color w:val="auto"/>
          <w:highlight w:val="none"/>
        </w:rPr>
        <w:t>日</w:t>
      </w:r>
    </w:p>
    <w:p w14:paraId="10AADAC8">
      <w:pPr>
        <w:pStyle w:val="44"/>
        <w:keepNext w:val="0"/>
        <w:keepLines w:val="0"/>
        <w:pageBreakBefore w:val="0"/>
        <w:widowControl w:val="0"/>
        <w:kinsoku/>
        <w:wordWrap/>
        <w:overflowPunct/>
        <w:topLinePunct w:val="0"/>
        <w:autoSpaceDE/>
        <w:autoSpaceDN/>
        <w:bidi w:val="0"/>
        <w:adjustRightInd/>
        <w:snapToGrid/>
        <w:spacing w:line="420" w:lineRule="exact"/>
        <w:textAlignment w:val="auto"/>
        <w:outlineLvl w:val="3"/>
        <w:rPr>
          <w:rFonts w:hint="eastAsia" w:ascii="黑体" w:eastAsia="黑体"/>
          <w:color w:val="auto"/>
          <w:sz w:val="28"/>
          <w:szCs w:val="28"/>
          <w:highlight w:val="none"/>
        </w:rPr>
      </w:pPr>
      <w:r>
        <w:rPr>
          <w:rFonts w:hint="eastAsia" w:ascii="宋体"/>
          <w:color w:val="auto"/>
          <w:sz w:val="24"/>
          <w:szCs w:val="24"/>
          <w:highlight w:val="none"/>
        </w:rPr>
        <w:br w:type="page"/>
      </w:r>
      <w:r>
        <w:rPr>
          <w:rFonts w:hint="eastAsia" w:ascii="黑体" w:hAnsi="黑体" w:eastAsia="黑体"/>
          <w:color w:val="auto"/>
          <w:sz w:val="28"/>
          <w:szCs w:val="28"/>
          <w:highlight w:val="none"/>
        </w:rPr>
        <w:t>附件八</w:t>
      </w:r>
      <w:r>
        <w:rPr>
          <w:rFonts w:hint="eastAsia" w:ascii="黑体" w:eastAsia="黑体"/>
          <w:color w:val="auto"/>
          <w:sz w:val="28"/>
          <w:szCs w:val="28"/>
          <w:highlight w:val="none"/>
        </w:rPr>
        <w:t xml:space="preserve">  </w:t>
      </w:r>
      <w:r>
        <w:rPr>
          <w:rFonts w:hint="eastAsia" w:ascii="黑体" w:hAnsi="黑体" w:eastAsia="黑体"/>
          <w:color w:val="auto"/>
          <w:sz w:val="28"/>
          <w:szCs w:val="28"/>
          <w:highlight w:val="none"/>
        </w:rPr>
        <w:t>工程资金监管协议格式</w:t>
      </w:r>
    </w:p>
    <w:p w14:paraId="46EE1249">
      <w:pPr>
        <w:pStyle w:val="44"/>
        <w:spacing w:line="360" w:lineRule="exact"/>
        <w:ind w:firstLine="420" w:firstLineChars="200"/>
        <w:rPr>
          <w:rFonts w:hint="eastAsia" w:ascii="宋体"/>
          <w:color w:val="auto"/>
          <w:highlight w:val="none"/>
        </w:rPr>
      </w:pPr>
      <w:r>
        <w:rPr>
          <w:rFonts w:hint="eastAsia" w:ascii="宋体"/>
          <w:color w:val="auto"/>
          <w:highlight w:val="none"/>
        </w:rPr>
        <w:t>(</w:t>
      </w:r>
      <w:r>
        <w:rPr>
          <w:rFonts w:hint="eastAsia" w:ascii="宋体" w:hAnsi="宋体"/>
          <w:color w:val="auto"/>
          <w:highlight w:val="none"/>
        </w:rPr>
        <w:t>发包人与承包人签订合同协议书时应与发包人指定的银行签署工程资金监管协议，工程资金监管协议内容在保证本项目资金有效监管的前提下由三方共同商定</w:t>
      </w:r>
      <w:r>
        <w:rPr>
          <w:rFonts w:hint="eastAsia" w:ascii="宋体"/>
          <w:color w:val="auto"/>
          <w:highlight w:val="none"/>
        </w:rPr>
        <w:t>)</w:t>
      </w:r>
    </w:p>
    <w:p w14:paraId="4755CEDC">
      <w:pPr>
        <w:pStyle w:val="44"/>
        <w:spacing w:line="300" w:lineRule="exact"/>
        <w:rPr>
          <w:rFonts w:hint="eastAsia" w:ascii="宋体"/>
          <w:color w:val="auto"/>
          <w:highlight w:val="none"/>
        </w:rPr>
      </w:pPr>
      <w:r>
        <w:rPr>
          <w:rFonts w:hint="eastAsia" w:ascii="宋体"/>
          <w:color w:val="auto"/>
          <w:highlight w:val="none"/>
        </w:rPr>
        <w:t xml:space="preserve"> </w:t>
      </w:r>
    </w:p>
    <w:p w14:paraId="1F515234">
      <w:pPr>
        <w:pStyle w:val="44"/>
        <w:spacing w:line="560" w:lineRule="exact"/>
        <w:jc w:val="center"/>
        <w:rPr>
          <w:rFonts w:hint="eastAsia" w:ascii="黑体" w:eastAsia="黑体"/>
          <w:color w:val="auto"/>
          <w:sz w:val="28"/>
          <w:szCs w:val="28"/>
          <w:highlight w:val="none"/>
        </w:rPr>
      </w:pPr>
      <w:r>
        <w:rPr>
          <w:rFonts w:hint="eastAsia" w:ascii="黑体" w:hAnsi="黑体" w:eastAsia="黑体"/>
          <w:color w:val="auto"/>
          <w:sz w:val="28"/>
          <w:szCs w:val="28"/>
          <w:highlight w:val="none"/>
        </w:rPr>
        <w:t>工程资金监管协议</w:t>
      </w:r>
    </w:p>
    <w:p w14:paraId="312C7DBF">
      <w:pPr>
        <w:pStyle w:val="44"/>
        <w:spacing w:line="300" w:lineRule="exact"/>
        <w:rPr>
          <w:rFonts w:hint="eastAsia" w:ascii="宋体"/>
          <w:color w:val="auto"/>
          <w:highlight w:val="none"/>
        </w:rPr>
      </w:pPr>
      <w:r>
        <w:rPr>
          <w:rFonts w:hint="eastAsia" w:ascii="宋体"/>
          <w:color w:val="auto"/>
          <w:highlight w:val="none"/>
        </w:rPr>
        <w:t xml:space="preserve"> </w:t>
      </w:r>
    </w:p>
    <w:p w14:paraId="152F1892">
      <w:pPr>
        <w:pStyle w:val="44"/>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发 包 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(以下简称“甲方”)</w:t>
      </w:r>
    </w:p>
    <w:p w14:paraId="1F8F991E">
      <w:pPr>
        <w:pStyle w:val="44"/>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承 包 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(以下简称“乙方”)</w:t>
      </w:r>
    </w:p>
    <w:p w14:paraId="0F24AA07">
      <w:pPr>
        <w:pStyle w:val="44"/>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经办银行：</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(以下简称“丙方”)</w:t>
      </w:r>
    </w:p>
    <w:p w14:paraId="29314C27">
      <w:pPr>
        <w:pStyle w:val="9"/>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为了促进</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（项目名称）的顺利实施，管好用好建设资金，确保工程资金专款专用，同时为承包人提供便捷有效的银行业务服务，根据</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（项目名称）合同条款有关规定，经甲、乙、丙三方协商，达成协议如下：</w:t>
      </w:r>
    </w:p>
    <w:p w14:paraId="428064F9">
      <w:pPr>
        <w:pStyle w:val="9"/>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1．资金管理内容</w:t>
      </w:r>
    </w:p>
    <w:p w14:paraId="59E0A66C">
      <w:pPr>
        <w:pStyle w:val="9"/>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（1）乙方为完成</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（项目名称）工程成立的项目经理部在丙方开设结算户（账户名称：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，账号：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69C64D92">
      <w:pPr>
        <w:pStyle w:val="9"/>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（2）甲方应按合同规定将工程款（质量保证金除外）汇入乙方在丙方开设的账户；</w:t>
      </w:r>
    </w:p>
    <w:p w14:paraId="2A144860">
      <w:pPr>
        <w:pStyle w:val="9"/>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（3）乙方应将流动资金及甲方所拨付资金专项用于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（项目名称）；</w:t>
      </w:r>
    </w:p>
    <w:p w14:paraId="18069ED9">
      <w:pPr>
        <w:pStyle w:val="9"/>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（4）丙方应为乙方提供便捷有效的银行业务服务，并接受甲方委托对乙方在丙方开设的基本结算户资金使用情况进行监督。</w:t>
      </w:r>
    </w:p>
    <w:p w14:paraId="7AE34202">
      <w:pPr>
        <w:pStyle w:val="9"/>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2．甲方的权责</w:t>
      </w:r>
    </w:p>
    <w:p w14:paraId="7604BB53">
      <w:pPr>
        <w:pStyle w:val="9"/>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（1）按照</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（项目名称）合同有关条款的时间和方式，向乙方支付工程款；</w:t>
      </w:r>
    </w:p>
    <w:p w14:paraId="686390E2">
      <w:pPr>
        <w:pStyle w:val="9"/>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（2）在发现乙方将本项目资金挪用、转移时，甲方有权中止工程支付，直至乙方改正为止；</w:t>
      </w:r>
    </w:p>
    <w:p w14:paraId="5DB81FFF">
      <w:pPr>
        <w:pStyle w:val="9"/>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（3）不定期审查丙方对乙方的资金使用监督情况，如丙方不能履行其责任，甲方有权随时终止本协议；</w:t>
      </w:r>
    </w:p>
    <w:p w14:paraId="38F35848">
      <w:pPr>
        <w:pStyle w:val="9"/>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（4）在乙方、丙方发生争议时，甲方应负责协调、解决。</w:t>
      </w:r>
    </w:p>
    <w:p w14:paraId="6767AD63">
      <w:pPr>
        <w:pStyle w:val="9"/>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3．乙方的权责</w:t>
      </w:r>
    </w:p>
    <w:p w14:paraId="5301FE76">
      <w:pPr>
        <w:pStyle w:val="9"/>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（1）项目经理部成立后，乙方应尽快在丙方开设资金结算户；</w:t>
      </w:r>
    </w:p>
    <w:p w14:paraId="7756EE25">
      <w:pPr>
        <w:pStyle w:val="9"/>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（2）确保本项目资金专款专用，不发生挪用、转移资金的现象；保证不通过权益转让、抵押、担保承担债务等任何其他方式使用基本结算户的资金；</w:t>
      </w:r>
    </w:p>
    <w:p w14:paraId="10E7054C">
      <w:pPr>
        <w:pStyle w:val="9"/>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（3）乙方所有伍万元及以上的支付需向甲方上报支付清单（支付清单格式附后）；</w:t>
      </w:r>
    </w:p>
    <w:p w14:paraId="4C1000E1">
      <w:pPr>
        <w:pStyle w:val="9"/>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（4）办理材料、设备等采购业务金额在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万元以上的，应出示购货合同、协议和发票；在办理总额超过</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万元以上的采购业务时，应将合同、协议和发票复印件送丙方备案；购买应急材料、设备时可先办理支付手续，但事后必须补备有关资料；</w:t>
      </w:r>
    </w:p>
    <w:p w14:paraId="6567858A">
      <w:pPr>
        <w:pStyle w:val="9"/>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（5）用银行转账支票办理支付款项时，必须将转账支票送交丙方，由丙方负责办理支票转付手续；</w:t>
      </w:r>
    </w:p>
    <w:p w14:paraId="7A313ED2">
      <w:pPr>
        <w:pStyle w:val="9"/>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（6）向上级单位缴纳管理费、机械设备及周转材料租赁摊销费等款项时，应附上级单位出具的转账通知等有关资料，以确保资金专款专用。</w:t>
      </w:r>
    </w:p>
    <w:p w14:paraId="5EEE5A5B">
      <w:pPr>
        <w:pStyle w:val="9"/>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4．丙方的权责</w:t>
      </w:r>
    </w:p>
    <w:p w14:paraId="792C7771">
      <w:pPr>
        <w:pStyle w:val="9"/>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（1）成立</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（项目名称）工程资金管理服务小组，明确业务流程，提高工作效率，杜绝“压票”现象；</w:t>
      </w:r>
    </w:p>
    <w:p w14:paraId="5FAA979B">
      <w:pPr>
        <w:pStyle w:val="9"/>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根据甲方签字同意的支付清单对监管资金进行支付；仅对甲方或乙方提供划款资料的进行形式审查，丙方无义务审核监管资金所涉交易文件本身的真实、合法及有效性，只要丙方系按本合同的规定约定进行划转，即不对甲方或乙方因此产生的任何损失承担任何形式的责任。</w:t>
      </w:r>
    </w:p>
    <w:p w14:paraId="0CD05393">
      <w:pPr>
        <w:pStyle w:val="9"/>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（3）定期将乙方前一个周期的支付情况，整理后书面报送甲方；乙方复印备案的材料一并送甲方。</w:t>
      </w:r>
    </w:p>
    <w:p w14:paraId="2F68BD85">
      <w:pPr>
        <w:pStyle w:val="9"/>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5．甲、乙、丙三方都应履行保密责任，不得将其他两方的业务情况透露给三方以外的其他单位或个人。</w:t>
      </w:r>
    </w:p>
    <w:p w14:paraId="72D2B9CF">
      <w:pPr>
        <w:pStyle w:val="9"/>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6．有效期自乙方在丙方开户起，至工程交工验收甲方向乙方颁发交工验收证书后结束。</w:t>
      </w:r>
    </w:p>
    <w:p w14:paraId="12DFBB99">
      <w:pPr>
        <w:pStyle w:val="9"/>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7．本协议未尽事宜，由甲方牵头，三方协商解决。</w:t>
      </w:r>
    </w:p>
    <w:p w14:paraId="459AD863">
      <w:pPr>
        <w:pStyle w:val="9"/>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8．本协议正本三份、副本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份。合同三方各执正本一份、副本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份，当正本与副本的内容不一致时，以正本为准。</w:t>
      </w:r>
    </w:p>
    <w:p w14:paraId="1F28D1CF">
      <w:pPr>
        <w:pStyle w:val="44"/>
        <w:spacing w:before="156" w:beforeLines="50" w:line="440" w:lineRule="exact"/>
        <w:rPr>
          <w:rFonts w:hint="eastAsia" w:ascii="宋体"/>
          <w:color w:val="auto"/>
          <w:highlight w:val="none"/>
        </w:rPr>
      </w:pPr>
      <w:r>
        <w:rPr>
          <w:rFonts w:hint="eastAsia" w:ascii="宋体"/>
          <w:color w:val="auto"/>
          <w:highlight w:val="none"/>
        </w:rPr>
        <w:tab/>
      </w:r>
      <w:r>
        <w:rPr>
          <w:rFonts w:hint="eastAsia" w:ascii="宋体"/>
          <w:color w:val="auto"/>
          <w:highlight w:val="none"/>
        </w:rPr>
        <w:tab/>
      </w:r>
      <w:r>
        <w:rPr>
          <w:rFonts w:hint="eastAsia" w:ascii="宋体"/>
          <w:color w:val="auto"/>
          <w:highlight w:val="none"/>
        </w:rPr>
        <w:tab/>
      </w:r>
      <w:r>
        <w:rPr>
          <w:rFonts w:hint="eastAsia" w:ascii="宋体"/>
          <w:color w:val="auto"/>
          <w:highlight w:val="none"/>
        </w:rPr>
        <w:tab/>
      </w:r>
      <w:r>
        <w:rPr>
          <w:rFonts w:hint="eastAsia" w:ascii="宋体"/>
          <w:color w:val="auto"/>
          <w:highlight w:val="none"/>
        </w:rPr>
        <w:tab/>
      </w:r>
      <w:r>
        <w:rPr>
          <w:rFonts w:hint="eastAsia" w:ascii="宋体"/>
          <w:color w:val="auto"/>
          <w:highlight w:val="none"/>
        </w:rPr>
        <w:t xml:space="preserve">            </w:t>
      </w:r>
      <w:r>
        <w:rPr>
          <w:rFonts w:hint="eastAsia" w:ascii="宋体" w:hAnsi="宋体"/>
          <w:color w:val="auto"/>
          <w:highlight w:val="none"/>
        </w:rPr>
        <w:t>发包人：</w:t>
      </w:r>
      <w:r>
        <w:rPr>
          <w:rFonts w:hint="eastAsia" w:ascii="宋体"/>
          <w:color w:val="auto"/>
          <w:highlight w:val="none"/>
          <w:u w:val="single"/>
        </w:rPr>
        <w:t xml:space="preserve">           </w:t>
      </w:r>
      <w:r>
        <w:rPr>
          <w:rFonts w:hint="eastAsia" w:ascii="宋体" w:eastAsia="宋体"/>
          <w:color w:val="auto"/>
          <w:highlight w:val="none"/>
          <w:u w:val="single"/>
          <w:lang w:val="en-US" w:eastAsia="zh-CN"/>
        </w:rPr>
        <w:t xml:space="preserve">          </w:t>
      </w:r>
      <w:r>
        <w:rPr>
          <w:rFonts w:hint="eastAsia" w:ascii="宋体"/>
          <w:color w:val="auto"/>
          <w:highlight w:val="none"/>
          <w:u w:val="single"/>
        </w:rPr>
        <w:t xml:space="preserve">       </w:t>
      </w:r>
      <w:r>
        <w:rPr>
          <w:rFonts w:hint="eastAsia" w:ascii="宋体"/>
          <w:color w:val="auto"/>
          <w:highlight w:val="none"/>
        </w:rPr>
        <w:t xml:space="preserve"> (</w:t>
      </w:r>
      <w:r>
        <w:rPr>
          <w:rFonts w:hint="eastAsia" w:ascii="宋体" w:hAnsi="宋体"/>
          <w:color w:val="auto"/>
          <w:highlight w:val="none"/>
        </w:rPr>
        <w:t>盖单位章</w:t>
      </w:r>
      <w:r>
        <w:rPr>
          <w:rFonts w:hint="eastAsia" w:ascii="宋体"/>
          <w:color w:val="auto"/>
          <w:highlight w:val="none"/>
        </w:rPr>
        <w:t>)</w:t>
      </w:r>
    </w:p>
    <w:p w14:paraId="6202411D">
      <w:pPr>
        <w:pStyle w:val="44"/>
        <w:spacing w:line="440" w:lineRule="exact"/>
        <w:ind w:firstLine="420" w:firstLineChars="200"/>
        <w:rPr>
          <w:rFonts w:hint="eastAsia" w:ascii="宋体"/>
          <w:color w:val="auto"/>
          <w:highlight w:val="none"/>
        </w:rPr>
      </w:pPr>
      <w:r>
        <w:rPr>
          <w:rFonts w:hint="eastAsia" w:ascii="宋体"/>
          <w:color w:val="auto"/>
          <w:highlight w:val="none"/>
        </w:rPr>
        <w:tab/>
      </w:r>
      <w:r>
        <w:rPr>
          <w:rFonts w:hint="eastAsia" w:ascii="宋体"/>
          <w:color w:val="auto"/>
          <w:highlight w:val="none"/>
        </w:rPr>
        <w:tab/>
      </w:r>
      <w:r>
        <w:rPr>
          <w:rFonts w:hint="eastAsia" w:ascii="宋体"/>
          <w:color w:val="auto"/>
          <w:highlight w:val="none"/>
        </w:rPr>
        <w:tab/>
      </w:r>
      <w:r>
        <w:rPr>
          <w:rFonts w:hint="eastAsia" w:ascii="宋体"/>
          <w:color w:val="auto"/>
          <w:highlight w:val="none"/>
        </w:rPr>
        <w:tab/>
      </w:r>
      <w:r>
        <w:rPr>
          <w:rFonts w:hint="eastAsia" w:ascii="宋体"/>
          <w:color w:val="auto"/>
          <w:highlight w:val="none"/>
        </w:rPr>
        <w:t xml:space="preserve">            </w:t>
      </w:r>
      <w:r>
        <w:rPr>
          <w:rFonts w:hint="eastAsia" w:ascii="宋体" w:hAnsi="宋体"/>
          <w:color w:val="auto"/>
          <w:highlight w:val="none"/>
        </w:rPr>
        <w:t>法定代表人或其委托代理人：</w:t>
      </w:r>
      <w:r>
        <w:rPr>
          <w:rFonts w:hint="eastAsia" w:ascii="宋体"/>
          <w:color w:val="auto"/>
          <w:highlight w:val="none"/>
          <w:u w:val="single"/>
        </w:rPr>
        <w:t xml:space="preserve">  </w:t>
      </w:r>
      <w:r>
        <w:rPr>
          <w:rFonts w:hint="eastAsia" w:ascii="宋体" w:eastAsia="宋体"/>
          <w:color w:val="auto"/>
          <w:highlight w:val="none"/>
          <w:u w:val="single"/>
          <w:lang w:val="en-US" w:eastAsia="zh-CN"/>
        </w:rPr>
        <w:t xml:space="preserve">          </w:t>
      </w:r>
      <w:r>
        <w:rPr>
          <w:rFonts w:hint="eastAsia" w:ascii="宋体"/>
          <w:color w:val="auto"/>
          <w:highlight w:val="none"/>
          <w:u w:val="single"/>
        </w:rPr>
        <w:t xml:space="preserve">   </w:t>
      </w:r>
      <w:r>
        <w:rPr>
          <w:rFonts w:hint="eastAsia" w:ascii="宋体"/>
          <w:color w:val="auto"/>
          <w:highlight w:val="none"/>
        </w:rPr>
        <w:t>(</w:t>
      </w:r>
      <w:r>
        <w:rPr>
          <w:rFonts w:hint="eastAsia" w:ascii="宋体" w:hAnsi="宋体"/>
          <w:color w:val="auto"/>
          <w:highlight w:val="none"/>
        </w:rPr>
        <w:t>签字</w:t>
      </w:r>
      <w:r>
        <w:rPr>
          <w:rFonts w:hint="eastAsia" w:ascii="宋体"/>
          <w:color w:val="auto"/>
          <w:highlight w:val="none"/>
        </w:rPr>
        <w:t>)</w:t>
      </w:r>
    </w:p>
    <w:p w14:paraId="66E440BE">
      <w:pPr>
        <w:pStyle w:val="44"/>
        <w:spacing w:line="440" w:lineRule="exact"/>
        <w:ind w:firstLine="6300" w:firstLineChars="3000"/>
        <w:rPr>
          <w:rFonts w:hint="eastAsia" w:ascii="宋体"/>
          <w:color w:val="auto"/>
          <w:highlight w:val="none"/>
        </w:rPr>
      </w:pPr>
      <w:r>
        <w:rPr>
          <w:rFonts w:hint="eastAsia" w:ascii="宋体"/>
          <w:color w:val="auto"/>
          <w:highlight w:val="none"/>
          <w:u w:val="single"/>
        </w:rPr>
        <w:t xml:space="preserve">     </w:t>
      </w:r>
      <w:r>
        <w:rPr>
          <w:rFonts w:hint="eastAsia" w:ascii="宋体" w:hAnsi="宋体"/>
          <w:color w:val="auto"/>
          <w:highlight w:val="none"/>
        </w:rPr>
        <w:t>年</w:t>
      </w:r>
      <w:r>
        <w:rPr>
          <w:rFonts w:hint="eastAsia" w:ascii="宋体"/>
          <w:color w:val="auto"/>
          <w:highlight w:val="none"/>
          <w:u w:val="single"/>
        </w:rPr>
        <w:t xml:space="preserve">  </w:t>
      </w:r>
      <w:r>
        <w:rPr>
          <w:rFonts w:hint="eastAsia" w:ascii="宋体" w:eastAsia="宋体"/>
          <w:color w:val="auto"/>
          <w:highlight w:val="none"/>
          <w:u w:val="single"/>
          <w:lang w:val="en-US" w:eastAsia="zh-CN"/>
        </w:rPr>
        <w:t xml:space="preserve"> </w:t>
      </w:r>
      <w:r>
        <w:rPr>
          <w:rFonts w:hint="eastAsia" w:ascii="宋体"/>
          <w:color w:val="auto"/>
          <w:highlight w:val="none"/>
          <w:u w:val="single"/>
        </w:rPr>
        <w:t xml:space="preserve"> </w:t>
      </w:r>
      <w:r>
        <w:rPr>
          <w:rFonts w:hint="eastAsia" w:ascii="宋体" w:hAnsi="宋体"/>
          <w:color w:val="auto"/>
          <w:highlight w:val="none"/>
        </w:rPr>
        <w:t>月</w:t>
      </w:r>
      <w:r>
        <w:rPr>
          <w:rFonts w:hint="eastAsia" w:ascii="宋体"/>
          <w:color w:val="auto"/>
          <w:highlight w:val="none"/>
          <w:u w:val="single"/>
        </w:rPr>
        <w:t xml:space="preserve">    </w:t>
      </w:r>
      <w:r>
        <w:rPr>
          <w:rFonts w:hint="eastAsia" w:ascii="宋体" w:hAnsi="宋体"/>
          <w:color w:val="auto"/>
          <w:highlight w:val="none"/>
        </w:rPr>
        <w:t>日</w:t>
      </w:r>
    </w:p>
    <w:p w14:paraId="2A772336">
      <w:pPr>
        <w:pStyle w:val="44"/>
        <w:spacing w:line="420" w:lineRule="exact"/>
        <w:rPr>
          <w:rFonts w:ascii="宋体"/>
          <w:color w:val="auto"/>
          <w:highlight w:val="none"/>
        </w:rPr>
      </w:pPr>
      <w:r>
        <w:rPr>
          <w:rFonts w:hint="eastAsia" w:ascii="宋体"/>
          <w:color w:val="auto"/>
          <w:highlight w:val="none"/>
        </w:rPr>
        <w:tab/>
      </w:r>
      <w:r>
        <w:rPr>
          <w:rFonts w:hint="eastAsia" w:ascii="宋体"/>
          <w:color w:val="auto"/>
          <w:highlight w:val="none"/>
        </w:rPr>
        <w:tab/>
      </w:r>
      <w:r>
        <w:rPr>
          <w:rFonts w:hint="eastAsia" w:ascii="宋体"/>
          <w:color w:val="auto"/>
          <w:highlight w:val="none"/>
        </w:rPr>
        <w:tab/>
      </w:r>
      <w:r>
        <w:rPr>
          <w:rFonts w:hint="eastAsia" w:ascii="宋体"/>
          <w:color w:val="auto"/>
          <w:highlight w:val="none"/>
        </w:rPr>
        <w:tab/>
      </w:r>
    </w:p>
    <w:p w14:paraId="772AAB95">
      <w:pPr>
        <w:pStyle w:val="44"/>
        <w:spacing w:line="420" w:lineRule="exact"/>
        <w:ind w:firstLine="3360" w:firstLineChars="1600"/>
        <w:rPr>
          <w:rFonts w:hint="eastAsia" w:ascii="宋体"/>
          <w:color w:val="auto"/>
          <w:highlight w:val="none"/>
        </w:rPr>
      </w:pPr>
      <w:r>
        <w:rPr>
          <w:rFonts w:hint="eastAsia" w:ascii="宋体" w:hAnsi="宋体"/>
          <w:color w:val="auto"/>
          <w:highlight w:val="none"/>
        </w:rPr>
        <w:t>承包人：</w:t>
      </w:r>
      <w:r>
        <w:rPr>
          <w:rFonts w:hint="eastAsia" w:ascii="宋体"/>
          <w:color w:val="auto"/>
          <w:highlight w:val="none"/>
          <w:u w:val="single"/>
        </w:rPr>
        <w:t xml:space="preserve">              </w:t>
      </w:r>
      <w:r>
        <w:rPr>
          <w:rFonts w:hint="eastAsia" w:ascii="宋体" w:eastAsia="宋体"/>
          <w:color w:val="auto"/>
          <w:highlight w:val="none"/>
          <w:u w:val="single"/>
          <w:lang w:val="en-US" w:eastAsia="zh-CN"/>
        </w:rPr>
        <w:t xml:space="preserve">          </w:t>
      </w:r>
      <w:r>
        <w:rPr>
          <w:rFonts w:hint="eastAsia" w:ascii="宋体"/>
          <w:color w:val="auto"/>
          <w:highlight w:val="none"/>
          <w:u w:val="single"/>
        </w:rPr>
        <w:t xml:space="preserve">    </w:t>
      </w:r>
      <w:r>
        <w:rPr>
          <w:rFonts w:hint="eastAsia" w:ascii="宋体"/>
          <w:color w:val="auto"/>
          <w:highlight w:val="none"/>
        </w:rPr>
        <w:t xml:space="preserve"> (</w:t>
      </w:r>
      <w:r>
        <w:rPr>
          <w:rFonts w:hint="eastAsia" w:ascii="宋体" w:hAnsi="宋体"/>
          <w:color w:val="auto"/>
          <w:highlight w:val="none"/>
        </w:rPr>
        <w:t>盖单位章</w:t>
      </w:r>
      <w:r>
        <w:rPr>
          <w:rFonts w:hint="eastAsia" w:ascii="宋体"/>
          <w:color w:val="auto"/>
          <w:highlight w:val="none"/>
        </w:rPr>
        <w:t>)</w:t>
      </w:r>
    </w:p>
    <w:p w14:paraId="76B2F650">
      <w:pPr>
        <w:pStyle w:val="44"/>
        <w:spacing w:line="420" w:lineRule="exact"/>
        <w:ind w:firstLine="3360" w:firstLineChars="1600"/>
        <w:rPr>
          <w:rFonts w:hint="eastAsia" w:ascii="宋体"/>
          <w:color w:val="auto"/>
          <w:highlight w:val="none"/>
        </w:rPr>
      </w:pPr>
      <w:r>
        <w:rPr>
          <w:rFonts w:hint="eastAsia" w:ascii="宋体" w:hAnsi="宋体"/>
          <w:color w:val="auto"/>
          <w:highlight w:val="none"/>
        </w:rPr>
        <w:t>法定代表人或其委托代理人：</w:t>
      </w:r>
      <w:r>
        <w:rPr>
          <w:rFonts w:hint="eastAsia" w:ascii="宋体"/>
          <w:color w:val="auto"/>
          <w:highlight w:val="none"/>
          <w:u w:val="single"/>
        </w:rPr>
        <w:t xml:space="preserve">  </w:t>
      </w:r>
      <w:r>
        <w:rPr>
          <w:rFonts w:hint="eastAsia" w:ascii="宋体" w:eastAsia="宋体"/>
          <w:color w:val="auto"/>
          <w:highlight w:val="none"/>
          <w:u w:val="single"/>
          <w:lang w:val="en-US" w:eastAsia="zh-CN"/>
        </w:rPr>
        <w:t xml:space="preserve">          </w:t>
      </w:r>
      <w:r>
        <w:rPr>
          <w:rFonts w:hint="eastAsia" w:ascii="宋体"/>
          <w:color w:val="auto"/>
          <w:highlight w:val="none"/>
          <w:u w:val="single"/>
        </w:rPr>
        <w:t xml:space="preserve">   </w:t>
      </w:r>
      <w:r>
        <w:rPr>
          <w:rFonts w:hint="eastAsia" w:ascii="宋体"/>
          <w:color w:val="auto"/>
          <w:highlight w:val="none"/>
        </w:rPr>
        <w:t>(</w:t>
      </w:r>
      <w:r>
        <w:rPr>
          <w:rFonts w:hint="eastAsia" w:ascii="宋体" w:hAnsi="宋体"/>
          <w:color w:val="auto"/>
          <w:highlight w:val="none"/>
        </w:rPr>
        <w:t>签字</w:t>
      </w:r>
      <w:r>
        <w:rPr>
          <w:rFonts w:hint="eastAsia" w:ascii="宋体"/>
          <w:color w:val="auto"/>
          <w:highlight w:val="none"/>
        </w:rPr>
        <w:t>)</w:t>
      </w:r>
    </w:p>
    <w:p w14:paraId="726B782D">
      <w:pPr>
        <w:pStyle w:val="44"/>
        <w:spacing w:line="420" w:lineRule="exact"/>
        <w:ind w:firstLine="6300" w:firstLineChars="3000"/>
        <w:rPr>
          <w:rFonts w:hint="eastAsia" w:ascii="宋体"/>
          <w:color w:val="auto"/>
          <w:highlight w:val="none"/>
        </w:rPr>
      </w:pPr>
      <w:r>
        <w:rPr>
          <w:rFonts w:hint="eastAsia" w:ascii="宋体"/>
          <w:color w:val="auto"/>
          <w:highlight w:val="none"/>
          <w:u w:val="single"/>
        </w:rPr>
        <w:t xml:space="preserve">     </w:t>
      </w:r>
      <w:r>
        <w:rPr>
          <w:rFonts w:hint="eastAsia" w:ascii="宋体" w:hAnsi="宋体"/>
          <w:color w:val="auto"/>
          <w:highlight w:val="none"/>
        </w:rPr>
        <w:t>年</w:t>
      </w:r>
      <w:r>
        <w:rPr>
          <w:rFonts w:hint="eastAsia" w:ascii="宋体"/>
          <w:color w:val="auto"/>
          <w:highlight w:val="none"/>
          <w:u w:val="single"/>
        </w:rPr>
        <w:t xml:space="preserve">  </w:t>
      </w:r>
      <w:r>
        <w:rPr>
          <w:rFonts w:hint="eastAsia" w:ascii="宋体" w:eastAsia="宋体"/>
          <w:color w:val="auto"/>
          <w:highlight w:val="none"/>
          <w:u w:val="single"/>
          <w:lang w:val="en-US" w:eastAsia="zh-CN"/>
        </w:rPr>
        <w:t xml:space="preserve"> </w:t>
      </w:r>
      <w:r>
        <w:rPr>
          <w:rFonts w:hint="eastAsia" w:ascii="宋体"/>
          <w:color w:val="auto"/>
          <w:highlight w:val="none"/>
          <w:u w:val="single"/>
        </w:rPr>
        <w:t xml:space="preserve"> </w:t>
      </w:r>
      <w:r>
        <w:rPr>
          <w:rFonts w:hint="eastAsia" w:ascii="宋体" w:hAnsi="宋体"/>
          <w:color w:val="auto"/>
          <w:highlight w:val="none"/>
        </w:rPr>
        <w:t>月</w:t>
      </w:r>
      <w:r>
        <w:rPr>
          <w:rFonts w:hint="eastAsia" w:ascii="宋体"/>
          <w:color w:val="auto"/>
          <w:highlight w:val="none"/>
          <w:u w:val="single"/>
        </w:rPr>
        <w:t xml:space="preserve">    </w:t>
      </w:r>
      <w:r>
        <w:rPr>
          <w:rFonts w:hint="eastAsia" w:ascii="宋体" w:hAnsi="宋体"/>
          <w:color w:val="auto"/>
          <w:highlight w:val="none"/>
        </w:rPr>
        <w:t>日</w:t>
      </w:r>
    </w:p>
    <w:p w14:paraId="6BF3B312">
      <w:pPr>
        <w:pStyle w:val="44"/>
        <w:spacing w:line="420" w:lineRule="exact"/>
        <w:rPr>
          <w:rFonts w:ascii="宋体" w:hAnsi="宋体"/>
          <w:color w:val="auto"/>
          <w:highlight w:val="none"/>
        </w:rPr>
      </w:pPr>
    </w:p>
    <w:p w14:paraId="5EA66288">
      <w:pPr>
        <w:pStyle w:val="44"/>
        <w:spacing w:line="420" w:lineRule="exact"/>
        <w:ind w:firstLine="3360" w:firstLineChars="1600"/>
        <w:rPr>
          <w:rFonts w:hint="eastAsia" w:ascii="宋体"/>
          <w:color w:val="auto"/>
          <w:highlight w:val="none"/>
        </w:rPr>
      </w:pPr>
      <w:r>
        <w:rPr>
          <w:rFonts w:hint="eastAsia" w:ascii="宋体" w:hAnsi="宋体"/>
          <w:color w:val="auto"/>
          <w:highlight w:val="none"/>
        </w:rPr>
        <w:t>经办银行：</w:t>
      </w:r>
      <w:r>
        <w:rPr>
          <w:rFonts w:hint="eastAsia" w:ascii="宋体"/>
          <w:color w:val="auto"/>
          <w:highlight w:val="none"/>
          <w:u w:val="single"/>
        </w:rPr>
        <w:t xml:space="preserve">             </w:t>
      </w:r>
      <w:r>
        <w:rPr>
          <w:rFonts w:hint="eastAsia" w:ascii="宋体" w:eastAsia="宋体"/>
          <w:color w:val="auto"/>
          <w:highlight w:val="none"/>
          <w:u w:val="single"/>
          <w:lang w:val="en-US" w:eastAsia="zh-CN"/>
        </w:rPr>
        <w:t xml:space="preserve">          </w:t>
      </w:r>
      <w:r>
        <w:rPr>
          <w:rFonts w:hint="eastAsia" w:ascii="宋体"/>
          <w:color w:val="auto"/>
          <w:highlight w:val="none"/>
          <w:u w:val="single"/>
        </w:rPr>
        <w:t xml:space="preserve">   </w:t>
      </w:r>
      <w:r>
        <w:rPr>
          <w:rFonts w:hint="eastAsia" w:ascii="宋体"/>
          <w:color w:val="auto"/>
          <w:highlight w:val="none"/>
        </w:rPr>
        <w:t xml:space="preserve"> (</w:t>
      </w:r>
      <w:r>
        <w:rPr>
          <w:rFonts w:hint="eastAsia" w:ascii="宋体" w:hAnsi="宋体"/>
          <w:color w:val="auto"/>
          <w:highlight w:val="none"/>
        </w:rPr>
        <w:t>盖单位章</w:t>
      </w:r>
      <w:r>
        <w:rPr>
          <w:rFonts w:hint="eastAsia" w:ascii="宋体"/>
          <w:color w:val="auto"/>
          <w:highlight w:val="none"/>
        </w:rPr>
        <w:t>)</w:t>
      </w:r>
    </w:p>
    <w:p w14:paraId="3E54AFDB">
      <w:pPr>
        <w:pStyle w:val="44"/>
        <w:spacing w:line="420" w:lineRule="exact"/>
        <w:ind w:firstLine="420" w:firstLineChars="200"/>
        <w:rPr>
          <w:rFonts w:hint="eastAsia" w:ascii="宋体"/>
          <w:color w:val="auto"/>
          <w:highlight w:val="none"/>
        </w:rPr>
      </w:pPr>
      <w:r>
        <w:rPr>
          <w:rFonts w:hint="eastAsia" w:ascii="宋体"/>
          <w:color w:val="auto"/>
          <w:highlight w:val="none"/>
        </w:rPr>
        <w:tab/>
      </w:r>
      <w:r>
        <w:rPr>
          <w:rFonts w:hint="eastAsia" w:ascii="宋体"/>
          <w:color w:val="auto"/>
          <w:highlight w:val="none"/>
        </w:rPr>
        <w:tab/>
      </w:r>
      <w:r>
        <w:rPr>
          <w:rFonts w:hint="eastAsia" w:ascii="宋体"/>
          <w:color w:val="auto"/>
          <w:highlight w:val="none"/>
        </w:rPr>
        <w:tab/>
      </w:r>
      <w:r>
        <w:rPr>
          <w:rFonts w:hint="eastAsia" w:ascii="宋体"/>
          <w:color w:val="auto"/>
          <w:highlight w:val="none"/>
        </w:rPr>
        <w:tab/>
      </w:r>
      <w:r>
        <w:rPr>
          <w:rFonts w:hint="eastAsia" w:ascii="宋体"/>
          <w:color w:val="auto"/>
          <w:highlight w:val="none"/>
        </w:rPr>
        <w:t xml:space="preserve">            </w:t>
      </w:r>
      <w:r>
        <w:rPr>
          <w:rFonts w:hint="eastAsia" w:ascii="宋体" w:hAnsi="宋体"/>
          <w:color w:val="auto"/>
          <w:highlight w:val="none"/>
        </w:rPr>
        <w:t>法定代表人或其委托代理人：</w:t>
      </w:r>
      <w:r>
        <w:rPr>
          <w:rFonts w:hint="eastAsia" w:ascii="宋体"/>
          <w:color w:val="auto"/>
          <w:highlight w:val="none"/>
          <w:u w:val="single"/>
        </w:rPr>
        <w:t xml:space="preserve">    </w:t>
      </w:r>
      <w:r>
        <w:rPr>
          <w:rFonts w:hint="eastAsia" w:ascii="宋体" w:eastAsia="宋体"/>
          <w:color w:val="auto"/>
          <w:highlight w:val="none"/>
          <w:u w:val="single"/>
          <w:lang w:val="en-US" w:eastAsia="zh-CN"/>
        </w:rPr>
        <w:t xml:space="preserve">          </w:t>
      </w:r>
      <w:r>
        <w:rPr>
          <w:rFonts w:hint="eastAsia" w:ascii="宋体"/>
          <w:color w:val="auto"/>
          <w:highlight w:val="none"/>
          <w:u w:val="single"/>
        </w:rPr>
        <w:t xml:space="preserve"> </w:t>
      </w:r>
      <w:r>
        <w:rPr>
          <w:rFonts w:hint="eastAsia" w:ascii="宋体"/>
          <w:color w:val="auto"/>
          <w:highlight w:val="none"/>
        </w:rPr>
        <w:t>(</w:t>
      </w:r>
      <w:r>
        <w:rPr>
          <w:rFonts w:hint="eastAsia" w:ascii="宋体" w:hAnsi="宋体"/>
          <w:color w:val="auto"/>
          <w:highlight w:val="none"/>
        </w:rPr>
        <w:t>签字</w:t>
      </w:r>
      <w:r>
        <w:rPr>
          <w:rFonts w:hint="eastAsia" w:ascii="宋体"/>
          <w:color w:val="auto"/>
          <w:highlight w:val="none"/>
        </w:rPr>
        <w:t>)</w:t>
      </w:r>
    </w:p>
    <w:p w14:paraId="41D100EB">
      <w:pPr>
        <w:pStyle w:val="44"/>
        <w:spacing w:line="420" w:lineRule="exact"/>
        <w:ind w:firstLine="6300" w:firstLineChars="3000"/>
        <w:rPr>
          <w:rFonts w:hint="eastAsia"/>
          <w:color w:val="auto"/>
          <w:sz w:val="24"/>
          <w:highlight w:val="none"/>
        </w:rPr>
      </w:pPr>
      <w:r>
        <w:rPr>
          <w:rFonts w:hint="eastAsia" w:ascii="宋体"/>
          <w:color w:val="auto"/>
          <w:highlight w:val="none"/>
          <w:u w:val="single"/>
        </w:rPr>
        <w:t xml:space="preserve">     </w:t>
      </w:r>
      <w:r>
        <w:rPr>
          <w:rFonts w:hint="eastAsia" w:ascii="宋体" w:hAnsi="宋体"/>
          <w:color w:val="auto"/>
          <w:highlight w:val="none"/>
        </w:rPr>
        <w:t>年</w:t>
      </w:r>
      <w:r>
        <w:rPr>
          <w:rFonts w:hint="eastAsia" w:ascii="宋体"/>
          <w:color w:val="auto"/>
          <w:highlight w:val="none"/>
          <w:u w:val="single"/>
        </w:rPr>
        <w:t xml:space="preserve">  </w:t>
      </w:r>
      <w:r>
        <w:rPr>
          <w:rFonts w:hint="eastAsia" w:ascii="宋体" w:eastAsia="宋体"/>
          <w:color w:val="auto"/>
          <w:highlight w:val="none"/>
          <w:u w:val="single"/>
          <w:lang w:val="en-US" w:eastAsia="zh-CN"/>
        </w:rPr>
        <w:t xml:space="preserve"> </w:t>
      </w:r>
      <w:r>
        <w:rPr>
          <w:rFonts w:hint="eastAsia" w:ascii="宋体"/>
          <w:color w:val="auto"/>
          <w:highlight w:val="none"/>
          <w:u w:val="single"/>
        </w:rPr>
        <w:t xml:space="preserve"> </w:t>
      </w:r>
      <w:r>
        <w:rPr>
          <w:rFonts w:hint="eastAsia" w:ascii="宋体" w:hAnsi="宋体"/>
          <w:color w:val="auto"/>
          <w:highlight w:val="none"/>
        </w:rPr>
        <w:t>月</w:t>
      </w:r>
      <w:r>
        <w:rPr>
          <w:rFonts w:hint="eastAsia" w:ascii="宋体"/>
          <w:color w:val="auto"/>
          <w:highlight w:val="none"/>
          <w:u w:val="single"/>
        </w:rPr>
        <w:t xml:space="preserve">    </w:t>
      </w:r>
      <w:r>
        <w:rPr>
          <w:rFonts w:hint="eastAsia" w:ascii="宋体" w:hAnsi="宋体"/>
          <w:color w:val="auto"/>
          <w:highlight w:val="none"/>
        </w:rPr>
        <w:t>日</w:t>
      </w:r>
    </w:p>
    <w:p w14:paraId="2EE4EB98">
      <w:pPr>
        <w:pStyle w:val="44"/>
        <w:keepNext w:val="0"/>
        <w:keepLines w:val="0"/>
        <w:pageBreakBefore w:val="0"/>
        <w:widowControl w:val="0"/>
        <w:kinsoku/>
        <w:wordWrap/>
        <w:overflowPunct/>
        <w:topLinePunct w:val="0"/>
        <w:autoSpaceDE/>
        <w:autoSpaceDN/>
        <w:bidi w:val="0"/>
        <w:adjustRightInd/>
        <w:snapToGrid/>
        <w:spacing w:line="420" w:lineRule="exact"/>
        <w:textAlignment w:val="auto"/>
        <w:outlineLvl w:val="3"/>
        <w:rPr>
          <w:rFonts w:hint="eastAsia" w:ascii="黑体" w:eastAsia="黑体"/>
          <w:color w:val="auto"/>
          <w:sz w:val="28"/>
          <w:szCs w:val="28"/>
          <w:highlight w:val="none"/>
        </w:rPr>
      </w:pPr>
      <w:r>
        <w:rPr>
          <w:rFonts w:hint="eastAsia" w:ascii="黑体" w:hAnsi="黑体" w:eastAsia="黑体"/>
          <w:color w:val="auto"/>
          <w:sz w:val="28"/>
          <w:szCs w:val="28"/>
          <w:highlight w:val="none"/>
        </w:rPr>
        <w:br w:type="page"/>
      </w:r>
      <w:r>
        <w:rPr>
          <w:rFonts w:hint="eastAsia" w:ascii="黑体" w:hAnsi="黑体" w:eastAsia="黑体"/>
          <w:color w:val="auto"/>
          <w:sz w:val="28"/>
          <w:szCs w:val="28"/>
          <w:highlight w:val="none"/>
        </w:rPr>
        <w:t>附件九</w:t>
      </w:r>
      <w:r>
        <w:rPr>
          <w:rFonts w:hint="eastAsia" w:ascii="黑体" w:eastAsia="黑体"/>
          <w:color w:val="auto"/>
          <w:sz w:val="28"/>
          <w:szCs w:val="28"/>
          <w:highlight w:val="none"/>
        </w:rPr>
        <w:t xml:space="preserve">  </w:t>
      </w:r>
      <w:r>
        <w:rPr>
          <w:rFonts w:hint="eastAsia" w:ascii="黑体" w:eastAsia="黑体"/>
          <w:color w:val="auto"/>
          <w:sz w:val="28"/>
          <w:szCs w:val="28"/>
          <w:highlight w:val="none"/>
          <w:lang w:val="en-US" w:eastAsia="zh-CN"/>
        </w:rPr>
        <w:t>养护</w:t>
      </w:r>
      <w:r>
        <w:rPr>
          <w:rFonts w:hint="eastAsia" w:ascii="黑体" w:hAnsi="黑体" w:eastAsia="黑体"/>
          <w:color w:val="auto"/>
          <w:sz w:val="28"/>
          <w:szCs w:val="28"/>
          <w:highlight w:val="none"/>
        </w:rPr>
        <w:t>工程质量责任合同</w:t>
      </w:r>
    </w:p>
    <w:p w14:paraId="32B1397C">
      <w:pPr>
        <w:pStyle w:val="44"/>
        <w:spacing w:line="420" w:lineRule="exact"/>
        <w:jc w:val="center"/>
        <w:rPr>
          <w:rFonts w:hint="eastAsia" w:ascii="黑体" w:hAnsi="黑体" w:eastAsia="黑体"/>
          <w:color w:val="auto"/>
          <w:sz w:val="28"/>
          <w:szCs w:val="28"/>
          <w:highlight w:val="none"/>
        </w:rPr>
      </w:pPr>
    </w:p>
    <w:p w14:paraId="2592FD86">
      <w:pPr>
        <w:pStyle w:val="44"/>
        <w:spacing w:line="420" w:lineRule="exact"/>
        <w:jc w:val="center"/>
        <w:rPr>
          <w:rFonts w:hint="eastAsia" w:ascii="黑体" w:eastAsia="黑体"/>
          <w:color w:val="auto"/>
          <w:sz w:val="28"/>
          <w:szCs w:val="28"/>
          <w:highlight w:val="none"/>
        </w:rPr>
      </w:pPr>
      <w:r>
        <w:rPr>
          <w:rFonts w:hint="eastAsia" w:ascii="黑体" w:hAnsi="黑体" w:eastAsia="黑体"/>
          <w:color w:val="auto"/>
          <w:sz w:val="28"/>
          <w:szCs w:val="28"/>
          <w:highlight w:val="none"/>
          <w:lang w:val="en-US" w:eastAsia="zh-CN"/>
        </w:rPr>
        <w:t>养护</w:t>
      </w:r>
      <w:r>
        <w:rPr>
          <w:rFonts w:hint="eastAsia" w:ascii="黑体" w:hAnsi="黑体" w:eastAsia="黑体"/>
          <w:color w:val="auto"/>
          <w:sz w:val="28"/>
          <w:szCs w:val="28"/>
          <w:highlight w:val="none"/>
        </w:rPr>
        <w:t>工程质量责任合同</w:t>
      </w:r>
    </w:p>
    <w:p w14:paraId="458B1F8D">
      <w:pPr>
        <w:pStyle w:val="44"/>
        <w:spacing w:line="240" w:lineRule="exact"/>
        <w:jc w:val="center"/>
        <w:rPr>
          <w:rFonts w:hint="eastAsia" w:ascii="黑体" w:eastAsia="黑体"/>
          <w:color w:val="auto"/>
          <w:sz w:val="28"/>
          <w:szCs w:val="28"/>
          <w:highlight w:val="none"/>
        </w:rPr>
      </w:pPr>
      <w:r>
        <w:rPr>
          <w:rFonts w:hint="eastAsia" w:ascii="黑体" w:eastAsia="黑体"/>
          <w:color w:val="auto"/>
          <w:sz w:val="28"/>
          <w:szCs w:val="28"/>
          <w:highlight w:val="none"/>
        </w:rPr>
        <w:t xml:space="preserve"> </w:t>
      </w:r>
    </w:p>
    <w:p w14:paraId="74FFCD95">
      <w:pPr>
        <w:pStyle w:val="44"/>
        <w:keepNext w:val="0"/>
        <w:keepLines w:val="0"/>
        <w:pageBreakBefore w:val="0"/>
        <w:widowControl w:val="0"/>
        <w:kinsoku/>
        <w:wordWrap/>
        <w:overflowPunct/>
        <w:topLinePunct w:val="0"/>
        <w:autoSpaceDE/>
        <w:autoSpaceDN/>
        <w:bidi w:val="0"/>
        <w:adjustRightInd/>
        <w:snapToGrid/>
        <w:spacing w:line="276" w:lineRule="auto"/>
        <w:ind w:firstLine="482"/>
        <w:textAlignment w:val="auto"/>
        <w:rPr>
          <w:rFonts w:ascii="宋体" w:hAnsi="宋体"/>
          <w:color w:val="auto"/>
          <w:highlight w:val="none"/>
        </w:rPr>
      </w:pPr>
      <w:r>
        <w:rPr>
          <w:rFonts w:hint="eastAsia" w:ascii="宋体" w:hAnsi="宋体"/>
          <w:color w:val="auto"/>
          <w:highlight w:val="none"/>
        </w:rPr>
        <w:t xml:space="preserve">根据国务院《建设工程质量管理条例》，为保证在设计使用年限内建设工程质量， </w:t>
      </w:r>
      <w:r>
        <w:rPr>
          <w:rFonts w:hint="eastAsia" w:ascii="宋体" w:hAnsi="宋体"/>
          <w:color w:val="auto"/>
          <w:highlight w:val="none"/>
          <w:u w:val="single"/>
        </w:rPr>
        <w:t xml:space="preserve"> （项目名称）  </w:t>
      </w:r>
      <w:r>
        <w:rPr>
          <w:rFonts w:hint="eastAsia" w:ascii="宋体" w:hAnsi="宋体"/>
          <w:color w:val="auto"/>
          <w:highlight w:val="none"/>
        </w:rPr>
        <w:t>的发包人</w:t>
      </w:r>
      <w:r>
        <w:rPr>
          <w:rFonts w:hint="eastAsia" w:ascii="宋体" w:hAnsi="宋体"/>
          <w:color w:val="auto"/>
          <w:highlight w:val="none"/>
          <w:u w:val="single"/>
        </w:rPr>
        <w:t xml:space="preserve">           </w:t>
      </w:r>
      <w:r>
        <w:rPr>
          <w:rFonts w:hint="eastAsia" w:ascii="宋体" w:hAnsi="宋体"/>
          <w:color w:val="auto"/>
          <w:highlight w:val="none"/>
        </w:rPr>
        <w:t>（以下称甲方）与承包人</w:t>
      </w:r>
      <w:r>
        <w:rPr>
          <w:rFonts w:hint="eastAsia" w:ascii="宋体" w:hAnsi="宋体"/>
          <w:color w:val="auto"/>
          <w:highlight w:val="none"/>
          <w:u w:val="single"/>
        </w:rPr>
        <w:t xml:space="preserve">          </w:t>
      </w:r>
      <w:r>
        <w:rPr>
          <w:rFonts w:hint="eastAsia" w:ascii="宋体" w:hAnsi="宋体"/>
          <w:color w:val="auto"/>
          <w:highlight w:val="none"/>
        </w:rPr>
        <w:t>（以下称乙方），特订立如下质量责任合同。</w:t>
      </w:r>
    </w:p>
    <w:p w14:paraId="30758388">
      <w:pPr>
        <w:pStyle w:val="44"/>
        <w:keepNext w:val="0"/>
        <w:keepLines w:val="0"/>
        <w:pageBreakBefore w:val="0"/>
        <w:widowControl w:val="0"/>
        <w:kinsoku/>
        <w:wordWrap/>
        <w:overflowPunct/>
        <w:topLinePunct w:val="0"/>
        <w:autoSpaceDE/>
        <w:autoSpaceDN/>
        <w:bidi w:val="0"/>
        <w:adjustRightInd/>
        <w:snapToGrid/>
        <w:spacing w:line="276" w:lineRule="auto"/>
        <w:ind w:firstLine="482"/>
        <w:textAlignment w:val="auto"/>
        <w:rPr>
          <w:rFonts w:hint="eastAsia" w:ascii="宋体" w:hAnsi="宋体"/>
          <w:color w:val="auto"/>
          <w:highlight w:val="none"/>
        </w:rPr>
      </w:pPr>
      <w:r>
        <w:rPr>
          <w:rFonts w:hint="eastAsia" w:ascii="宋体" w:hAnsi="宋体"/>
          <w:color w:val="auto"/>
          <w:highlight w:val="none"/>
        </w:rPr>
        <w:t>第一条 本</w:t>
      </w:r>
      <w:r>
        <w:rPr>
          <w:rFonts w:hint="eastAsia" w:ascii="宋体" w:hAnsi="宋体" w:eastAsia="宋体"/>
          <w:color w:val="auto"/>
          <w:highlight w:val="none"/>
          <w:lang w:val="en-US" w:eastAsia="zh-CN"/>
        </w:rPr>
        <w:t>养护</w:t>
      </w:r>
      <w:r>
        <w:rPr>
          <w:rFonts w:hint="eastAsia" w:ascii="宋体" w:hAnsi="宋体"/>
          <w:color w:val="auto"/>
          <w:highlight w:val="none"/>
        </w:rPr>
        <w:t>工程项目的质量目标为标段工程交</w:t>
      </w:r>
      <w:r>
        <w:rPr>
          <w:rFonts w:hint="eastAsia" w:ascii="宋体" w:hAnsi="宋体" w:eastAsia="宋体"/>
          <w:color w:val="auto"/>
          <w:highlight w:val="none"/>
          <w:lang w:eastAsia="zh-CN"/>
        </w:rPr>
        <w:t>（</w:t>
      </w:r>
      <w:r>
        <w:rPr>
          <w:rFonts w:hint="eastAsia" w:ascii="宋体" w:hAnsi="宋体" w:eastAsia="宋体"/>
          <w:color w:val="auto"/>
          <w:highlight w:val="none"/>
          <w:lang w:val="en-US" w:eastAsia="zh-CN"/>
        </w:rPr>
        <w:t>竣</w:t>
      </w:r>
      <w:r>
        <w:rPr>
          <w:rFonts w:hint="eastAsia" w:ascii="宋体" w:hAnsi="宋体" w:eastAsia="宋体"/>
          <w:color w:val="auto"/>
          <w:highlight w:val="none"/>
          <w:lang w:eastAsia="zh-CN"/>
        </w:rPr>
        <w:t>）</w:t>
      </w:r>
      <w:r>
        <w:rPr>
          <w:rFonts w:hint="eastAsia" w:ascii="宋体" w:hAnsi="宋体"/>
          <w:color w:val="auto"/>
          <w:highlight w:val="none"/>
        </w:rPr>
        <w:t>工验收的质量评定：</w:t>
      </w:r>
      <w:r>
        <w:rPr>
          <w:rFonts w:hint="eastAsia" w:ascii="宋体" w:hAnsi="宋体"/>
          <w:color w:val="auto"/>
          <w:highlight w:val="none"/>
          <w:u w:val="single"/>
        </w:rPr>
        <w:t xml:space="preserve">           </w:t>
      </w:r>
      <w:r>
        <w:rPr>
          <w:rFonts w:hint="eastAsia" w:ascii="宋体" w:hAnsi="宋体"/>
          <w:color w:val="auto"/>
          <w:highlight w:val="none"/>
        </w:rPr>
        <w:t>。施工质量责任人</w:t>
      </w:r>
      <w:r>
        <w:rPr>
          <w:rFonts w:hint="eastAsia" w:ascii="宋体" w:hAnsi="宋体"/>
          <w:color w:val="auto"/>
          <w:highlight w:val="none"/>
          <w:u w:val="single"/>
        </w:rPr>
        <w:t xml:space="preserve">    </w:t>
      </w:r>
      <w:r>
        <w:rPr>
          <w:rFonts w:hint="eastAsia" w:ascii="宋体" w:hAnsi="宋体" w:eastAsia="宋体"/>
          <w:color w:val="auto"/>
          <w:highlight w:val="none"/>
          <w:u w:val="single"/>
          <w:lang w:val="en-US" w:eastAsia="zh-CN"/>
        </w:rPr>
        <w:t xml:space="preserve"> </w:t>
      </w:r>
      <w:r>
        <w:rPr>
          <w:rFonts w:hint="eastAsia" w:ascii="宋体" w:hAnsi="宋体"/>
          <w:color w:val="auto"/>
          <w:highlight w:val="none"/>
          <w:u w:val="single"/>
        </w:rPr>
        <w:t xml:space="preserve">     </w:t>
      </w:r>
      <w:r>
        <w:rPr>
          <w:rFonts w:hint="eastAsia" w:ascii="宋体" w:hAnsi="宋体"/>
          <w:color w:val="auto"/>
          <w:highlight w:val="none"/>
        </w:rPr>
        <w:t>。</w:t>
      </w:r>
    </w:p>
    <w:p w14:paraId="69B696F7">
      <w:pPr>
        <w:pStyle w:val="44"/>
        <w:keepNext w:val="0"/>
        <w:keepLines w:val="0"/>
        <w:pageBreakBefore w:val="0"/>
        <w:widowControl w:val="0"/>
        <w:kinsoku/>
        <w:wordWrap/>
        <w:overflowPunct/>
        <w:topLinePunct w:val="0"/>
        <w:autoSpaceDE/>
        <w:autoSpaceDN/>
        <w:bidi w:val="0"/>
        <w:adjustRightInd/>
        <w:snapToGrid/>
        <w:spacing w:line="276" w:lineRule="auto"/>
        <w:ind w:firstLine="482"/>
        <w:textAlignment w:val="auto"/>
        <w:rPr>
          <w:rFonts w:hint="eastAsia" w:ascii="宋体" w:hAnsi="宋体"/>
          <w:color w:val="auto"/>
          <w:highlight w:val="none"/>
        </w:rPr>
      </w:pPr>
      <w:r>
        <w:rPr>
          <w:rFonts w:hint="eastAsia" w:ascii="宋体" w:hAnsi="宋体"/>
          <w:color w:val="auto"/>
          <w:highlight w:val="none"/>
        </w:rPr>
        <w:t>第二条  甲乙双方的权利与义务</w:t>
      </w:r>
    </w:p>
    <w:p w14:paraId="5B2336F4">
      <w:pPr>
        <w:pStyle w:val="44"/>
        <w:keepNext w:val="0"/>
        <w:keepLines w:val="0"/>
        <w:pageBreakBefore w:val="0"/>
        <w:widowControl w:val="0"/>
        <w:kinsoku/>
        <w:wordWrap/>
        <w:overflowPunct/>
        <w:topLinePunct w:val="0"/>
        <w:autoSpaceDE/>
        <w:autoSpaceDN/>
        <w:bidi w:val="0"/>
        <w:adjustRightInd/>
        <w:snapToGrid/>
        <w:spacing w:line="276" w:lineRule="auto"/>
        <w:ind w:firstLine="482"/>
        <w:textAlignment w:val="auto"/>
        <w:rPr>
          <w:rFonts w:hint="eastAsia" w:ascii="宋体" w:hAnsi="宋体"/>
          <w:color w:val="auto"/>
          <w:highlight w:val="none"/>
        </w:rPr>
      </w:pPr>
      <w:r>
        <w:rPr>
          <w:rFonts w:hint="eastAsia" w:ascii="宋体" w:hAnsi="宋体"/>
          <w:color w:val="auto"/>
          <w:highlight w:val="none"/>
        </w:rPr>
        <w:t>（一）严格遵守国家有关法律法规及交通运输部、浙江省交通运输厅的有关规定。</w:t>
      </w:r>
    </w:p>
    <w:p w14:paraId="672896AC">
      <w:pPr>
        <w:pStyle w:val="44"/>
        <w:keepNext w:val="0"/>
        <w:keepLines w:val="0"/>
        <w:pageBreakBefore w:val="0"/>
        <w:widowControl w:val="0"/>
        <w:kinsoku/>
        <w:wordWrap/>
        <w:overflowPunct/>
        <w:topLinePunct w:val="0"/>
        <w:autoSpaceDE/>
        <w:autoSpaceDN/>
        <w:bidi w:val="0"/>
        <w:adjustRightInd/>
        <w:snapToGrid/>
        <w:spacing w:line="276" w:lineRule="auto"/>
        <w:ind w:firstLine="482"/>
        <w:textAlignment w:val="auto"/>
        <w:rPr>
          <w:rFonts w:hint="eastAsia" w:ascii="宋体" w:hAnsi="宋体"/>
          <w:color w:val="auto"/>
          <w:highlight w:val="none"/>
        </w:rPr>
      </w:pPr>
      <w:r>
        <w:rPr>
          <w:rFonts w:hint="eastAsia" w:ascii="宋体" w:hAnsi="宋体"/>
          <w:color w:val="auto"/>
          <w:highlight w:val="none"/>
        </w:rPr>
        <w:t>（二）严格执行</w:t>
      </w:r>
      <w:r>
        <w:rPr>
          <w:rFonts w:hint="eastAsia" w:ascii="宋体" w:hAnsi="宋体"/>
          <w:color w:val="auto"/>
          <w:highlight w:val="none"/>
          <w:u w:val="single"/>
        </w:rPr>
        <w:t xml:space="preserve">  （项目名称）  </w:t>
      </w:r>
      <w:r>
        <w:rPr>
          <w:rFonts w:hint="eastAsia" w:ascii="宋体" w:hAnsi="宋体"/>
          <w:color w:val="auto"/>
          <w:highlight w:val="none"/>
        </w:rPr>
        <w:t>第</w:t>
      </w:r>
      <w:r>
        <w:rPr>
          <w:rFonts w:hint="eastAsia" w:ascii="宋体" w:hAnsi="宋体"/>
          <w:color w:val="auto"/>
          <w:highlight w:val="none"/>
          <w:u w:val="single"/>
        </w:rPr>
        <w:t xml:space="preserve">    </w:t>
      </w:r>
      <w:r>
        <w:rPr>
          <w:rFonts w:hint="eastAsia" w:ascii="宋体" w:hAnsi="宋体"/>
          <w:color w:val="auto"/>
          <w:highlight w:val="none"/>
        </w:rPr>
        <w:t>标段</w:t>
      </w:r>
      <w:r>
        <w:rPr>
          <w:rFonts w:hint="eastAsia" w:ascii="宋体" w:hAnsi="宋体" w:eastAsia="宋体"/>
          <w:color w:val="auto"/>
          <w:highlight w:val="none"/>
          <w:lang w:val="en-US" w:eastAsia="zh-CN"/>
        </w:rPr>
        <w:t>养护工程</w:t>
      </w:r>
      <w:r>
        <w:rPr>
          <w:rFonts w:hint="eastAsia" w:ascii="宋体" w:hAnsi="宋体"/>
          <w:color w:val="auto"/>
          <w:highlight w:val="none"/>
        </w:rPr>
        <w:t>合同文件，自觉按合同办事。</w:t>
      </w:r>
    </w:p>
    <w:p w14:paraId="54C7B5C3">
      <w:pPr>
        <w:pStyle w:val="44"/>
        <w:keepNext w:val="0"/>
        <w:keepLines w:val="0"/>
        <w:pageBreakBefore w:val="0"/>
        <w:widowControl w:val="0"/>
        <w:kinsoku/>
        <w:wordWrap/>
        <w:overflowPunct/>
        <w:topLinePunct w:val="0"/>
        <w:autoSpaceDE/>
        <w:autoSpaceDN/>
        <w:bidi w:val="0"/>
        <w:adjustRightInd/>
        <w:snapToGrid/>
        <w:spacing w:line="276" w:lineRule="auto"/>
        <w:ind w:firstLine="482"/>
        <w:textAlignment w:val="auto"/>
        <w:rPr>
          <w:rFonts w:hint="eastAsia" w:ascii="宋体" w:hAnsi="宋体"/>
          <w:color w:val="auto"/>
          <w:highlight w:val="none"/>
        </w:rPr>
      </w:pPr>
      <w:r>
        <w:rPr>
          <w:rFonts w:hint="eastAsia" w:ascii="宋体" w:hAnsi="宋体"/>
          <w:color w:val="auto"/>
          <w:highlight w:val="none"/>
        </w:rPr>
        <w:t>（三）双方的</w:t>
      </w:r>
      <w:r>
        <w:rPr>
          <w:rFonts w:hint="eastAsia" w:ascii="宋体" w:hAnsi="宋体" w:eastAsia="宋体"/>
          <w:color w:val="auto"/>
          <w:highlight w:val="none"/>
          <w:lang w:val="en-US" w:eastAsia="zh-CN"/>
        </w:rPr>
        <w:t>养护</w:t>
      </w:r>
      <w:r>
        <w:rPr>
          <w:rFonts w:hint="eastAsia" w:ascii="宋体" w:hAnsi="宋体"/>
          <w:color w:val="auto"/>
          <w:highlight w:val="none"/>
        </w:rPr>
        <w:t>施工业务活动必须坚持科学、公正、诚信、平等的原则，不得损害国家、集体的利益，不得违反工程建设管理规章制度。</w:t>
      </w:r>
    </w:p>
    <w:p w14:paraId="53B7DEEA">
      <w:pPr>
        <w:pStyle w:val="44"/>
        <w:keepNext w:val="0"/>
        <w:keepLines w:val="0"/>
        <w:pageBreakBefore w:val="0"/>
        <w:widowControl w:val="0"/>
        <w:kinsoku/>
        <w:wordWrap/>
        <w:overflowPunct/>
        <w:topLinePunct w:val="0"/>
        <w:autoSpaceDE/>
        <w:autoSpaceDN/>
        <w:bidi w:val="0"/>
        <w:adjustRightInd/>
        <w:snapToGrid/>
        <w:spacing w:line="276" w:lineRule="auto"/>
        <w:ind w:firstLine="482"/>
        <w:textAlignment w:val="auto"/>
        <w:rPr>
          <w:rFonts w:hint="eastAsia" w:ascii="宋体" w:hAnsi="宋体"/>
          <w:color w:val="auto"/>
          <w:highlight w:val="none"/>
        </w:rPr>
      </w:pPr>
      <w:r>
        <w:rPr>
          <w:rFonts w:hint="eastAsia" w:ascii="宋体" w:hAnsi="宋体"/>
          <w:color w:val="auto"/>
          <w:highlight w:val="none"/>
        </w:rPr>
        <w:t>（四）发现对方在</w:t>
      </w:r>
      <w:r>
        <w:rPr>
          <w:rFonts w:hint="eastAsia" w:ascii="宋体" w:hAnsi="宋体" w:eastAsia="宋体"/>
          <w:color w:val="auto"/>
          <w:highlight w:val="none"/>
          <w:lang w:val="en-US" w:eastAsia="zh-CN"/>
        </w:rPr>
        <w:t>养护</w:t>
      </w:r>
      <w:r>
        <w:rPr>
          <w:rFonts w:hint="eastAsia" w:ascii="宋体" w:hAnsi="宋体"/>
          <w:color w:val="auto"/>
          <w:highlight w:val="none"/>
        </w:rPr>
        <w:t>施工业务活动中，有违反有关规定的行为，有及时提醒对方纠正的权利和义务。</w:t>
      </w:r>
    </w:p>
    <w:p w14:paraId="1F19074D">
      <w:pPr>
        <w:pStyle w:val="44"/>
        <w:keepNext w:val="0"/>
        <w:keepLines w:val="0"/>
        <w:pageBreakBefore w:val="0"/>
        <w:widowControl w:val="0"/>
        <w:kinsoku/>
        <w:wordWrap/>
        <w:overflowPunct/>
        <w:topLinePunct w:val="0"/>
        <w:autoSpaceDE/>
        <w:autoSpaceDN/>
        <w:bidi w:val="0"/>
        <w:adjustRightInd/>
        <w:snapToGrid/>
        <w:spacing w:line="276" w:lineRule="auto"/>
        <w:ind w:firstLine="482"/>
        <w:textAlignment w:val="auto"/>
        <w:rPr>
          <w:rFonts w:hint="eastAsia" w:ascii="宋体" w:hAnsi="宋体"/>
          <w:color w:val="auto"/>
          <w:highlight w:val="none"/>
        </w:rPr>
      </w:pPr>
      <w:r>
        <w:rPr>
          <w:rFonts w:hint="eastAsia" w:ascii="宋体" w:hAnsi="宋体"/>
          <w:color w:val="auto"/>
          <w:highlight w:val="none"/>
        </w:rPr>
        <w:t>（五）发现对方严重违反</w:t>
      </w:r>
      <w:r>
        <w:rPr>
          <w:rFonts w:hint="eastAsia" w:ascii="宋体" w:hAnsi="宋体" w:eastAsia="宋体"/>
          <w:color w:val="auto"/>
          <w:highlight w:val="none"/>
          <w:lang w:val="en-US" w:eastAsia="zh-CN"/>
        </w:rPr>
        <w:t>养护</w:t>
      </w:r>
      <w:r>
        <w:rPr>
          <w:rFonts w:hint="eastAsia" w:ascii="宋体" w:hAnsi="宋体"/>
          <w:color w:val="auto"/>
          <w:highlight w:val="none"/>
        </w:rPr>
        <w:t>施工合同文件的行为，有向其上级有关部门举报，建议给予处理并要求告知处理结果的权利。</w:t>
      </w:r>
    </w:p>
    <w:p w14:paraId="65410572">
      <w:pPr>
        <w:pStyle w:val="44"/>
        <w:keepNext w:val="0"/>
        <w:keepLines w:val="0"/>
        <w:pageBreakBefore w:val="0"/>
        <w:widowControl w:val="0"/>
        <w:kinsoku/>
        <w:wordWrap/>
        <w:overflowPunct/>
        <w:topLinePunct w:val="0"/>
        <w:autoSpaceDE/>
        <w:autoSpaceDN/>
        <w:bidi w:val="0"/>
        <w:adjustRightInd/>
        <w:snapToGrid/>
        <w:spacing w:line="276" w:lineRule="auto"/>
        <w:ind w:firstLine="482"/>
        <w:textAlignment w:val="auto"/>
        <w:rPr>
          <w:rFonts w:hint="eastAsia" w:ascii="宋体" w:hAnsi="宋体"/>
          <w:color w:val="auto"/>
          <w:highlight w:val="none"/>
        </w:rPr>
      </w:pPr>
      <w:r>
        <w:rPr>
          <w:rFonts w:hint="eastAsia" w:ascii="宋体" w:hAnsi="宋体"/>
          <w:color w:val="auto"/>
          <w:highlight w:val="none"/>
        </w:rPr>
        <w:t>第三条  甲方的义务</w:t>
      </w:r>
    </w:p>
    <w:p w14:paraId="3B5BCC70">
      <w:pPr>
        <w:pStyle w:val="44"/>
        <w:keepNext w:val="0"/>
        <w:keepLines w:val="0"/>
        <w:pageBreakBefore w:val="0"/>
        <w:widowControl w:val="0"/>
        <w:kinsoku/>
        <w:wordWrap/>
        <w:overflowPunct/>
        <w:topLinePunct w:val="0"/>
        <w:autoSpaceDE/>
        <w:autoSpaceDN/>
        <w:bidi w:val="0"/>
        <w:adjustRightInd/>
        <w:snapToGrid/>
        <w:spacing w:line="276" w:lineRule="auto"/>
        <w:ind w:firstLine="482"/>
        <w:textAlignment w:val="auto"/>
        <w:rPr>
          <w:rFonts w:hint="eastAsia" w:ascii="宋体" w:hAnsi="宋体" w:eastAsia="Times New Roman"/>
          <w:color w:val="auto"/>
          <w:highlight w:val="none"/>
        </w:rPr>
      </w:pPr>
      <w:r>
        <w:rPr>
          <w:rFonts w:hint="eastAsia" w:ascii="宋体" w:hAnsi="宋体" w:eastAsia="Times New Roman"/>
          <w:color w:val="auto"/>
          <w:highlight w:val="none"/>
        </w:rPr>
        <w:t>（一）甲方向乙方及时提供有关资料（包括技术规范、工程量清单、施工图等。）</w:t>
      </w:r>
    </w:p>
    <w:p w14:paraId="259BCD29">
      <w:pPr>
        <w:pStyle w:val="44"/>
        <w:keepNext w:val="0"/>
        <w:keepLines w:val="0"/>
        <w:pageBreakBefore w:val="0"/>
        <w:widowControl w:val="0"/>
        <w:kinsoku/>
        <w:wordWrap/>
        <w:overflowPunct/>
        <w:topLinePunct w:val="0"/>
        <w:autoSpaceDE/>
        <w:autoSpaceDN/>
        <w:bidi w:val="0"/>
        <w:adjustRightInd/>
        <w:snapToGrid/>
        <w:spacing w:line="276" w:lineRule="auto"/>
        <w:ind w:firstLine="482"/>
        <w:textAlignment w:val="auto"/>
        <w:rPr>
          <w:rFonts w:hint="eastAsia" w:ascii="宋体" w:hAnsi="宋体" w:eastAsia="Times New Roman"/>
          <w:color w:val="auto"/>
          <w:highlight w:val="none"/>
        </w:rPr>
      </w:pPr>
      <w:r>
        <w:rPr>
          <w:rFonts w:hint="eastAsia" w:ascii="宋体" w:hAnsi="宋体" w:eastAsia="Times New Roman"/>
          <w:color w:val="auto"/>
          <w:highlight w:val="none"/>
          <w:lang w:val="en-US" w:eastAsia="zh-CN"/>
        </w:rPr>
        <w:t xml:space="preserve">（二）甲方应向乙方提供主要原材料和产品质量的检验标准和检测频率，重点明确主要受力构件产品平行抽检和见证检验的要求。 </w:t>
      </w:r>
    </w:p>
    <w:p w14:paraId="651FC502">
      <w:pPr>
        <w:pStyle w:val="44"/>
        <w:keepNext w:val="0"/>
        <w:keepLines w:val="0"/>
        <w:pageBreakBefore w:val="0"/>
        <w:widowControl w:val="0"/>
        <w:kinsoku/>
        <w:wordWrap/>
        <w:overflowPunct/>
        <w:topLinePunct w:val="0"/>
        <w:autoSpaceDE/>
        <w:autoSpaceDN/>
        <w:bidi w:val="0"/>
        <w:adjustRightInd/>
        <w:snapToGrid/>
        <w:spacing w:line="276" w:lineRule="auto"/>
        <w:ind w:firstLine="482"/>
        <w:textAlignment w:val="auto"/>
        <w:rPr>
          <w:rFonts w:hint="eastAsia" w:ascii="宋体" w:hAnsi="宋体" w:eastAsia="Times New Roman"/>
          <w:color w:val="auto"/>
          <w:highlight w:val="none"/>
        </w:rPr>
      </w:pPr>
      <w:r>
        <w:rPr>
          <w:rFonts w:hint="eastAsia" w:ascii="宋体" w:hAnsi="宋体" w:eastAsia="Times New Roman"/>
          <w:color w:val="auto"/>
          <w:highlight w:val="none"/>
          <w:lang w:val="en-US" w:eastAsia="zh-CN"/>
        </w:rPr>
        <w:t xml:space="preserve">（三）甲方不得指使乙方不按法律、法规、工程建设强制性标准和施工规范进行工程的施工活动。 </w:t>
      </w:r>
    </w:p>
    <w:p w14:paraId="5A65F22E">
      <w:pPr>
        <w:pStyle w:val="44"/>
        <w:keepNext w:val="0"/>
        <w:keepLines w:val="0"/>
        <w:pageBreakBefore w:val="0"/>
        <w:widowControl w:val="0"/>
        <w:kinsoku/>
        <w:wordWrap/>
        <w:overflowPunct/>
        <w:topLinePunct w:val="0"/>
        <w:autoSpaceDE/>
        <w:autoSpaceDN/>
        <w:bidi w:val="0"/>
        <w:adjustRightInd/>
        <w:snapToGrid/>
        <w:spacing w:line="276" w:lineRule="auto"/>
        <w:ind w:firstLine="482"/>
        <w:textAlignment w:val="auto"/>
        <w:rPr>
          <w:rFonts w:hint="eastAsia" w:ascii="宋体" w:hAnsi="宋体" w:eastAsia="Times New Roman"/>
          <w:color w:val="auto"/>
          <w:highlight w:val="none"/>
        </w:rPr>
      </w:pPr>
      <w:r>
        <w:rPr>
          <w:rFonts w:hint="eastAsia" w:ascii="宋体" w:hAnsi="宋体" w:eastAsia="Times New Roman"/>
          <w:color w:val="auto"/>
          <w:highlight w:val="none"/>
          <w:lang w:val="en-US" w:eastAsia="zh-CN"/>
        </w:rPr>
        <w:t xml:space="preserve">（四）甲方须按养护施工合同的约定支付工程款，除养护施工合同的约定外，甲方不得以任何借口克扣工程款或拖延工程款的支付。 </w:t>
      </w:r>
    </w:p>
    <w:p w14:paraId="0C90F2F4">
      <w:pPr>
        <w:pStyle w:val="44"/>
        <w:keepNext w:val="0"/>
        <w:keepLines w:val="0"/>
        <w:pageBreakBefore w:val="0"/>
        <w:widowControl w:val="0"/>
        <w:kinsoku/>
        <w:wordWrap/>
        <w:overflowPunct/>
        <w:topLinePunct w:val="0"/>
        <w:autoSpaceDE/>
        <w:autoSpaceDN/>
        <w:bidi w:val="0"/>
        <w:adjustRightInd/>
        <w:snapToGrid/>
        <w:spacing w:line="276" w:lineRule="auto"/>
        <w:ind w:firstLine="482"/>
        <w:textAlignment w:val="auto"/>
        <w:rPr>
          <w:rFonts w:hint="eastAsia" w:ascii="宋体" w:hAnsi="宋体" w:eastAsia="Times New Roman"/>
          <w:color w:val="auto"/>
          <w:highlight w:val="none"/>
        </w:rPr>
      </w:pPr>
      <w:r>
        <w:rPr>
          <w:rFonts w:hint="eastAsia" w:ascii="宋体" w:hAnsi="宋体" w:eastAsia="Times New Roman"/>
          <w:color w:val="auto"/>
          <w:highlight w:val="none"/>
          <w:lang w:val="en-US" w:eastAsia="zh-CN"/>
        </w:rPr>
        <w:t xml:space="preserve">（五）甲方不得明示或暗示向乙方推荐单位或个人承包或分包本工程项目的养护施工任务。 </w:t>
      </w:r>
    </w:p>
    <w:p w14:paraId="2B02D2BC">
      <w:pPr>
        <w:pStyle w:val="44"/>
        <w:keepNext w:val="0"/>
        <w:keepLines w:val="0"/>
        <w:pageBreakBefore w:val="0"/>
        <w:widowControl w:val="0"/>
        <w:kinsoku/>
        <w:wordWrap/>
        <w:overflowPunct/>
        <w:topLinePunct w:val="0"/>
        <w:autoSpaceDE/>
        <w:autoSpaceDN/>
        <w:bidi w:val="0"/>
        <w:adjustRightInd/>
        <w:snapToGrid/>
        <w:spacing w:line="276" w:lineRule="auto"/>
        <w:ind w:firstLine="482"/>
        <w:textAlignment w:val="auto"/>
        <w:rPr>
          <w:rFonts w:hint="eastAsia" w:ascii="宋体" w:hAnsi="宋体" w:eastAsia="Times New Roman"/>
          <w:color w:val="auto"/>
          <w:highlight w:val="none"/>
        </w:rPr>
      </w:pPr>
      <w:r>
        <w:rPr>
          <w:rFonts w:hint="eastAsia" w:ascii="宋体" w:hAnsi="宋体" w:eastAsia="Times New Roman"/>
          <w:color w:val="auto"/>
          <w:highlight w:val="none"/>
          <w:lang w:val="en-US" w:eastAsia="zh-CN"/>
        </w:rPr>
        <w:t xml:space="preserve">（六）甲方不得以任何理由索取回扣或其它好处。 </w:t>
      </w:r>
    </w:p>
    <w:p w14:paraId="7DB6873F">
      <w:pPr>
        <w:pStyle w:val="44"/>
        <w:keepNext w:val="0"/>
        <w:keepLines w:val="0"/>
        <w:pageBreakBefore w:val="0"/>
        <w:widowControl w:val="0"/>
        <w:kinsoku/>
        <w:wordWrap/>
        <w:overflowPunct/>
        <w:topLinePunct w:val="0"/>
        <w:autoSpaceDE/>
        <w:autoSpaceDN/>
        <w:bidi w:val="0"/>
        <w:adjustRightInd/>
        <w:snapToGrid/>
        <w:spacing w:line="276" w:lineRule="auto"/>
        <w:ind w:firstLine="482"/>
        <w:textAlignment w:val="auto"/>
        <w:rPr>
          <w:rFonts w:hint="eastAsia" w:ascii="宋体" w:hAnsi="宋体"/>
          <w:color w:val="auto"/>
          <w:highlight w:val="none"/>
        </w:rPr>
      </w:pPr>
      <w:r>
        <w:rPr>
          <w:rFonts w:hint="eastAsia" w:ascii="宋体" w:hAnsi="宋体"/>
          <w:color w:val="auto"/>
          <w:highlight w:val="none"/>
        </w:rPr>
        <w:t>第四条  乙方的义务</w:t>
      </w:r>
    </w:p>
    <w:p w14:paraId="2177B2CF">
      <w:pPr>
        <w:pStyle w:val="44"/>
        <w:keepNext w:val="0"/>
        <w:keepLines w:val="0"/>
        <w:pageBreakBefore w:val="0"/>
        <w:widowControl w:val="0"/>
        <w:kinsoku/>
        <w:wordWrap/>
        <w:overflowPunct/>
        <w:topLinePunct w:val="0"/>
        <w:autoSpaceDE/>
        <w:autoSpaceDN/>
        <w:bidi w:val="0"/>
        <w:adjustRightInd/>
        <w:snapToGrid/>
        <w:spacing w:line="276" w:lineRule="auto"/>
        <w:ind w:firstLine="482"/>
        <w:textAlignment w:val="auto"/>
        <w:rPr>
          <w:rFonts w:hint="eastAsia" w:ascii="宋体" w:hAnsi="宋体" w:eastAsia="Times New Roman"/>
          <w:color w:val="auto"/>
          <w:highlight w:val="none"/>
        </w:rPr>
      </w:pPr>
      <w:r>
        <w:rPr>
          <w:rFonts w:hint="eastAsia" w:ascii="宋体" w:hAnsi="宋体" w:eastAsia="Times New Roman"/>
          <w:color w:val="auto"/>
          <w:highlight w:val="none"/>
          <w:lang w:val="en-US" w:eastAsia="zh-CN"/>
        </w:rPr>
        <w:t xml:space="preserve">（一）乙方应具备与本工程项目相应等级的养护施工资质证书。 </w:t>
      </w:r>
    </w:p>
    <w:p w14:paraId="603C21D7">
      <w:pPr>
        <w:pStyle w:val="44"/>
        <w:keepNext w:val="0"/>
        <w:keepLines w:val="0"/>
        <w:pageBreakBefore w:val="0"/>
        <w:widowControl w:val="0"/>
        <w:kinsoku/>
        <w:wordWrap/>
        <w:overflowPunct/>
        <w:topLinePunct w:val="0"/>
        <w:autoSpaceDE/>
        <w:autoSpaceDN/>
        <w:bidi w:val="0"/>
        <w:adjustRightInd/>
        <w:snapToGrid/>
        <w:spacing w:line="276" w:lineRule="auto"/>
        <w:ind w:firstLine="482"/>
        <w:textAlignment w:val="auto"/>
        <w:rPr>
          <w:rFonts w:hint="eastAsia" w:ascii="宋体" w:hAnsi="宋体" w:eastAsia="Times New Roman"/>
          <w:color w:val="auto"/>
          <w:highlight w:val="none"/>
        </w:rPr>
      </w:pPr>
      <w:r>
        <w:rPr>
          <w:rFonts w:hint="eastAsia" w:ascii="宋体" w:hAnsi="宋体" w:eastAsia="Times New Roman"/>
          <w:color w:val="auto"/>
          <w:highlight w:val="none"/>
          <w:lang w:val="en-US" w:eastAsia="zh-CN"/>
        </w:rPr>
        <w:t xml:space="preserve">（二）乙方不得允许其它单位或个人以乙方的名义承揽本工程项目的养护施工任务，不得转包或违法分包所承揽的本工程的养护施工任务。 </w:t>
      </w:r>
    </w:p>
    <w:p w14:paraId="36324E98">
      <w:pPr>
        <w:pStyle w:val="44"/>
        <w:keepNext w:val="0"/>
        <w:keepLines w:val="0"/>
        <w:pageBreakBefore w:val="0"/>
        <w:widowControl w:val="0"/>
        <w:kinsoku/>
        <w:wordWrap/>
        <w:overflowPunct/>
        <w:topLinePunct w:val="0"/>
        <w:autoSpaceDE/>
        <w:autoSpaceDN/>
        <w:bidi w:val="0"/>
        <w:adjustRightInd/>
        <w:snapToGrid/>
        <w:spacing w:line="276" w:lineRule="auto"/>
        <w:ind w:firstLine="482"/>
        <w:textAlignment w:val="auto"/>
        <w:rPr>
          <w:rFonts w:hint="eastAsia" w:ascii="宋体" w:hAnsi="宋体" w:eastAsia="Times New Roman"/>
          <w:color w:val="auto"/>
          <w:highlight w:val="none"/>
        </w:rPr>
      </w:pPr>
      <w:r>
        <w:rPr>
          <w:rFonts w:hint="eastAsia" w:ascii="宋体" w:hAnsi="宋体" w:eastAsia="Times New Roman"/>
          <w:color w:val="auto"/>
          <w:highlight w:val="none"/>
          <w:lang w:val="en-US" w:eastAsia="zh-CN"/>
        </w:rPr>
        <w:t xml:space="preserve">（三）乙方必须严格履行养护施工合同，按投标承诺的养护施工技术人员及时到位。养护施工技术人员原则上不得擅自调换，如有特殊原因确需调换的，须经发包人书面同意方能换人。 </w:t>
      </w:r>
    </w:p>
    <w:p w14:paraId="7DDE3CDD">
      <w:pPr>
        <w:pStyle w:val="44"/>
        <w:keepNext w:val="0"/>
        <w:keepLines w:val="0"/>
        <w:pageBreakBefore w:val="0"/>
        <w:widowControl w:val="0"/>
        <w:kinsoku/>
        <w:wordWrap/>
        <w:overflowPunct/>
        <w:topLinePunct w:val="0"/>
        <w:autoSpaceDE/>
        <w:autoSpaceDN/>
        <w:bidi w:val="0"/>
        <w:adjustRightInd/>
        <w:snapToGrid/>
        <w:spacing w:line="276" w:lineRule="auto"/>
        <w:ind w:firstLine="482"/>
        <w:textAlignment w:val="auto"/>
        <w:rPr>
          <w:rFonts w:hint="eastAsia" w:ascii="宋体" w:hAnsi="宋体" w:eastAsia="Times New Roman"/>
          <w:color w:val="auto"/>
          <w:highlight w:val="none"/>
        </w:rPr>
      </w:pPr>
      <w:r>
        <w:rPr>
          <w:rFonts w:hint="eastAsia" w:ascii="宋体" w:hAnsi="宋体" w:eastAsia="Times New Roman"/>
          <w:color w:val="auto"/>
          <w:highlight w:val="none"/>
          <w:lang w:val="en-US" w:eastAsia="zh-CN"/>
        </w:rPr>
        <w:t xml:space="preserve">（四）乙方应配备专职的质量管理人员。 </w:t>
      </w:r>
    </w:p>
    <w:p w14:paraId="490E24FD">
      <w:pPr>
        <w:pStyle w:val="44"/>
        <w:keepNext w:val="0"/>
        <w:keepLines w:val="0"/>
        <w:pageBreakBefore w:val="0"/>
        <w:widowControl w:val="0"/>
        <w:kinsoku/>
        <w:wordWrap/>
        <w:overflowPunct/>
        <w:topLinePunct w:val="0"/>
        <w:autoSpaceDE/>
        <w:autoSpaceDN/>
        <w:bidi w:val="0"/>
        <w:adjustRightInd/>
        <w:snapToGrid/>
        <w:spacing w:line="276" w:lineRule="auto"/>
        <w:ind w:firstLine="482"/>
        <w:textAlignment w:val="auto"/>
        <w:rPr>
          <w:rFonts w:hint="eastAsia" w:ascii="宋体" w:hAnsi="宋体" w:eastAsia="Times New Roman"/>
          <w:color w:val="auto"/>
          <w:highlight w:val="none"/>
        </w:rPr>
      </w:pPr>
      <w:r>
        <w:rPr>
          <w:rFonts w:hint="eastAsia" w:ascii="宋体" w:hAnsi="宋体" w:eastAsia="Times New Roman"/>
          <w:color w:val="auto"/>
          <w:highlight w:val="none"/>
          <w:lang w:val="en-US" w:eastAsia="zh-CN"/>
        </w:rPr>
        <w:t xml:space="preserve">（五）乙方应按招标文件要求建立工地临时试验室，按要求配合相应的试验检测人员和设备，并取得工地临时试验室资质证书。按有关规定做好各类试验，试验资料应真实、完整，统一归档。 </w:t>
      </w:r>
    </w:p>
    <w:p w14:paraId="08589998">
      <w:pPr>
        <w:pStyle w:val="44"/>
        <w:keepNext w:val="0"/>
        <w:keepLines w:val="0"/>
        <w:pageBreakBefore w:val="0"/>
        <w:widowControl w:val="0"/>
        <w:kinsoku/>
        <w:wordWrap/>
        <w:overflowPunct/>
        <w:topLinePunct w:val="0"/>
        <w:autoSpaceDE/>
        <w:autoSpaceDN/>
        <w:bidi w:val="0"/>
        <w:adjustRightInd/>
        <w:snapToGrid/>
        <w:spacing w:line="276" w:lineRule="auto"/>
        <w:ind w:firstLine="482"/>
        <w:textAlignment w:val="auto"/>
        <w:rPr>
          <w:rFonts w:hint="eastAsia" w:ascii="宋体" w:hAnsi="宋体" w:eastAsia="Times New Roman"/>
          <w:color w:val="auto"/>
          <w:highlight w:val="none"/>
        </w:rPr>
      </w:pPr>
      <w:r>
        <w:rPr>
          <w:rFonts w:hint="eastAsia" w:ascii="宋体" w:hAnsi="宋体" w:eastAsia="Times New Roman"/>
          <w:color w:val="auto"/>
          <w:highlight w:val="none"/>
          <w:lang w:val="en-US" w:eastAsia="zh-CN"/>
        </w:rPr>
        <w:t xml:space="preserve">（六）乙方必须按照工程设计图纸和养护施工技术规范施工，不得擅自修改工程设计，不得偷工减料。 </w:t>
      </w:r>
    </w:p>
    <w:p w14:paraId="064D1B7B">
      <w:pPr>
        <w:pStyle w:val="44"/>
        <w:keepNext w:val="0"/>
        <w:keepLines w:val="0"/>
        <w:pageBreakBefore w:val="0"/>
        <w:widowControl w:val="0"/>
        <w:kinsoku/>
        <w:wordWrap/>
        <w:overflowPunct/>
        <w:topLinePunct w:val="0"/>
        <w:autoSpaceDE/>
        <w:autoSpaceDN/>
        <w:bidi w:val="0"/>
        <w:adjustRightInd/>
        <w:snapToGrid/>
        <w:spacing w:line="276" w:lineRule="auto"/>
        <w:ind w:firstLine="482"/>
        <w:textAlignment w:val="auto"/>
        <w:rPr>
          <w:rFonts w:hint="eastAsia" w:ascii="宋体" w:hAnsi="宋体" w:eastAsia="Times New Roman"/>
          <w:color w:val="auto"/>
          <w:highlight w:val="none"/>
        </w:rPr>
      </w:pPr>
      <w:r>
        <w:rPr>
          <w:rFonts w:hint="eastAsia" w:ascii="宋体" w:hAnsi="宋体" w:eastAsia="Times New Roman"/>
          <w:color w:val="auto"/>
          <w:highlight w:val="none"/>
          <w:lang w:val="en-US" w:eastAsia="zh-CN"/>
        </w:rPr>
        <w:t xml:space="preserve">（七）乙方在养护施工过程中发现设计文件和图纸有差错的，应当及时提出意见和建议。 </w:t>
      </w:r>
    </w:p>
    <w:p w14:paraId="5F1F0BB1">
      <w:pPr>
        <w:pStyle w:val="44"/>
        <w:keepNext w:val="0"/>
        <w:keepLines w:val="0"/>
        <w:pageBreakBefore w:val="0"/>
        <w:widowControl w:val="0"/>
        <w:kinsoku/>
        <w:wordWrap/>
        <w:overflowPunct/>
        <w:topLinePunct w:val="0"/>
        <w:autoSpaceDE/>
        <w:autoSpaceDN/>
        <w:bidi w:val="0"/>
        <w:adjustRightInd/>
        <w:snapToGrid/>
        <w:spacing w:line="276" w:lineRule="auto"/>
        <w:ind w:firstLine="482"/>
        <w:textAlignment w:val="auto"/>
        <w:rPr>
          <w:rFonts w:hint="eastAsia" w:ascii="宋体" w:hAnsi="宋体" w:eastAsia="Times New Roman"/>
          <w:color w:val="auto"/>
          <w:highlight w:val="none"/>
        </w:rPr>
      </w:pPr>
      <w:r>
        <w:rPr>
          <w:rFonts w:hint="eastAsia" w:ascii="宋体" w:hAnsi="宋体" w:eastAsia="Times New Roman"/>
          <w:color w:val="auto"/>
          <w:highlight w:val="none"/>
          <w:lang w:val="en-US" w:eastAsia="zh-CN"/>
        </w:rPr>
        <w:t xml:space="preserve">（八）乙方与甲方、承包人或指定分包人之间有关工程质量、进度和费用的一切往来函件、报表均应分类编号归档保存；养护施工技术资料应真实、完整。 </w:t>
      </w:r>
    </w:p>
    <w:p w14:paraId="238BFCEE">
      <w:pPr>
        <w:pStyle w:val="44"/>
        <w:keepNext w:val="0"/>
        <w:keepLines w:val="0"/>
        <w:pageBreakBefore w:val="0"/>
        <w:widowControl w:val="0"/>
        <w:kinsoku/>
        <w:wordWrap/>
        <w:overflowPunct/>
        <w:topLinePunct w:val="0"/>
        <w:autoSpaceDE/>
        <w:autoSpaceDN/>
        <w:bidi w:val="0"/>
        <w:adjustRightInd/>
        <w:snapToGrid/>
        <w:spacing w:line="276" w:lineRule="auto"/>
        <w:ind w:firstLine="482"/>
        <w:textAlignment w:val="auto"/>
        <w:rPr>
          <w:rFonts w:hint="eastAsia" w:ascii="宋体" w:hAnsi="宋体" w:eastAsia="Times New Roman"/>
          <w:color w:val="auto"/>
          <w:highlight w:val="none"/>
        </w:rPr>
      </w:pPr>
      <w:r>
        <w:rPr>
          <w:rFonts w:hint="eastAsia" w:ascii="宋体" w:hAnsi="宋体" w:eastAsia="Times New Roman"/>
          <w:color w:val="auto"/>
          <w:highlight w:val="none"/>
          <w:lang w:val="en-US" w:eastAsia="zh-CN"/>
        </w:rPr>
        <w:t xml:space="preserve">（九）乙方应加强对甲方按合同规定采购的材料和设备的检验，对涉及结构安全的锚夹具、支座、吊杆（索）等受力构件产品检测，应当在甲方或者监理单位见证下现场取样，对检验不合格的产品，乙方应拒绝使用。 </w:t>
      </w:r>
    </w:p>
    <w:p w14:paraId="3EFDEDDD">
      <w:pPr>
        <w:pStyle w:val="44"/>
        <w:keepNext w:val="0"/>
        <w:keepLines w:val="0"/>
        <w:pageBreakBefore w:val="0"/>
        <w:widowControl w:val="0"/>
        <w:kinsoku/>
        <w:wordWrap/>
        <w:overflowPunct/>
        <w:topLinePunct w:val="0"/>
        <w:autoSpaceDE/>
        <w:autoSpaceDN/>
        <w:bidi w:val="0"/>
        <w:adjustRightInd/>
        <w:snapToGrid/>
        <w:spacing w:line="276" w:lineRule="auto"/>
        <w:ind w:firstLine="482"/>
        <w:textAlignment w:val="auto"/>
        <w:rPr>
          <w:rFonts w:hint="eastAsia" w:ascii="宋体" w:hAnsi="宋体" w:eastAsia="Times New Roman"/>
          <w:color w:val="auto"/>
          <w:highlight w:val="none"/>
        </w:rPr>
      </w:pPr>
      <w:r>
        <w:rPr>
          <w:rFonts w:hint="eastAsia" w:ascii="宋体" w:hAnsi="宋体" w:eastAsia="Times New Roman"/>
          <w:color w:val="auto"/>
          <w:highlight w:val="none"/>
          <w:lang w:val="en-US" w:eastAsia="zh-CN"/>
        </w:rPr>
        <w:t xml:space="preserve">（十）乙方不得暗示材料、设备供应单位提供使用不合格或质量低劣的材料、设备。 </w:t>
      </w:r>
    </w:p>
    <w:p w14:paraId="423F3B7C">
      <w:pPr>
        <w:pStyle w:val="44"/>
        <w:keepNext w:val="0"/>
        <w:keepLines w:val="0"/>
        <w:pageBreakBefore w:val="0"/>
        <w:widowControl w:val="0"/>
        <w:kinsoku/>
        <w:wordWrap/>
        <w:overflowPunct/>
        <w:topLinePunct w:val="0"/>
        <w:autoSpaceDE/>
        <w:autoSpaceDN/>
        <w:bidi w:val="0"/>
        <w:adjustRightInd/>
        <w:snapToGrid/>
        <w:spacing w:line="276" w:lineRule="auto"/>
        <w:ind w:firstLine="482"/>
        <w:textAlignment w:val="auto"/>
        <w:rPr>
          <w:rFonts w:hint="eastAsia" w:ascii="宋体" w:hAnsi="宋体"/>
          <w:color w:val="auto"/>
          <w:highlight w:val="none"/>
        </w:rPr>
      </w:pPr>
      <w:r>
        <w:rPr>
          <w:rFonts w:hint="eastAsia" w:ascii="宋体" w:hAnsi="宋体"/>
          <w:color w:val="auto"/>
          <w:highlight w:val="none"/>
        </w:rPr>
        <w:t>第五条  违约责任</w:t>
      </w:r>
    </w:p>
    <w:p w14:paraId="43BA254F">
      <w:pPr>
        <w:pStyle w:val="44"/>
        <w:keepNext w:val="0"/>
        <w:keepLines w:val="0"/>
        <w:pageBreakBefore w:val="0"/>
        <w:widowControl w:val="0"/>
        <w:kinsoku/>
        <w:wordWrap/>
        <w:overflowPunct/>
        <w:topLinePunct w:val="0"/>
        <w:autoSpaceDE/>
        <w:autoSpaceDN/>
        <w:bidi w:val="0"/>
        <w:adjustRightInd/>
        <w:snapToGrid/>
        <w:spacing w:line="276" w:lineRule="auto"/>
        <w:ind w:firstLine="482"/>
        <w:textAlignment w:val="auto"/>
        <w:rPr>
          <w:rFonts w:hint="eastAsia" w:ascii="宋体" w:hAnsi="宋体" w:eastAsia="Times New Roman"/>
          <w:color w:val="auto"/>
          <w:highlight w:val="none"/>
          <w:lang w:val="en-US" w:eastAsia="zh-CN"/>
        </w:rPr>
      </w:pPr>
      <w:r>
        <w:rPr>
          <w:rFonts w:hint="eastAsia" w:ascii="宋体" w:hAnsi="宋体" w:eastAsia="Times New Roman"/>
          <w:color w:val="auto"/>
          <w:highlight w:val="none"/>
          <w:lang w:val="en-US" w:eastAsia="zh-CN"/>
        </w:rPr>
        <w:t xml:space="preserve">（一）甲方及其工作人员违反本合同第二、三条，按管理权限，依据国务院《建设工程质量管理条例》有关规定给予相应的处罚；涉嫌犯罪的，依法追究刑事责任；给乙方单位造成经济损失的，应予以赔偿。 </w:t>
      </w:r>
    </w:p>
    <w:p w14:paraId="1A31A6AD">
      <w:pPr>
        <w:pStyle w:val="44"/>
        <w:keepNext w:val="0"/>
        <w:keepLines w:val="0"/>
        <w:pageBreakBefore w:val="0"/>
        <w:widowControl w:val="0"/>
        <w:kinsoku/>
        <w:wordWrap/>
        <w:overflowPunct/>
        <w:topLinePunct w:val="0"/>
        <w:autoSpaceDE/>
        <w:autoSpaceDN/>
        <w:bidi w:val="0"/>
        <w:adjustRightInd/>
        <w:snapToGrid/>
        <w:spacing w:line="276" w:lineRule="auto"/>
        <w:ind w:firstLine="482"/>
        <w:textAlignment w:val="auto"/>
        <w:rPr>
          <w:rFonts w:hint="eastAsia" w:ascii="宋体" w:hAnsi="宋体" w:eastAsia="Times New Roman"/>
          <w:color w:val="auto"/>
          <w:highlight w:val="none"/>
          <w:lang w:val="en-US" w:eastAsia="zh-CN"/>
        </w:rPr>
      </w:pPr>
      <w:r>
        <w:rPr>
          <w:rFonts w:hint="eastAsia" w:ascii="宋体" w:hAnsi="宋体" w:eastAsia="Times New Roman"/>
          <w:color w:val="auto"/>
          <w:highlight w:val="none"/>
          <w:lang w:val="en-US" w:eastAsia="zh-CN"/>
        </w:rPr>
        <w:t xml:space="preserve">（二）乙方及其工作人员违反本合同第二、四条，按管理权限，依据国务院《建设工程质量管理条例》有关规定给予相应的处罚；涉嫌犯罪的，依法追究刑事责任；给甲方单位造成经济损失的，应予以赔偿。 </w:t>
      </w:r>
    </w:p>
    <w:p w14:paraId="31DD1993">
      <w:pPr>
        <w:pStyle w:val="44"/>
        <w:keepNext w:val="0"/>
        <w:keepLines w:val="0"/>
        <w:pageBreakBefore w:val="0"/>
        <w:widowControl w:val="0"/>
        <w:kinsoku/>
        <w:wordWrap/>
        <w:overflowPunct/>
        <w:topLinePunct w:val="0"/>
        <w:autoSpaceDE/>
        <w:autoSpaceDN/>
        <w:bidi w:val="0"/>
        <w:adjustRightInd/>
        <w:snapToGrid/>
        <w:spacing w:line="276" w:lineRule="auto"/>
        <w:ind w:firstLine="482"/>
        <w:textAlignment w:val="auto"/>
        <w:rPr>
          <w:rFonts w:hint="eastAsia" w:ascii="宋体" w:hAnsi="宋体" w:eastAsia="Times New Roman"/>
          <w:color w:val="auto"/>
          <w:highlight w:val="none"/>
          <w:lang w:val="en-US" w:eastAsia="zh-CN"/>
        </w:rPr>
      </w:pPr>
      <w:r>
        <w:rPr>
          <w:rFonts w:hint="eastAsia" w:ascii="宋体" w:hAnsi="宋体" w:eastAsia="Times New Roman"/>
          <w:color w:val="auto"/>
          <w:highlight w:val="none"/>
          <w:lang w:val="en-US" w:eastAsia="zh-CN"/>
        </w:rPr>
        <w:t>第六条  本合同有效期为甲乙双方自签署之日起至该工程项目缺陷责任年限之日止。</w:t>
      </w:r>
    </w:p>
    <w:p w14:paraId="0EED4CE5">
      <w:pPr>
        <w:pStyle w:val="44"/>
        <w:keepNext w:val="0"/>
        <w:keepLines w:val="0"/>
        <w:pageBreakBefore w:val="0"/>
        <w:widowControl w:val="0"/>
        <w:kinsoku/>
        <w:wordWrap/>
        <w:overflowPunct/>
        <w:topLinePunct w:val="0"/>
        <w:autoSpaceDE/>
        <w:autoSpaceDN/>
        <w:bidi w:val="0"/>
        <w:adjustRightInd/>
        <w:snapToGrid/>
        <w:spacing w:line="276" w:lineRule="auto"/>
        <w:ind w:firstLine="482"/>
        <w:textAlignment w:val="auto"/>
        <w:rPr>
          <w:rFonts w:hint="eastAsia" w:ascii="宋体" w:hAnsi="宋体"/>
          <w:color w:val="auto"/>
          <w:highlight w:val="none"/>
        </w:rPr>
      </w:pPr>
      <w:r>
        <w:rPr>
          <w:rFonts w:hint="eastAsia" w:ascii="宋体" w:hAnsi="宋体"/>
          <w:color w:val="auto"/>
          <w:highlight w:val="none"/>
        </w:rPr>
        <w:t>第七条  本合同作为</w:t>
      </w:r>
      <w:r>
        <w:rPr>
          <w:rFonts w:hint="eastAsia" w:ascii="宋体" w:hAnsi="宋体"/>
          <w:color w:val="auto"/>
          <w:highlight w:val="none"/>
          <w:u w:val="single"/>
        </w:rPr>
        <w:t xml:space="preserve">  （项目名称）  </w:t>
      </w:r>
      <w:r>
        <w:rPr>
          <w:rFonts w:hint="eastAsia" w:ascii="宋体" w:hAnsi="宋体"/>
          <w:color w:val="auto"/>
          <w:highlight w:val="none"/>
        </w:rPr>
        <w:t>第</w:t>
      </w:r>
      <w:r>
        <w:rPr>
          <w:rFonts w:hint="eastAsia" w:ascii="宋体" w:hAnsi="宋体"/>
          <w:color w:val="auto"/>
          <w:highlight w:val="none"/>
          <w:u w:val="single"/>
        </w:rPr>
        <w:t xml:space="preserve">    </w:t>
      </w:r>
      <w:r>
        <w:rPr>
          <w:rFonts w:hint="eastAsia" w:ascii="宋体" w:hAnsi="宋体"/>
          <w:color w:val="auto"/>
          <w:highlight w:val="none"/>
        </w:rPr>
        <w:t>标段</w:t>
      </w:r>
      <w:r>
        <w:rPr>
          <w:rFonts w:hint="eastAsia" w:ascii="宋体" w:hAnsi="宋体" w:eastAsia="宋体"/>
          <w:color w:val="auto"/>
          <w:highlight w:val="none"/>
          <w:lang w:val="en-US" w:eastAsia="zh-CN"/>
        </w:rPr>
        <w:t>养护</w:t>
      </w:r>
      <w:r>
        <w:rPr>
          <w:rFonts w:hint="eastAsia" w:ascii="宋体" w:hAnsi="宋体"/>
          <w:color w:val="auto"/>
          <w:highlight w:val="none"/>
        </w:rPr>
        <w:t>施工合同附件，与工程</w:t>
      </w:r>
      <w:r>
        <w:rPr>
          <w:rFonts w:hint="eastAsia" w:ascii="宋体" w:hAnsi="宋体" w:eastAsia="宋体"/>
          <w:color w:val="auto"/>
          <w:highlight w:val="none"/>
          <w:lang w:val="en-US" w:eastAsia="zh-CN"/>
        </w:rPr>
        <w:t>养护</w:t>
      </w:r>
      <w:r>
        <w:rPr>
          <w:rFonts w:hint="eastAsia" w:ascii="宋体" w:hAnsi="宋体"/>
          <w:color w:val="auto"/>
          <w:highlight w:val="none"/>
        </w:rPr>
        <w:t>施工合同具有同等的法律效力，经合同双方签署后立即生效。</w:t>
      </w:r>
    </w:p>
    <w:p w14:paraId="03221E22">
      <w:pPr>
        <w:pStyle w:val="44"/>
        <w:keepNext w:val="0"/>
        <w:keepLines w:val="0"/>
        <w:pageBreakBefore w:val="0"/>
        <w:widowControl w:val="0"/>
        <w:kinsoku/>
        <w:wordWrap/>
        <w:overflowPunct/>
        <w:topLinePunct w:val="0"/>
        <w:autoSpaceDE/>
        <w:autoSpaceDN/>
        <w:bidi w:val="0"/>
        <w:adjustRightInd/>
        <w:snapToGrid/>
        <w:spacing w:line="276" w:lineRule="auto"/>
        <w:ind w:firstLine="482"/>
        <w:textAlignment w:val="auto"/>
        <w:rPr>
          <w:rFonts w:hint="eastAsia" w:ascii="宋体" w:hAnsi="宋体"/>
          <w:color w:val="auto"/>
          <w:highlight w:val="none"/>
        </w:rPr>
      </w:pPr>
      <w:r>
        <w:rPr>
          <w:rFonts w:hint="eastAsia" w:ascii="宋体" w:hAnsi="宋体"/>
          <w:color w:val="auto"/>
          <w:highlight w:val="none"/>
        </w:rPr>
        <w:t>第八条  本合同正本二份、副本</w:t>
      </w:r>
      <w:r>
        <w:rPr>
          <w:rFonts w:hint="eastAsia" w:ascii="宋体" w:hAnsi="宋体"/>
          <w:color w:val="auto"/>
          <w:highlight w:val="none"/>
          <w:u w:val="single"/>
        </w:rPr>
        <w:t xml:space="preserve">   </w:t>
      </w:r>
      <w:r>
        <w:rPr>
          <w:rFonts w:hint="eastAsia" w:ascii="宋体" w:hAnsi="宋体"/>
          <w:color w:val="auto"/>
          <w:highlight w:val="none"/>
        </w:rPr>
        <w:t>份，合同双方各执正本一份，副本</w:t>
      </w:r>
      <w:r>
        <w:rPr>
          <w:rFonts w:hint="eastAsia" w:ascii="宋体" w:hAnsi="宋体"/>
          <w:color w:val="auto"/>
          <w:highlight w:val="none"/>
          <w:u w:val="single"/>
        </w:rPr>
        <w:t xml:space="preserve">   </w:t>
      </w:r>
      <w:r>
        <w:rPr>
          <w:rFonts w:hint="eastAsia" w:ascii="宋体" w:hAnsi="宋体"/>
          <w:color w:val="auto"/>
          <w:highlight w:val="none"/>
        </w:rPr>
        <w:t>份，当正本与副本的内容不一致时，以正本为准。</w:t>
      </w:r>
    </w:p>
    <w:p w14:paraId="747694AD">
      <w:pPr>
        <w:pStyle w:val="44"/>
        <w:spacing w:line="380" w:lineRule="exact"/>
        <w:rPr>
          <w:rFonts w:hint="eastAsia" w:ascii="宋体" w:hAnsi="宋体"/>
          <w:color w:val="auto"/>
          <w:highlight w:val="none"/>
        </w:rPr>
      </w:pPr>
      <w:r>
        <w:rPr>
          <w:rFonts w:hint="eastAsia" w:ascii="宋体" w:hAnsi="宋体"/>
          <w:color w:val="auto"/>
          <w:highlight w:val="none"/>
        </w:rPr>
        <w:t xml:space="preserve"> </w:t>
      </w:r>
    </w:p>
    <w:p w14:paraId="4E621A88">
      <w:pPr>
        <w:pStyle w:val="44"/>
        <w:spacing w:line="420" w:lineRule="exact"/>
        <w:ind w:firstLine="420" w:firstLineChars="200"/>
        <w:rPr>
          <w:rFonts w:hint="eastAsia" w:ascii="宋体" w:hAnsi="宋体"/>
          <w:color w:val="auto"/>
          <w:highlight w:val="none"/>
        </w:rPr>
      </w:pPr>
      <w:r>
        <w:rPr>
          <w:rFonts w:hint="eastAsia" w:ascii="宋体" w:hAnsi="宋体"/>
          <w:color w:val="auto"/>
          <w:highlight w:val="none"/>
        </w:rPr>
        <w:t xml:space="preserve"> </w:t>
      </w:r>
    </w:p>
    <w:p w14:paraId="0BDC9DB1">
      <w:pPr>
        <w:pStyle w:val="44"/>
        <w:spacing w:line="440" w:lineRule="exact"/>
        <w:ind w:firstLine="210" w:firstLineChars="100"/>
        <w:rPr>
          <w:rFonts w:hint="eastAsia" w:ascii="宋体" w:hAnsi="宋体"/>
          <w:color w:val="auto"/>
          <w:highlight w:val="none"/>
        </w:rPr>
      </w:pPr>
      <w:r>
        <w:rPr>
          <w:rFonts w:hint="eastAsia" w:ascii="宋体" w:hAnsi="宋体"/>
          <w:color w:val="auto"/>
          <w:highlight w:val="none"/>
        </w:rPr>
        <w:t>发包人：</w:t>
      </w:r>
      <w:r>
        <w:rPr>
          <w:rFonts w:hint="eastAsia" w:ascii="宋体" w:hAnsi="宋体"/>
          <w:color w:val="auto"/>
          <w:highlight w:val="none"/>
          <w:u w:val="single"/>
        </w:rPr>
        <w:t xml:space="preserve">                  </w:t>
      </w:r>
      <w:r>
        <w:rPr>
          <w:rFonts w:hint="eastAsia" w:ascii="宋体" w:hAnsi="宋体"/>
          <w:color w:val="auto"/>
          <w:highlight w:val="none"/>
        </w:rPr>
        <w:t xml:space="preserve"> (盖单位章)     承包人：</w:t>
      </w:r>
      <w:r>
        <w:rPr>
          <w:rFonts w:hint="eastAsia" w:ascii="宋体" w:hAnsi="宋体"/>
          <w:color w:val="auto"/>
          <w:highlight w:val="none"/>
          <w:u w:val="single"/>
        </w:rPr>
        <w:t xml:space="preserve">                  </w:t>
      </w:r>
      <w:r>
        <w:rPr>
          <w:rFonts w:hint="eastAsia" w:ascii="宋体" w:hAnsi="宋体"/>
          <w:color w:val="auto"/>
          <w:highlight w:val="none"/>
        </w:rPr>
        <w:t xml:space="preserve"> (盖单位章)</w:t>
      </w:r>
    </w:p>
    <w:p w14:paraId="39312A15">
      <w:pPr>
        <w:pStyle w:val="44"/>
        <w:spacing w:line="440" w:lineRule="exact"/>
        <w:ind w:firstLine="210" w:firstLineChars="100"/>
        <w:rPr>
          <w:rFonts w:hint="eastAsia" w:ascii="宋体" w:hAnsi="宋体"/>
          <w:color w:val="auto"/>
          <w:highlight w:val="none"/>
        </w:rPr>
      </w:pPr>
      <w:r>
        <w:rPr>
          <w:rFonts w:hint="eastAsia" w:ascii="宋体" w:hAnsi="宋体"/>
          <w:color w:val="auto"/>
          <w:highlight w:val="none"/>
        </w:rPr>
        <w:t>法定代表人或其委托代理人：</w:t>
      </w:r>
      <w:r>
        <w:rPr>
          <w:rFonts w:hint="eastAsia" w:ascii="宋体" w:hAnsi="宋体"/>
          <w:color w:val="auto"/>
          <w:highlight w:val="none"/>
          <w:u w:val="single"/>
        </w:rPr>
        <w:t xml:space="preserve">     </w:t>
      </w:r>
      <w:r>
        <w:rPr>
          <w:rFonts w:hint="eastAsia" w:ascii="宋体" w:hAnsi="宋体"/>
          <w:color w:val="auto"/>
          <w:highlight w:val="none"/>
        </w:rPr>
        <w:t>(签字)     法定代表人或其委托代理人：</w:t>
      </w:r>
      <w:r>
        <w:rPr>
          <w:rFonts w:hint="eastAsia" w:ascii="宋体" w:hAnsi="宋体"/>
          <w:color w:val="auto"/>
          <w:highlight w:val="none"/>
          <w:u w:val="single"/>
        </w:rPr>
        <w:t xml:space="preserve">     </w:t>
      </w:r>
      <w:r>
        <w:rPr>
          <w:rFonts w:hint="eastAsia" w:ascii="宋体" w:hAnsi="宋体"/>
          <w:color w:val="auto"/>
          <w:highlight w:val="none"/>
        </w:rPr>
        <w:t>(签字)</w:t>
      </w:r>
    </w:p>
    <w:p w14:paraId="7AC76B25">
      <w:pPr>
        <w:pStyle w:val="44"/>
        <w:spacing w:line="420" w:lineRule="exact"/>
        <w:ind w:firstLine="840" w:firstLineChars="400"/>
        <w:rPr>
          <w:rFonts w:hint="eastAsia" w:ascii="宋体" w:hAnsi="宋体"/>
          <w:color w:val="auto"/>
          <w:highlight w:val="none"/>
        </w:rPr>
      </w:pP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 xml:space="preserve">日                         </w:t>
      </w: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日</w:t>
      </w:r>
    </w:p>
    <w:p w14:paraId="2BCB4B8E">
      <w:pPr>
        <w:pStyle w:val="9"/>
        <w:keepNext w:val="0"/>
        <w:keepLines w:val="0"/>
        <w:pageBreakBefore w:val="0"/>
        <w:widowControl w:val="0"/>
        <w:tabs>
          <w:tab w:val="left" w:pos="2790"/>
        </w:tabs>
        <w:kinsoku/>
        <w:wordWrap/>
        <w:overflowPunct/>
        <w:topLinePunct w:val="0"/>
        <w:autoSpaceDE/>
        <w:autoSpaceDN/>
        <w:bidi w:val="0"/>
        <w:adjustRightInd/>
        <w:snapToGrid/>
        <w:spacing w:line="420" w:lineRule="exact"/>
        <w:textAlignment w:val="auto"/>
        <w:outlineLvl w:val="3"/>
        <w:rPr>
          <w:rFonts w:hint="eastAsia" w:ascii="黑体" w:hAnsi="黑体" w:eastAsia="黑体" w:cs="Calibri"/>
          <w:color w:val="auto"/>
          <w:sz w:val="28"/>
          <w:szCs w:val="28"/>
          <w:highlight w:val="none"/>
          <w:lang w:val="en-US" w:eastAsia="zh-CN"/>
        </w:rPr>
      </w:pPr>
      <w:r>
        <w:rPr>
          <w:rFonts w:hint="eastAsia" w:ascii="宋体" w:hAnsi="宋体"/>
          <w:color w:val="auto"/>
          <w:highlight w:val="none"/>
        </w:rPr>
        <w:br w:type="page"/>
      </w:r>
      <w:bookmarkStart w:id="730" w:name="_Toc27561"/>
      <w:r>
        <w:rPr>
          <w:rFonts w:hint="eastAsia" w:ascii="黑体" w:hAnsi="黑体" w:eastAsia="黑体" w:cs="Calibri"/>
          <w:color w:val="auto"/>
          <w:sz w:val="28"/>
          <w:szCs w:val="28"/>
          <w:highlight w:val="none"/>
        </w:rPr>
        <w:t>附件十  项目图纸资料保密承诺书</w:t>
      </w:r>
      <w:bookmarkEnd w:id="730"/>
      <w:r>
        <w:rPr>
          <w:rFonts w:hint="eastAsia" w:ascii="黑体" w:hAnsi="黑体" w:eastAsia="黑体" w:cs="Calibri"/>
          <w:color w:val="auto"/>
          <w:sz w:val="28"/>
          <w:szCs w:val="28"/>
          <w:highlight w:val="none"/>
          <w:lang w:val="en-US" w:eastAsia="zh-CN"/>
        </w:rPr>
        <w:t>格式</w:t>
      </w:r>
    </w:p>
    <w:p w14:paraId="42A6E561">
      <w:pPr>
        <w:pStyle w:val="9"/>
        <w:ind w:firstLine="420" w:firstLineChars="200"/>
        <w:rPr>
          <w:rFonts w:ascii="仿宋_GB2312" w:hAnsi="宋体"/>
          <w:b/>
          <w:bCs/>
          <w:color w:val="auto"/>
          <w:szCs w:val="32"/>
          <w:highlight w:val="none"/>
        </w:rPr>
      </w:pPr>
    </w:p>
    <w:p w14:paraId="2493F0D3">
      <w:pPr>
        <w:pStyle w:val="9"/>
        <w:ind w:firstLine="420" w:firstLineChars="200"/>
        <w:rPr>
          <w:rFonts w:ascii="仿宋_GB2312" w:hAnsi="宋体"/>
          <w:b/>
          <w:bCs/>
          <w:color w:val="auto"/>
          <w:szCs w:val="32"/>
          <w:highlight w:val="none"/>
        </w:rPr>
      </w:pPr>
    </w:p>
    <w:p w14:paraId="49F67D1F">
      <w:pPr>
        <w:pStyle w:val="9"/>
        <w:spacing w:line="600" w:lineRule="exact"/>
        <w:ind w:firstLine="3080" w:firstLineChars="1100"/>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项目图纸资料保密承诺书</w:t>
      </w:r>
    </w:p>
    <w:p w14:paraId="49BB9BD6">
      <w:pPr>
        <w:pStyle w:val="9"/>
        <w:rPr>
          <w:rFonts w:ascii="仿宋_GB2312" w:hAnsi="宋体"/>
          <w:color w:val="auto"/>
          <w:szCs w:val="32"/>
          <w:highlight w:val="none"/>
        </w:rPr>
      </w:pPr>
      <w:r>
        <w:rPr>
          <w:rFonts w:hint="eastAsia" w:ascii="仿宋_GB2312" w:hAnsi="宋体"/>
          <w:color w:val="auto"/>
          <w:szCs w:val="32"/>
          <w:highlight w:val="none"/>
        </w:rPr>
        <w:t xml:space="preserve">    </w:t>
      </w:r>
    </w:p>
    <w:p w14:paraId="6E88CFD6">
      <w:pPr>
        <w:pStyle w:val="9"/>
        <w:keepNext w:val="0"/>
        <w:keepLines w:val="0"/>
        <w:pageBreakBefore w:val="0"/>
        <w:kinsoku/>
        <w:wordWrap/>
        <w:overflowPunct/>
        <w:topLinePunct w:val="0"/>
        <w:bidi w:val="0"/>
        <w:adjustRightInd/>
        <w:snapToGrid/>
        <w:spacing w:line="440" w:lineRule="exact"/>
        <w:ind w:firstLine="420" w:firstLineChars="200"/>
        <w:textAlignment w:val="auto"/>
        <w:rPr>
          <w:rFonts w:hint="eastAsia" w:ascii="仿宋_GB2312"/>
          <w:color w:val="auto"/>
          <w:szCs w:val="32"/>
          <w:highlight w:val="none"/>
        </w:rPr>
      </w:pPr>
      <w:r>
        <w:rPr>
          <w:rFonts w:hint="eastAsia" w:ascii="仿宋_GB2312"/>
          <w:color w:val="auto"/>
          <w:szCs w:val="32"/>
          <w:highlight w:val="none"/>
          <w:u w:val="single"/>
        </w:rPr>
        <w:t xml:space="preserve">(承包人名称) </w:t>
      </w:r>
      <w:r>
        <w:rPr>
          <w:rFonts w:hint="eastAsia" w:ascii="仿宋_GB2312"/>
          <w:color w:val="auto"/>
          <w:szCs w:val="32"/>
          <w:highlight w:val="none"/>
        </w:rPr>
        <w:t>将完善</w:t>
      </w:r>
      <w:r>
        <w:rPr>
          <w:rFonts w:hint="eastAsia" w:ascii="仿宋_GB2312"/>
          <w:color w:val="auto"/>
          <w:szCs w:val="32"/>
          <w:highlight w:val="none"/>
          <w:u w:val="single"/>
        </w:rPr>
        <w:t>（项目名称）</w:t>
      </w:r>
      <w:r>
        <w:rPr>
          <w:rFonts w:hint="eastAsia" w:ascii="仿宋_GB2312"/>
          <w:color w:val="auto"/>
          <w:szCs w:val="32"/>
          <w:highlight w:val="none"/>
          <w:u w:val="none"/>
        </w:rPr>
        <w:t>图纸</w:t>
      </w:r>
      <w:r>
        <w:rPr>
          <w:rFonts w:hint="eastAsia" w:ascii="仿宋_GB2312"/>
          <w:color w:val="auto"/>
          <w:szCs w:val="32"/>
          <w:highlight w:val="none"/>
        </w:rPr>
        <w:t>资料制作、移交、归档等管理制度，严格落实图纸资料管理要求。在本工程实施期间及验收完成后，所有图纸资料均按照内部资料管理，不通过互联网与任何单位和个人进行与本项目有关图纸资料交换传递，不通过任何途径向与本项目无关方泄露和传播本项目有关图纸资料。</w:t>
      </w:r>
    </w:p>
    <w:p w14:paraId="31790A18">
      <w:pPr>
        <w:pStyle w:val="11"/>
        <w:keepNext w:val="0"/>
        <w:keepLines w:val="0"/>
        <w:pageBreakBefore w:val="0"/>
        <w:kinsoku/>
        <w:wordWrap/>
        <w:overflowPunct/>
        <w:topLinePunct w:val="0"/>
        <w:bidi w:val="0"/>
        <w:adjustRightInd/>
        <w:snapToGrid/>
        <w:spacing w:line="440" w:lineRule="exact"/>
        <w:textAlignment w:val="auto"/>
        <w:rPr>
          <w:rFonts w:hint="eastAsia" w:ascii="仿宋_GB2312"/>
          <w:color w:val="auto"/>
          <w:szCs w:val="32"/>
          <w:highlight w:val="none"/>
          <w:lang w:val="en-US" w:eastAsia="zh-CN"/>
        </w:rPr>
      </w:pPr>
      <w:r>
        <w:rPr>
          <w:rFonts w:hint="eastAsia" w:ascii="仿宋_GB2312"/>
          <w:color w:val="auto"/>
          <w:szCs w:val="32"/>
          <w:highlight w:val="none"/>
          <w:lang w:val="en-US" w:eastAsia="zh-CN"/>
        </w:rPr>
        <w:t>特此承诺。</w:t>
      </w:r>
    </w:p>
    <w:p w14:paraId="5367D077">
      <w:pPr>
        <w:rPr>
          <w:rFonts w:hint="eastAsia" w:ascii="仿宋_GB2312"/>
          <w:color w:val="auto"/>
          <w:szCs w:val="32"/>
          <w:highlight w:val="none"/>
          <w:lang w:val="en-US" w:eastAsia="zh-CN"/>
        </w:rPr>
      </w:pPr>
    </w:p>
    <w:p w14:paraId="50EA27D2">
      <w:pPr>
        <w:pStyle w:val="44"/>
        <w:spacing w:line="440" w:lineRule="exact"/>
        <w:ind w:firstLine="3780" w:firstLineChars="1800"/>
        <w:rPr>
          <w:rFonts w:hint="eastAsia" w:ascii="宋体" w:hAnsi="宋体"/>
          <w:color w:val="auto"/>
          <w:highlight w:val="none"/>
        </w:rPr>
      </w:pPr>
    </w:p>
    <w:p w14:paraId="43803B78">
      <w:pPr>
        <w:pStyle w:val="44"/>
        <w:spacing w:line="440" w:lineRule="exact"/>
        <w:ind w:firstLine="4200" w:firstLineChars="2000"/>
        <w:rPr>
          <w:rFonts w:hint="eastAsia" w:ascii="宋体" w:hAnsi="宋体"/>
          <w:color w:val="auto"/>
          <w:highlight w:val="none"/>
        </w:rPr>
      </w:pPr>
      <w:r>
        <w:rPr>
          <w:rFonts w:hint="eastAsia" w:ascii="宋体" w:hAnsi="宋体"/>
          <w:color w:val="auto"/>
          <w:highlight w:val="none"/>
        </w:rPr>
        <w:t>承包人：</w:t>
      </w:r>
      <w:r>
        <w:rPr>
          <w:rFonts w:hint="eastAsia" w:ascii="宋体" w:hAnsi="宋体"/>
          <w:color w:val="auto"/>
          <w:highlight w:val="none"/>
          <w:u w:val="single"/>
        </w:rPr>
        <w:t xml:space="preserve">                  </w:t>
      </w:r>
      <w:r>
        <w:rPr>
          <w:rFonts w:hint="eastAsia" w:ascii="宋体" w:hAnsi="宋体"/>
          <w:color w:val="auto"/>
          <w:highlight w:val="none"/>
        </w:rPr>
        <w:t xml:space="preserve"> (盖单位章)</w:t>
      </w:r>
    </w:p>
    <w:p w14:paraId="5E0B7AD8">
      <w:pPr>
        <w:pStyle w:val="44"/>
        <w:spacing w:line="440" w:lineRule="exact"/>
        <w:ind w:firstLine="4200" w:firstLineChars="2000"/>
        <w:rPr>
          <w:rFonts w:hint="eastAsia" w:ascii="宋体" w:hAnsi="宋体"/>
          <w:color w:val="auto"/>
          <w:highlight w:val="none"/>
        </w:rPr>
      </w:pPr>
      <w:r>
        <w:rPr>
          <w:rFonts w:hint="eastAsia" w:ascii="宋体" w:hAnsi="宋体"/>
          <w:color w:val="auto"/>
          <w:highlight w:val="none"/>
        </w:rPr>
        <w:t>法定代表人或其委托代理人：</w:t>
      </w:r>
      <w:r>
        <w:rPr>
          <w:rFonts w:hint="eastAsia" w:ascii="宋体" w:hAnsi="宋体"/>
          <w:color w:val="auto"/>
          <w:highlight w:val="none"/>
          <w:u w:val="single"/>
        </w:rPr>
        <w:t xml:space="preserve">     </w:t>
      </w:r>
      <w:r>
        <w:rPr>
          <w:rFonts w:hint="eastAsia" w:ascii="宋体" w:hAnsi="宋体"/>
          <w:color w:val="auto"/>
          <w:highlight w:val="none"/>
        </w:rPr>
        <w:t xml:space="preserve">(签字)     </w:t>
      </w:r>
    </w:p>
    <w:p w14:paraId="4281E121">
      <w:pPr>
        <w:pStyle w:val="44"/>
        <w:spacing w:line="420" w:lineRule="exact"/>
        <w:ind w:firstLine="6300" w:firstLineChars="3000"/>
        <w:rPr>
          <w:rFonts w:hint="eastAsia" w:ascii="宋体" w:hAnsi="宋体"/>
          <w:color w:val="auto"/>
          <w:highlight w:val="none"/>
        </w:rPr>
      </w:pP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 xml:space="preserve">日                        </w:t>
      </w:r>
    </w:p>
    <w:p w14:paraId="170E982D">
      <w:pPr>
        <w:pStyle w:val="37"/>
        <w:rPr>
          <w:rFonts w:hint="eastAsia"/>
          <w:color w:val="auto"/>
          <w:highlight w:val="none"/>
          <w:lang w:val="en-US" w:eastAsia="zh-CN"/>
        </w:rPr>
      </w:pPr>
    </w:p>
    <w:p w14:paraId="2DBB4D8C">
      <w:pPr>
        <w:pStyle w:val="9"/>
        <w:spacing w:line="360" w:lineRule="auto"/>
        <w:rPr>
          <w:rFonts w:hint="eastAsia" w:ascii="仿宋_GB2312"/>
          <w:color w:val="auto"/>
          <w:szCs w:val="32"/>
          <w:highlight w:val="none"/>
        </w:rPr>
      </w:pPr>
    </w:p>
    <w:p w14:paraId="437836AD">
      <w:pPr>
        <w:pStyle w:val="9"/>
        <w:spacing w:line="360" w:lineRule="auto"/>
        <w:rPr>
          <w:rFonts w:hint="eastAsia" w:ascii="仿宋_GB2312"/>
          <w:color w:val="auto"/>
          <w:szCs w:val="32"/>
          <w:highlight w:val="none"/>
        </w:rPr>
      </w:pPr>
    </w:p>
    <w:p w14:paraId="768F0953">
      <w:pPr>
        <w:pStyle w:val="9"/>
        <w:spacing w:line="360" w:lineRule="auto"/>
        <w:rPr>
          <w:rFonts w:hint="eastAsia" w:ascii="仿宋_GB2312"/>
          <w:color w:val="auto"/>
          <w:szCs w:val="32"/>
          <w:highlight w:val="none"/>
        </w:rPr>
      </w:pPr>
    </w:p>
    <w:p w14:paraId="23143696">
      <w:pPr>
        <w:pStyle w:val="9"/>
        <w:spacing w:line="360" w:lineRule="auto"/>
        <w:rPr>
          <w:rFonts w:hint="eastAsia" w:ascii="仿宋_GB2312"/>
          <w:color w:val="auto"/>
          <w:szCs w:val="32"/>
          <w:highlight w:val="none"/>
        </w:rPr>
      </w:pPr>
    </w:p>
    <w:p w14:paraId="6F6DDD0D">
      <w:pPr>
        <w:pStyle w:val="9"/>
        <w:spacing w:line="360" w:lineRule="auto"/>
        <w:rPr>
          <w:rFonts w:hint="eastAsia" w:ascii="仿宋_GB2312"/>
          <w:color w:val="auto"/>
          <w:szCs w:val="32"/>
          <w:highlight w:val="none"/>
        </w:rPr>
      </w:pPr>
    </w:p>
    <w:p w14:paraId="5F426BDB">
      <w:pPr>
        <w:pStyle w:val="9"/>
        <w:spacing w:line="360" w:lineRule="auto"/>
        <w:rPr>
          <w:rFonts w:hint="eastAsia" w:ascii="仿宋_GB2312"/>
          <w:color w:val="auto"/>
          <w:szCs w:val="32"/>
          <w:highlight w:val="none"/>
        </w:rPr>
      </w:pPr>
    </w:p>
    <w:p w14:paraId="7490829C">
      <w:pPr>
        <w:pStyle w:val="9"/>
        <w:spacing w:line="360" w:lineRule="auto"/>
        <w:rPr>
          <w:rFonts w:hint="eastAsia" w:ascii="仿宋_GB2312"/>
          <w:color w:val="auto"/>
          <w:szCs w:val="32"/>
          <w:highlight w:val="none"/>
        </w:rPr>
      </w:pPr>
    </w:p>
    <w:p w14:paraId="45E30E1D">
      <w:pPr>
        <w:pStyle w:val="44"/>
        <w:spacing w:line="420" w:lineRule="exact"/>
        <w:rPr>
          <w:rFonts w:hint="eastAsia" w:ascii="宋体" w:hAnsi="宋体"/>
          <w:color w:val="auto"/>
          <w:highlight w:val="none"/>
        </w:rPr>
      </w:pPr>
    </w:p>
    <w:p w14:paraId="068FE94D">
      <w:pPr>
        <w:pStyle w:val="49"/>
        <w:rPr>
          <w:rFonts w:hint="eastAsia"/>
          <w:color w:val="auto"/>
          <w:sz w:val="20"/>
          <w:szCs w:val="20"/>
          <w:highlight w:val="none"/>
        </w:rPr>
      </w:pPr>
      <w:r>
        <w:rPr>
          <w:rFonts w:hint="eastAsia"/>
          <w:color w:val="auto"/>
          <w:sz w:val="20"/>
          <w:szCs w:val="20"/>
          <w:highlight w:val="none"/>
        </w:rPr>
        <w:t xml:space="preserve"> </w:t>
      </w:r>
    </w:p>
    <w:p w14:paraId="21B4265E">
      <w:pPr>
        <w:pStyle w:val="49"/>
        <w:rPr>
          <w:rFonts w:hint="eastAsia"/>
          <w:color w:val="auto"/>
          <w:szCs w:val="21"/>
          <w:highlight w:val="none"/>
        </w:rPr>
      </w:pPr>
      <w:r>
        <w:rPr>
          <w:rFonts w:hint="eastAsia"/>
          <w:color w:val="auto"/>
          <w:highlight w:val="none"/>
        </w:rPr>
        <w:t xml:space="preserve"> </w:t>
      </w:r>
    </w:p>
    <w:p w14:paraId="4F27B9A0">
      <w:pPr>
        <w:pStyle w:val="49"/>
        <w:rPr>
          <w:rFonts w:hint="eastAsia"/>
          <w:color w:val="auto"/>
          <w:highlight w:val="none"/>
        </w:rPr>
      </w:pPr>
      <w:r>
        <w:rPr>
          <w:rFonts w:hint="eastAsia"/>
          <w:color w:val="auto"/>
          <w:highlight w:val="none"/>
        </w:rPr>
        <w:t xml:space="preserve"> </w:t>
      </w:r>
    </w:p>
    <w:p w14:paraId="3F1E2D99">
      <w:pPr>
        <w:pStyle w:val="49"/>
        <w:rPr>
          <w:rFonts w:hint="eastAsia"/>
          <w:color w:val="auto"/>
          <w:highlight w:val="none"/>
        </w:rPr>
      </w:pPr>
      <w:r>
        <w:rPr>
          <w:rFonts w:hint="eastAsia"/>
          <w:color w:val="auto"/>
          <w:highlight w:val="none"/>
        </w:rPr>
        <w:t xml:space="preserve"> </w:t>
      </w:r>
    </w:p>
    <w:p w14:paraId="64656158">
      <w:pPr>
        <w:pStyle w:val="49"/>
        <w:rPr>
          <w:rFonts w:hint="eastAsia"/>
          <w:color w:val="auto"/>
          <w:highlight w:val="none"/>
        </w:rPr>
      </w:pPr>
      <w:r>
        <w:rPr>
          <w:rFonts w:hint="eastAsia"/>
          <w:color w:val="auto"/>
          <w:highlight w:val="none"/>
        </w:rPr>
        <w:t xml:space="preserve"> </w:t>
      </w:r>
    </w:p>
    <w:p w14:paraId="208BC87F">
      <w:pPr>
        <w:pStyle w:val="49"/>
        <w:rPr>
          <w:rFonts w:hint="eastAsia"/>
          <w:color w:val="auto"/>
          <w:highlight w:val="none"/>
        </w:rPr>
      </w:pPr>
      <w:r>
        <w:rPr>
          <w:rFonts w:hint="eastAsia"/>
          <w:color w:val="auto"/>
          <w:highlight w:val="none"/>
        </w:rPr>
        <w:t xml:space="preserve"> </w:t>
      </w:r>
    </w:p>
    <w:p w14:paraId="4DB96B5A">
      <w:pPr>
        <w:pStyle w:val="49"/>
        <w:rPr>
          <w:rFonts w:hint="eastAsia"/>
          <w:color w:val="auto"/>
          <w:highlight w:val="none"/>
        </w:rPr>
      </w:pPr>
      <w:r>
        <w:rPr>
          <w:rFonts w:hint="eastAsia"/>
          <w:color w:val="auto"/>
          <w:highlight w:val="none"/>
        </w:rPr>
        <w:t xml:space="preserve"> </w:t>
      </w:r>
    </w:p>
    <w:p w14:paraId="6E966089">
      <w:pPr>
        <w:pStyle w:val="49"/>
        <w:rPr>
          <w:rFonts w:hint="eastAsia"/>
          <w:color w:val="auto"/>
          <w:highlight w:val="none"/>
        </w:rPr>
      </w:pPr>
      <w:r>
        <w:rPr>
          <w:rFonts w:hint="eastAsia"/>
          <w:color w:val="auto"/>
          <w:highlight w:val="none"/>
        </w:rPr>
        <w:t xml:space="preserve"> </w:t>
      </w:r>
    </w:p>
    <w:p w14:paraId="4041C363">
      <w:pPr>
        <w:pStyle w:val="49"/>
        <w:rPr>
          <w:rFonts w:hint="eastAsia"/>
          <w:color w:val="auto"/>
          <w:highlight w:val="none"/>
        </w:rPr>
      </w:pPr>
      <w:r>
        <w:rPr>
          <w:rFonts w:hint="eastAsia"/>
          <w:color w:val="auto"/>
          <w:highlight w:val="none"/>
        </w:rPr>
        <w:t xml:space="preserve"> </w:t>
      </w:r>
    </w:p>
    <w:p w14:paraId="15F413F9">
      <w:pPr>
        <w:pStyle w:val="49"/>
        <w:rPr>
          <w:rFonts w:hint="eastAsia"/>
          <w:color w:val="auto"/>
          <w:highlight w:val="none"/>
        </w:rPr>
      </w:pPr>
      <w:r>
        <w:rPr>
          <w:rFonts w:hint="eastAsia"/>
          <w:color w:val="auto"/>
          <w:highlight w:val="none"/>
        </w:rPr>
        <w:t xml:space="preserve"> </w:t>
      </w:r>
    </w:p>
    <w:p w14:paraId="38370907">
      <w:pPr>
        <w:pStyle w:val="49"/>
        <w:rPr>
          <w:rFonts w:hint="eastAsia"/>
          <w:color w:val="auto"/>
          <w:highlight w:val="none"/>
        </w:rPr>
      </w:pPr>
      <w:r>
        <w:rPr>
          <w:rFonts w:hint="eastAsia"/>
          <w:color w:val="auto"/>
          <w:highlight w:val="none"/>
        </w:rPr>
        <w:t xml:space="preserve"> </w:t>
      </w:r>
    </w:p>
    <w:bookmarkEnd w:id="119"/>
    <w:p w14:paraId="14D7DFF0">
      <w:pPr>
        <w:pStyle w:val="49"/>
        <w:keepNext w:val="0"/>
        <w:keepLines w:val="0"/>
        <w:pageBreakBefore w:val="0"/>
        <w:widowControl w:val="0"/>
        <w:kinsoku/>
        <w:wordWrap/>
        <w:overflowPunct/>
        <w:topLinePunct w:val="0"/>
        <w:autoSpaceDE/>
        <w:autoSpaceDN/>
        <w:bidi w:val="0"/>
        <w:adjustRightInd/>
        <w:snapToGrid/>
        <w:jc w:val="center"/>
        <w:textAlignment w:val="auto"/>
        <w:outlineLvl w:val="1"/>
        <w:rPr>
          <w:rFonts w:hint="eastAsia" w:ascii="黑体" w:hAnsi="黑体" w:eastAsia="黑体"/>
          <w:b/>
          <w:color w:val="auto"/>
          <w:sz w:val="32"/>
          <w:szCs w:val="32"/>
          <w:highlight w:val="none"/>
        </w:rPr>
      </w:pPr>
      <w:bookmarkStart w:id="731" w:name="_Toc21476"/>
      <w:r>
        <w:rPr>
          <w:rFonts w:hint="eastAsia" w:ascii="黑体" w:hAnsi="黑体" w:eastAsia="黑体"/>
          <w:b/>
          <w:color w:val="auto"/>
          <w:sz w:val="32"/>
          <w:szCs w:val="32"/>
          <w:highlight w:val="none"/>
        </w:rPr>
        <w:t>第五章  工程量清单</w:t>
      </w:r>
      <w:bookmarkEnd w:id="731"/>
    </w:p>
    <w:p w14:paraId="2747A328">
      <w:pPr>
        <w:pStyle w:val="9"/>
        <w:rPr>
          <w:rFonts w:hint="eastAsia"/>
          <w:color w:val="auto"/>
          <w:highlight w:val="none"/>
        </w:rPr>
      </w:pPr>
      <w:bookmarkStart w:id="732" w:name="EBcd463f058a0d4422a3594f98a3b885c4"/>
    </w:p>
    <w:p w14:paraId="7566C90E">
      <w:pPr>
        <w:pStyle w:val="60"/>
        <w:keepNext w:val="0"/>
        <w:keepLines w:val="0"/>
        <w:pageBreakBefore w:val="0"/>
        <w:widowControl w:val="0"/>
        <w:kinsoku/>
        <w:wordWrap/>
        <w:overflowPunct/>
        <w:topLinePunct w:val="0"/>
        <w:autoSpaceDE/>
        <w:autoSpaceDN/>
        <w:bidi w:val="0"/>
        <w:adjustRightInd/>
        <w:snapToGrid/>
        <w:spacing w:line="440" w:lineRule="exact"/>
        <w:textAlignment w:val="auto"/>
        <w:outlineLvl w:val="2"/>
        <w:rPr>
          <w:rFonts w:hint="eastAsia" w:ascii="黑体" w:hAnsi="宋体" w:eastAsia="黑体"/>
          <w:color w:val="auto"/>
          <w:sz w:val="24"/>
          <w:szCs w:val="24"/>
          <w:highlight w:val="none"/>
        </w:rPr>
      </w:pPr>
      <w:bookmarkStart w:id="733" w:name="_Toc8778"/>
      <w:r>
        <w:rPr>
          <w:rFonts w:hint="eastAsia" w:ascii="黑体" w:hAnsi="宋体" w:eastAsia="黑体"/>
          <w:color w:val="auto"/>
          <w:sz w:val="24"/>
          <w:szCs w:val="24"/>
          <w:highlight w:val="none"/>
        </w:rPr>
        <w:t>1</w:t>
      </w:r>
      <w:r>
        <w:rPr>
          <w:rFonts w:hint="eastAsia" w:ascii="黑体" w:hAnsi="黑体" w:eastAsia="黑体"/>
          <w:color w:val="auto"/>
          <w:sz w:val="24"/>
          <w:szCs w:val="24"/>
          <w:highlight w:val="none"/>
        </w:rPr>
        <w:t>．工程量清单说明</w:t>
      </w:r>
      <w:bookmarkEnd w:id="733"/>
    </w:p>
    <w:p w14:paraId="63D9942F">
      <w:pPr>
        <w:spacing w:line="420" w:lineRule="exact"/>
        <w:ind w:firstLine="480" w:firstLineChars="200"/>
        <w:jc w:val="left"/>
        <w:rPr>
          <w:rFonts w:ascii="Calibri" w:hAnsi="Calibri" w:eastAsia="宋体" w:cs="Times New Roman"/>
          <w:color w:val="auto"/>
          <w:sz w:val="24"/>
          <w:szCs w:val="24"/>
          <w:highlight w:val="none"/>
        </w:rPr>
      </w:pPr>
      <w:bookmarkStart w:id="734" w:name="_Toc288546807"/>
      <w:bookmarkStart w:id="735" w:name="_Toc282787621"/>
      <w:bookmarkStart w:id="736" w:name="_Toc283794354"/>
      <w:bookmarkStart w:id="737" w:name="_Toc288491683"/>
      <w:bookmarkStart w:id="738" w:name="_Toc288546295"/>
      <w:bookmarkStart w:id="739" w:name="_Toc282779157"/>
      <w:bookmarkStart w:id="740" w:name="_Toc287853507"/>
      <w:bookmarkStart w:id="741" w:name="_Toc282779666"/>
      <w:bookmarkStart w:id="742" w:name="_Toc282784941"/>
      <w:r>
        <w:rPr>
          <w:rFonts w:ascii="Calibri" w:hAnsi="Calibri" w:eastAsia="宋体" w:cs="Times New Roman"/>
          <w:color w:val="auto"/>
          <w:sz w:val="24"/>
          <w:szCs w:val="24"/>
          <w:highlight w:val="none"/>
        </w:rPr>
        <w:t>1.1  本工程量清单是根据招标文件中包括的、有合同约束力的图纸以及有关工程量清单的国家标准、地方标准、行业标准、合同条款中约定的工程量计算规则编制；依据浙江省《交通养护工程工程量清单计价规范》（DB33/T751-2009）第二部分 “公路</w:t>
      </w:r>
      <w:r>
        <w:rPr>
          <w:rFonts w:hint="eastAsia" w:ascii="Calibri" w:hAnsi="Calibri" w:eastAsia="宋体" w:cs="Times New Roman"/>
          <w:color w:val="auto"/>
          <w:sz w:val="24"/>
          <w:szCs w:val="24"/>
          <w:highlight w:val="none"/>
        </w:rPr>
        <w:t>养护</w:t>
      </w:r>
      <w:r>
        <w:rPr>
          <w:rFonts w:ascii="Calibri" w:hAnsi="Calibri" w:eastAsia="宋体" w:cs="Times New Roman"/>
          <w:color w:val="auto"/>
          <w:sz w:val="24"/>
          <w:szCs w:val="24"/>
          <w:highlight w:val="none"/>
        </w:rPr>
        <w:t>工程工程量清单计价规范” 中的工程量清单计价、工程量清单计价格式和计价要求等进行编制。</w:t>
      </w:r>
      <w:bookmarkEnd w:id="734"/>
      <w:bookmarkEnd w:id="735"/>
      <w:bookmarkEnd w:id="736"/>
      <w:bookmarkEnd w:id="737"/>
      <w:bookmarkEnd w:id="738"/>
      <w:bookmarkEnd w:id="739"/>
      <w:bookmarkEnd w:id="740"/>
      <w:bookmarkEnd w:id="741"/>
      <w:bookmarkEnd w:id="742"/>
    </w:p>
    <w:p w14:paraId="52E5BDC2">
      <w:pPr>
        <w:spacing w:line="420" w:lineRule="exact"/>
        <w:ind w:firstLine="480" w:firstLineChars="200"/>
        <w:jc w:val="lef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1.2  本工程量清单应与招标文件中的投标人须知、通用合同条款、专用合同条款、技术规范及图纸等一起阅读和理解。</w:t>
      </w:r>
    </w:p>
    <w:p w14:paraId="4D02F87B">
      <w:pPr>
        <w:spacing w:line="420" w:lineRule="exact"/>
        <w:ind w:firstLine="480" w:firstLineChars="200"/>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1.3  本工程量清单中所列工程数量是估算的或是预计的数量，仅作为投标报价的共同基础，不能作为最终结算与支付的依据。实际支付应按实际完成的工程量，由承包人按技术规范规定的计量方法，以监理人认可的尺寸、断面计量，按本工程量清单的单价和总额价计算支付金额；或者，根据具体情况，按合同条款第15.4款的规定，由监理人确定的单价或总额价计算支付额。</w:t>
      </w:r>
    </w:p>
    <w:p w14:paraId="0C224F31">
      <w:pPr>
        <w:spacing w:line="420" w:lineRule="exact"/>
        <w:ind w:firstLine="480" w:firstLineChars="200"/>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1.4  工程量清单各章是按第七章“技术规范”的相应章次编号的。因此，工程量清单中各章的工程子目的范围与计量等应与“技术规范”的相应章节的范围、计量与支付条款结合起来理解或解释。</w:t>
      </w:r>
    </w:p>
    <w:p w14:paraId="0BB86D50">
      <w:pPr>
        <w:spacing w:line="420" w:lineRule="exact"/>
        <w:ind w:firstLine="480" w:firstLineChars="200"/>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1.4  工程量清单各章是按第七章“技术规范”的相应章次编号的，“技术规范” 中计量与支付条款中的“支付子目”里所标注的“相应计价规范子目”栏的子目编号，即与《交通养护工程工程量清单计价规范》</w:t>
      </w:r>
      <w:r>
        <w:rPr>
          <w:rFonts w:ascii="Calibri" w:hAnsi="Calibri" w:eastAsia="宋体" w:cs="Times New Roman"/>
          <w:bCs/>
          <w:color w:val="auto"/>
          <w:sz w:val="24"/>
          <w:szCs w:val="24"/>
          <w:highlight w:val="none"/>
        </w:rPr>
        <w:t>第二部分中“公路</w:t>
      </w:r>
      <w:r>
        <w:rPr>
          <w:rFonts w:hint="eastAsia" w:ascii="Calibri" w:hAnsi="Calibri" w:eastAsia="宋体" w:cs="Times New Roman"/>
          <w:bCs/>
          <w:color w:val="auto"/>
          <w:sz w:val="24"/>
          <w:szCs w:val="24"/>
          <w:highlight w:val="none"/>
        </w:rPr>
        <w:t>养护</w:t>
      </w:r>
      <w:r>
        <w:rPr>
          <w:rFonts w:ascii="Calibri" w:hAnsi="Calibri" w:eastAsia="宋体" w:cs="Times New Roman"/>
          <w:bCs/>
          <w:color w:val="auto"/>
          <w:sz w:val="24"/>
          <w:szCs w:val="24"/>
          <w:highlight w:val="none"/>
        </w:rPr>
        <w:t>工程工程量清单计价规范”</w:t>
      </w:r>
      <w:r>
        <w:rPr>
          <w:rFonts w:ascii="Calibri" w:hAnsi="Calibri" w:eastAsia="宋体" w:cs="Times New Roman"/>
          <w:color w:val="auto"/>
          <w:sz w:val="24"/>
          <w:szCs w:val="24"/>
          <w:highlight w:val="none"/>
        </w:rPr>
        <w:t>的相应细目号相衔接。因此，工程量清单中各章工程子目的范围与计量等应与“技术规范”及</w:t>
      </w:r>
      <w:r>
        <w:rPr>
          <w:rFonts w:ascii="Calibri" w:hAnsi="Calibri" w:eastAsia="宋体" w:cs="Times New Roman"/>
          <w:bCs/>
          <w:color w:val="auto"/>
          <w:sz w:val="24"/>
          <w:szCs w:val="24"/>
          <w:highlight w:val="none"/>
        </w:rPr>
        <w:t>“公路</w:t>
      </w:r>
      <w:r>
        <w:rPr>
          <w:rFonts w:hint="eastAsia" w:ascii="Calibri" w:hAnsi="Calibri" w:eastAsia="宋体" w:cs="Times New Roman"/>
          <w:bCs/>
          <w:color w:val="auto"/>
          <w:sz w:val="24"/>
          <w:szCs w:val="24"/>
          <w:highlight w:val="none"/>
        </w:rPr>
        <w:t>养护</w:t>
      </w:r>
      <w:r>
        <w:rPr>
          <w:rFonts w:ascii="Calibri" w:hAnsi="Calibri" w:eastAsia="宋体" w:cs="Times New Roman"/>
          <w:bCs/>
          <w:color w:val="auto"/>
          <w:sz w:val="24"/>
          <w:szCs w:val="24"/>
          <w:highlight w:val="none"/>
        </w:rPr>
        <w:t>工程工程量清单计价规范”</w:t>
      </w:r>
      <w:r>
        <w:rPr>
          <w:rFonts w:ascii="Calibri" w:hAnsi="Calibri" w:eastAsia="宋体" w:cs="Times New Roman"/>
          <w:color w:val="auto"/>
          <w:sz w:val="24"/>
          <w:szCs w:val="24"/>
          <w:highlight w:val="none"/>
        </w:rPr>
        <w:t>的相应细目的范围、计量与支付条款结合起来理解或解释。</w:t>
      </w:r>
    </w:p>
    <w:p w14:paraId="357162F9">
      <w:pPr>
        <w:spacing w:line="420" w:lineRule="exact"/>
        <w:ind w:firstLine="480" w:firstLineChars="200"/>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1.5  对作业和材料的一般说明或规定，未重复写入工程量清单内，在给工程量清单各子目标价前，应参阅第七章“技术规范”的有关内容。</w:t>
      </w:r>
    </w:p>
    <w:p w14:paraId="5F507923">
      <w:pPr>
        <w:spacing w:line="420" w:lineRule="exact"/>
        <w:ind w:firstLine="480" w:firstLineChars="200"/>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1.6  工程量清单中所列工程量的变动，丝毫不会降低或影响合同条款的效力，也不免除承包人按规定的标准进行施工和修复缺陷的责任。</w:t>
      </w:r>
    </w:p>
    <w:p w14:paraId="4E029C75">
      <w:pPr>
        <w:pStyle w:val="60"/>
        <w:spacing w:line="440" w:lineRule="exact"/>
        <w:ind w:firstLine="480" w:firstLineChars="200"/>
        <w:rPr>
          <w:rFonts w:hint="eastAsia" w:ascii="宋体" w:hAnsi="宋体"/>
          <w:color w:val="auto"/>
          <w:sz w:val="24"/>
          <w:szCs w:val="24"/>
          <w:highlight w:val="none"/>
        </w:rPr>
      </w:pPr>
      <w:r>
        <w:rPr>
          <w:rFonts w:ascii="Calibri" w:hAnsi="Calibri" w:eastAsia="宋体" w:cs="Times New Roman"/>
          <w:color w:val="auto"/>
          <w:sz w:val="24"/>
          <w:szCs w:val="24"/>
          <w:highlight w:val="none"/>
        </w:rPr>
        <w:t>1.7  图纸中所列的工程数量表及数量汇总表仅是提供资料，不是工程量清单的外延。当图纸与工程量清单所列数量不一致时，以工程量清单所列数量作为报价的依据。</w:t>
      </w:r>
    </w:p>
    <w:p w14:paraId="5ED8BCC1">
      <w:pPr>
        <w:pStyle w:val="60"/>
        <w:keepNext w:val="0"/>
        <w:keepLines w:val="0"/>
        <w:pageBreakBefore w:val="0"/>
        <w:widowControl w:val="0"/>
        <w:kinsoku/>
        <w:wordWrap/>
        <w:overflowPunct/>
        <w:topLinePunct w:val="0"/>
        <w:autoSpaceDE/>
        <w:autoSpaceDN/>
        <w:bidi w:val="0"/>
        <w:adjustRightInd/>
        <w:snapToGrid/>
        <w:spacing w:line="440" w:lineRule="exact"/>
        <w:textAlignment w:val="auto"/>
        <w:outlineLvl w:val="2"/>
        <w:rPr>
          <w:rFonts w:hint="eastAsia" w:ascii="黑体" w:hAnsi="宋体" w:eastAsia="黑体"/>
          <w:color w:val="auto"/>
          <w:sz w:val="24"/>
          <w:szCs w:val="24"/>
          <w:highlight w:val="none"/>
        </w:rPr>
      </w:pPr>
      <w:bookmarkStart w:id="743" w:name="_Toc28517"/>
    </w:p>
    <w:p w14:paraId="2754967A">
      <w:pPr>
        <w:pStyle w:val="60"/>
        <w:keepNext w:val="0"/>
        <w:keepLines w:val="0"/>
        <w:pageBreakBefore w:val="0"/>
        <w:widowControl w:val="0"/>
        <w:kinsoku/>
        <w:wordWrap/>
        <w:overflowPunct/>
        <w:topLinePunct w:val="0"/>
        <w:autoSpaceDE/>
        <w:autoSpaceDN/>
        <w:bidi w:val="0"/>
        <w:adjustRightInd/>
        <w:snapToGrid/>
        <w:spacing w:line="440" w:lineRule="exact"/>
        <w:textAlignment w:val="auto"/>
        <w:outlineLvl w:val="2"/>
        <w:rPr>
          <w:rFonts w:hint="eastAsia" w:ascii="黑体" w:hAnsi="宋体" w:eastAsia="黑体"/>
          <w:color w:val="auto"/>
          <w:sz w:val="24"/>
          <w:szCs w:val="24"/>
          <w:highlight w:val="none"/>
        </w:rPr>
      </w:pPr>
      <w:r>
        <w:rPr>
          <w:rFonts w:hint="eastAsia" w:ascii="黑体" w:hAnsi="宋体" w:eastAsia="黑体"/>
          <w:color w:val="auto"/>
          <w:sz w:val="24"/>
          <w:szCs w:val="24"/>
          <w:highlight w:val="none"/>
        </w:rPr>
        <w:t>2．投标报价说明</w:t>
      </w:r>
      <w:bookmarkEnd w:id="743"/>
    </w:p>
    <w:p w14:paraId="3E3B57C6">
      <w:pPr>
        <w:spacing w:line="420" w:lineRule="exact"/>
        <w:ind w:firstLine="480" w:firstLineChars="200"/>
        <w:jc w:val="left"/>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lang w:val="en-US" w:eastAsia="zh-CN"/>
        </w:rPr>
        <w:t xml:space="preserve">2.1建筑工程一切险的保险金额为工程量清单第100章（不含工程一切险、安全生产责任险和安全生产费）至900章的合计金额，保险费率按 3‰计。 </w:t>
      </w:r>
    </w:p>
    <w:p w14:paraId="6B15F2B6">
      <w:pPr>
        <w:spacing w:line="420" w:lineRule="exact"/>
        <w:ind w:firstLine="480" w:firstLineChars="200"/>
        <w:jc w:val="left"/>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lang w:val="en-US" w:eastAsia="zh-CN"/>
        </w:rPr>
        <w:t>2.2 安全生产责任险的保险金额为工程量清单第100章（不含安全生产费、建筑工程一切险及安全生产责任险的保险费）至900章的合计金额，保险费率暂按 2.5‰计。</w:t>
      </w:r>
    </w:p>
    <w:p w14:paraId="05D24127">
      <w:pPr>
        <w:spacing w:line="420" w:lineRule="exact"/>
        <w:ind w:firstLine="480" w:firstLineChars="200"/>
        <w:jc w:val="left"/>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lang w:val="en-US" w:eastAsia="zh-CN"/>
        </w:rPr>
        <w:t xml:space="preserve">2.3 承包人驻地建设由建设单位提供部分办公场所，投标人报价时应综合考虑。 </w:t>
      </w:r>
    </w:p>
    <w:p w14:paraId="38ACA4DB">
      <w:pPr>
        <w:spacing w:line="420" w:lineRule="exact"/>
        <w:ind w:firstLine="480" w:firstLineChars="200"/>
        <w:jc w:val="left"/>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lang w:val="en-US" w:eastAsia="zh-CN"/>
        </w:rPr>
        <w:t xml:space="preserve">2.4 </w:t>
      </w:r>
      <w:r>
        <w:rPr>
          <w:rFonts w:hint="eastAsia" w:ascii="Calibri" w:hAnsi="Calibri" w:eastAsia="宋体" w:cs="Times New Roman"/>
          <w:b/>
          <w:bCs/>
          <w:color w:val="auto"/>
          <w:sz w:val="24"/>
          <w:szCs w:val="24"/>
          <w:highlight w:val="none"/>
          <w:lang w:val="en-US" w:eastAsia="zh-CN"/>
        </w:rPr>
        <w:t>安全生产费应金额不得低于337546元</w:t>
      </w:r>
      <w:r>
        <w:rPr>
          <w:rFonts w:hint="eastAsia" w:ascii="Calibri" w:hAnsi="Calibri" w:eastAsia="宋体" w:cs="Times New Roman"/>
          <w:color w:val="auto"/>
          <w:sz w:val="24"/>
          <w:szCs w:val="24"/>
          <w:highlight w:val="none"/>
          <w:lang w:val="en-US" w:eastAsia="zh-CN"/>
        </w:rPr>
        <w:t xml:space="preserve">。 </w:t>
      </w:r>
    </w:p>
    <w:p w14:paraId="1D4C3002">
      <w:pPr>
        <w:shd w:val="clear" w:color="auto" w:fill="auto"/>
        <w:spacing w:line="420" w:lineRule="exact"/>
        <w:ind w:firstLine="480" w:firstLineChars="200"/>
        <w:jc w:val="left"/>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lang w:val="en-US" w:eastAsia="zh-CN"/>
        </w:rPr>
        <w:t>2.5 在发中标通知书之前，招标人有权对中标人投标文件中的明显不平衡报价的子目单价，在投标总报价不变的前提下，协商调整至双方认可的合理范围。投标人未按规定的计费基数或费率计取建筑工程一切险、安全生产责任险、安全生产费的，不作为否决投标的理由，按不平衡报价进行处理。</w:t>
      </w:r>
    </w:p>
    <w:p w14:paraId="7E09B3E9">
      <w:pPr>
        <w:spacing w:line="420" w:lineRule="exact"/>
        <w:ind w:firstLine="480" w:firstLineChars="200"/>
        <w:jc w:val="left"/>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lang w:val="en-US" w:eastAsia="zh-CN"/>
        </w:rPr>
        <w:t xml:space="preserve">2.6 如因中标人原因修改了招标人提供的工程量清单中任何一项支付子目的工程量，导致引起清单计算总额价与合同总额价的差异，则在该清单支付子目合价不变的前提下，调整响应的单价，由此造成的损失由中标人承担，调整后的单价作为最终结算单价。 </w:t>
      </w:r>
    </w:p>
    <w:p w14:paraId="29FDF880">
      <w:pPr>
        <w:spacing w:line="420" w:lineRule="exact"/>
        <w:ind w:firstLine="480" w:firstLineChars="200"/>
        <w:jc w:val="left"/>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lang w:val="en-US" w:eastAsia="zh-CN"/>
        </w:rPr>
        <w:t xml:space="preserve">2.7 本工程护栏、沥青混凝土、电缆、金属制品、设备等拆除后的残值归承包人所有，投标人应综合报价。残值费用在报价中综合考虑。 </w:t>
      </w:r>
    </w:p>
    <w:p w14:paraId="48127663">
      <w:pPr>
        <w:spacing w:line="420" w:lineRule="exact"/>
        <w:ind w:firstLine="480" w:firstLineChars="200"/>
        <w:jc w:val="left"/>
        <w:rPr>
          <w:rFonts w:hint="eastAsia" w:ascii="Calibri" w:hAnsi="Calibri" w:eastAsia="宋体" w:cs="Times New Roman"/>
          <w:color w:val="auto"/>
          <w:sz w:val="24"/>
          <w:szCs w:val="24"/>
          <w:highlight w:val="none"/>
          <w:lang w:val="en-US" w:eastAsia="zh-CN"/>
        </w:rPr>
      </w:pPr>
      <w:r>
        <w:rPr>
          <w:rFonts w:hint="eastAsia" w:ascii="Calibri" w:hAnsi="Calibri" w:eastAsia="宋体" w:cs="Times New Roman"/>
          <w:color w:val="auto"/>
          <w:sz w:val="24"/>
          <w:szCs w:val="24"/>
          <w:highlight w:val="none"/>
          <w:lang w:val="en-US" w:eastAsia="zh-CN"/>
        </w:rPr>
        <w:t xml:space="preserve">2.8 所涉清单子目均已包含维修所需要的拆除弃置费用，除单列子目外不另行计量。 </w:t>
      </w:r>
    </w:p>
    <w:p w14:paraId="64C3CF28">
      <w:pPr>
        <w:spacing w:line="420" w:lineRule="exact"/>
        <w:ind w:firstLine="480" w:firstLineChars="200"/>
        <w:jc w:val="left"/>
        <w:rPr>
          <w:rFonts w:hint="eastAsia" w:ascii="Calibri" w:hAnsi="Calibri" w:eastAsia="宋体" w:cs="Times New Roman"/>
          <w:color w:val="auto"/>
          <w:sz w:val="24"/>
          <w:szCs w:val="24"/>
          <w:highlight w:val="none"/>
          <w:lang w:val="en-US" w:eastAsia="zh-CN"/>
        </w:rPr>
      </w:pPr>
      <w:r>
        <w:rPr>
          <w:rFonts w:hint="eastAsia" w:ascii="Calibri" w:hAnsi="Calibri" w:eastAsia="宋体" w:cs="Times New Roman"/>
          <w:color w:val="auto"/>
          <w:sz w:val="24"/>
          <w:szCs w:val="24"/>
          <w:highlight w:val="none"/>
          <w:lang w:val="en-US" w:eastAsia="zh-CN"/>
        </w:rPr>
        <w:t>2.9封道费用包含在投标报价中，不另行计量。</w:t>
      </w:r>
    </w:p>
    <w:p w14:paraId="5858DBCD">
      <w:pPr>
        <w:spacing w:line="420" w:lineRule="exact"/>
        <w:ind w:firstLine="480" w:firstLineChars="200"/>
        <w:jc w:val="left"/>
        <w:rPr>
          <w:rFonts w:hint="default" w:ascii="Calibri" w:hAnsi="Calibri" w:eastAsia="宋体" w:cs="Times New Roman"/>
          <w:color w:val="auto"/>
          <w:sz w:val="24"/>
          <w:szCs w:val="24"/>
          <w:highlight w:val="none"/>
          <w:lang w:val="en-US" w:eastAsia="zh-CN"/>
        </w:rPr>
      </w:pPr>
      <w:r>
        <w:rPr>
          <w:rFonts w:hint="eastAsia" w:ascii="Calibri" w:hAnsi="Calibri" w:eastAsia="宋体" w:cs="Times New Roman"/>
          <w:color w:val="auto"/>
          <w:sz w:val="24"/>
          <w:szCs w:val="24"/>
          <w:highlight w:val="none"/>
          <w:lang w:val="en-US" w:eastAsia="zh-CN"/>
        </w:rPr>
        <w:t>2.10 措施费用及附件等包含在单价中不另行计量。</w:t>
      </w:r>
    </w:p>
    <w:p w14:paraId="4D35DD56">
      <w:pPr>
        <w:spacing w:line="420" w:lineRule="exact"/>
        <w:ind w:firstLine="480" w:firstLineChars="200"/>
        <w:jc w:val="left"/>
        <w:rPr>
          <w:rFonts w:hint="eastAsia" w:ascii="Calibri" w:hAnsi="Calibri" w:eastAsia="宋体" w:cs="Times New Roman"/>
          <w:color w:val="auto"/>
          <w:sz w:val="24"/>
          <w:szCs w:val="24"/>
          <w:highlight w:val="none"/>
          <w:lang w:val="en-US" w:eastAsia="zh-CN"/>
        </w:rPr>
      </w:pPr>
      <w:r>
        <w:rPr>
          <w:rFonts w:hint="eastAsia" w:ascii="Calibri" w:hAnsi="Calibri" w:eastAsia="宋体" w:cs="Times New Roman"/>
          <w:color w:val="auto"/>
          <w:sz w:val="24"/>
          <w:szCs w:val="24"/>
          <w:highlight w:val="none"/>
          <w:lang w:val="en-US" w:eastAsia="zh-CN"/>
        </w:rPr>
        <w:t xml:space="preserve">2.10 </w:t>
      </w:r>
      <w:r>
        <w:rPr>
          <w:rFonts w:hint="eastAsia" w:ascii="Calibri" w:hAnsi="Calibri" w:eastAsia="宋体" w:cs="Times New Roman"/>
          <w:b/>
          <w:bCs/>
          <w:color w:val="auto"/>
          <w:sz w:val="24"/>
          <w:szCs w:val="24"/>
          <w:highlight w:val="none"/>
          <w:lang w:val="en-US" w:eastAsia="zh-CN"/>
        </w:rPr>
        <w:t>专项检测费（暂估价）200000元，投标人不得调整</w:t>
      </w:r>
      <w:r>
        <w:rPr>
          <w:rFonts w:hint="eastAsia" w:ascii="Calibri" w:hAnsi="Calibri" w:eastAsia="宋体" w:cs="Times New Roman"/>
          <w:color w:val="auto"/>
          <w:sz w:val="24"/>
          <w:szCs w:val="24"/>
          <w:highlight w:val="none"/>
          <w:lang w:val="en-US" w:eastAsia="zh-CN"/>
        </w:rPr>
        <w:t>。</w:t>
      </w:r>
    </w:p>
    <w:p w14:paraId="3C5A5DFD">
      <w:pPr>
        <w:pStyle w:val="60"/>
        <w:spacing w:line="440" w:lineRule="exact"/>
        <w:ind w:firstLine="480" w:firstLineChars="200"/>
        <w:rPr>
          <w:rFonts w:hint="eastAsia"/>
          <w:color w:val="auto"/>
          <w:sz w:val="24"/>
          <w:szCs w:val="24"/>
          <w:highlight w:val="none"/>
        </w:rPr>
      </w:pPr>
      <w:r>
        <w:rPr>
          <w:rFonts w:hint="eastAsia" w:ascii="Calibri" w:hAnsi="Calibri" w:eastAsia="宋体" w:cs="Times New Roman"/>
          <w:color w:val="auto"/>
          <w:sz w:val="24"/>
          <w:szCs w:val="24"/>
          <w:highlight w:val="none"/>
          <w:lang w:val="en-US" w:eastAsia="zh-CN"/>
        </w:rPr>
        <w:t xml:space="preserve">2.11 </w:t>
      </w:r>
      <w:r>
        <w:rPr>
          <w:rFonts w:ascii="Calibri" w:hAnsi="Calibri" w:eastAsia="宋体" w:cs="Times New Roman"/>
          <w:b/>
          <w:bCs/>
          <w:color w:val="auto"/>
          <w:sz w:val="24"/>
          <w:szCs w:val="24"/>
          <w:highlight w:val="none"/>
        </w:rPr>
        <w:t>本项目的暂列金额</w:t>
      </w:r>
      <w:r>
        <w:rPr>
          <w:rFonts w:hint="eastAsia" w:ascii="Calibri" w:hAnsi="Calibri" w:eastAsia="宋体" w:cs="Times New Roman"/>
          <w:b/>
          <w:bCs/>
          <w:color w:val="auto"/>
          <w:sz w:val="24"/>
          <w:szCs w:val="24"/>
          <w:highlight w:val="none"/>
          <w:lang w:val="en-US" w:eastAsia="zh-CN"/>
        </w:rPr>
        <w:t>471151元</w:t>
      </w:r>
      <w:r>
        <w:rPr>
          <w:rFonts w:hint="eastAsia" w:ascii="Calibri" w:hAnsi="Calibri" w:eastAsia="宋体" w:cs="Times New Roman"/>
          <w:b/>
          <w:bCs/>
          <w:color w:val="auto"/>
          <w:sz w:val="24"/>
          <w:szCs w:val="24"/>
          <w:highlight w:val="none"/>
          <w:lang w:val="en-US" w:eastAsia="zh-CN"/>
        </w:rPr>
        <w:t>，投标人不得调整</w:t>
      </w:r>
      <w:r>
        <w:rPr>
          <w:rFonts w:ascii="Calibri" w:hAnsi="Calibri" w:eastAsia="宋体" w:cs="Times New Roman"/>
          <w:color w:val="auto"/>
          <w:sz w:val="24"/>
          <w:szCs w:val="24"/>
          <w:highlight w:val="none"/>
        </w:rPr>
        <w:t>，除合同另有规定外，应由监理人按合同条款规定，结合工程具体情况，报发包人批准后指令全部或部分地使用或者根本不予动用</w:t>
      </w:r>
      <w:r>
        <w:rPr>
          <w:rFonts w:hint="eastAsia" w:ascii="Calibri" w:hAnsi="Calibri" w:eastAsia="宋体" w:cs="Times New Roman"/>
          <w:color w:val="auto"/>
          <w:sz w:val="24"/>
          <w:szCs w:val="24"/>
          <w:highlight w:val="none"/>
          <w:lang w:val="en-US" w:eastAsia="zh-CN"/>
        </w:rPr>
        <w:t>。</w:t>
      </w:r>
    </w:p>
    <w:p w14:paraId="78DBD88B">
      <w:pPr>
        <w:pStyle w:val="60"/>
        <w:keepNext w:val="0"/>
        <w:keepLines w:val="0"/>
        <w:pageBreakBefore w:val="0"/>
        <w:widowControl w:val="0"/>
        <w:kinsoku/>
        <w:wordWrap/>
        <w:overflowPunct/>
        <w:topLinePunct w:val="0"/>
        <w:autoSpaceDE/>
        <w:autoSpaceDN/>
        <w:bidi w:val="0"/>
        <w:adjustRightInd/>
        <w:snapToGrid/>
        <w:spacing w:line="440" w:lineRule="exact"/>
        <w:textAlignment w:val="auto"/>
        <w:outlineLvl w:val="2"/>
        <w:rPr>
          <w:rFonts w:hint="eastAsia" w:ascii="黑体" w:hAnsi="宋体" w:eastAsia="黑体"/>
          <w:color w:val="auto"/>
          <w:sz w:val="24"/>
          <w:szCs w:val="24"/>
          <w:highlight w:val="none"/>
        </w:rPr>
      </w:pPr>
      <w:bookmarkStart w:id="744" w:name="_Toc7439"/>
      <w:r>
        <w:rPr>
          <w:rFonts w:hint="eastAsia" w:ascii="黑体" w:hAnsi="宋体" w:eastAsia="黑体"/>
          <w:color w:val="auto"/>
          <w:sz w:val="24"/>
          <w:szCs w:val="24"/>
          <w:highlight w:val="none"/>
        </w:rPr>
        <w:t>3．其</w:t>
      </w:r>
      <w:r>
        <w:rPr>
          <w:rFonts w:hint="eastAsia" w:ascii="黑体" w:hAnsi="宋体" w:eastAsia="黑体"/>
          <w:color w:val="auto"/>
          <w:sz w:val="24"/>
          <w:szCs w:val="24"/>
          <w:highlight w:val="none"/>
          <w:lang w:val="en-US" w:eastAsia="zh-CN"/>
        </w:rPr>
        <w:t>它</w:t>
      </w:r>
      <w:r>
        <w:rPr>
          <w:rFonts w:hint="eastAsia" w:ascii="黑体" w:hAnsi="宋体" w:eastAsia="黑体"/>
          <w:color w:val="auto"/>
          <w:sz w:val="24"/>
          <w:szCs w:val="24"/>
          <w:highlight w:val="none"/>
        </w:rPr>
        <w:t>说明</w:t>
      </w:r>
      <w:bookmarkEnd w:id="744"/>
    </w:p>
    <w:p w14:paraId="751DECD8">
      <w:pPr>
        <w:pStyle w:val="61"/>
        <w:spacing w:line="440" w:lineRule="exact"/>
        <w:ind w:firstLine="420" w:firstLineChars="200"/>
        <w:rPr>
          <w:rFonts w:hint="default" w:ascii="宋体" w:hAnsi="宋体" w:eastAsia="宋体" w:cs="Times New Roman"/>
          <w:color w:val="auto"/>
          <w:kern w:val="2"/>
          <w:sz w:val="21"/>
          <w:szCs w:val="22"/>
          <w:highlight w:val="none"/>
          <w:u w:val="single"/>
          <w:lang w:val="en-US" w:eastAsia="zh-CN" w:bidi="ar-SA"/>
        </w:rPr>
      </w:pPr>
      <w:r>
        <w:rPr>
          <w:rFonts w:hint="eastAsia" w:ascii="宋体" w:hAnsi="宋体" w:cs="Times New Roman"/>
          <w:color w:val="auto"/>
          <w:kern w:val="2"/>
          <w:sz w:val="21"/>
          <w:szCs w:val="22"/>
          <w:highlight w:val="none"/>
          <w:u w:val="single"/>
          <w:lang w:val="en-US" w:eastAsia="zh-CN" w:bidi="ar-SA"/>
        </w:rPr>
        <w:t xml:space="preserve">    /    </w:t>
      </w:r>
    </w:p>
    <w:p w14:paraId="7B6CC053">
      <w:pPr>
        <w:pStyle w:val="57"/>
        <w:spacing w:line="420" w:lineRule="exact"/>
        <w:ind w:firstLine="420" w:firstLineChars="200"/>
        <w:rPr>
          <w:rFonts w:ascii="宋体" w:hAnsi="宋体" w:cs="宋体"/>
          <w:color w:val="auto"/>
          <w:szCs w:val="21"/>
          <w:highlight w:val="none"/>
        </w:rPr>
      </w:pPr>
    </w:p>
    <w:p w14:paraId="4CB2A0EB">
      <w:pPr>
        <w:pStyle w:val="61"/>
        <w:keepNext w:val="0"/>
        <w:keepLines w:val="0"/>
        <w:pageBreakBefore w:val="0"/>
        <w:widowControl w:val="0"/>
        <w:kinsoku/>
        <w:wordWrap/>
        <w:overflowPunct/>
        <w:topLinePunct w:val="0"/>
        <w:autoSpaceDE/>
        <w:autoSpaceDN/>
        <w:bidi w:val="0"/>
        <w:adjustRightInd/>
        <w:snapToGrid/>
        <w:spacing w:line="400" w:lineRule="exact"/>
        <w:textAlignment w:val="auto"/>
        <w:outlineLvl w:val="2"/>
        <w:rPr>
          <w:rFonts w:hint="eastAsia" w:ascii="黑体" w:hAnsi="黑体" w:eastAsia="黑体" w:cs="黑体"/>
          <w:b/>
          <w:bCs/>
          <w:color w:val="auto"/>
          <w:sz w:val="24"/>
          <w:szCs w:val="24"/>
          <w:highlight w:val="none"/>
        </w:rPr>
      </w:pPr>
      <w:r>
        <w:rPr>
          <w:rFonts w:hint="eastAsia" w:ascii="宋体" w:hAnsi="宋体"/>
          <w:color w:val="auto"/>
          <w:highlight w:val="none"/>
        </w:rPr>
        <w:br w:type="page"/>
      </w:r>
      <w:bookmarkStart w:id="745" w:name="_Toc7641"/>
      <w:r>
        <w:rPr>
          <w:rFonts w:hint="eastAsia" w:ascii="黑体" w:hAnsi="黑体" w:eastAsia="黑体" w:cs="黑体"/>
          <w:b/>
          <w:bCs/>
          <w:color w:val="auto"/>
          <w:sz w:val="24"/>
          <w:szCs w:val="24"/>
          <w:highlight w:val="none"/>
          <w:lang w:val="en-US" w:eastAsia="zh-CN"/>
        </w:rPr>
        <w:t>4</w:t>
      </w:r>
      <w:r>
        <w:rPr>
          <w:rFonts w:hint="eastAsia" w:ascii="黑体" w:hAnsi="黑体" w:eastAsia="黑体" w:cs="黑体"/>
          <w:b/>
          <w:bCs/>
          <w:color w:val="auto"/>
          <w:sz w:val="24"/>
          <w:szCs w:val="24"/>
          <w:highlight w:val="none"/>
        </w:rPr>
        <w:t>. 工程量清单</w:t>
      </w:r>
      <w:bookmarkEnd w:id="745"/>
    </w:p>
    <w:p w14:paraId="15C7A71D">
      <w:pPr>
        <w:pStyle w:val="60"/>
        <w:spacing w:line="600" w:lineRule="exact"/>
        <w:rPr>
          <w:rFonts w:hint="eastAsia" w:ascii="黑体" w:eastAsia="黑体"/>
          <w:color w:val="auto"/>
          <w:sz w:val="24"/>
          <w:szCs w:val="24"/>
          <w:highlight w:val="none"/>
        </w:rPr>
      </w:pP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.1 工程量清单表</w:t>
      </w:r>
    </w:p>
    <w:tbl>
      <w:tblPr>
        <w:tblStyle w:val="23"/>
        <w:tblW w:w="96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00"/>
        <w:gridCol w:w="2460"/>
        <w:gridCol w:w="1600"/>
        <w:gridCol w:w="1000"/>
        <w:gridCol w:w="800"/>
        <w:gridCol w:w="400"/>
        <w:gridCol w:w="600"/>
        <w:gridCol w:w="600"/>
        <w:gridCol w:w="400"/>
        <w:gridCol w:w="800"/>
      </w:tblGrid>
      <w:tr w14:paraId="48F2A9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9660" w:type="dxa"/>
            <w:gridSpan w:val="10"/>
            <w:tcBorders>
              <w:top w:val="nil"/>
              <w:left w:val="nil"/>
              <w:bottom w:val="nil"/>
              <w:right w:val="nil"/>
            </w:tcBorders>
            <w:shd w:val="clear" w:color="auto" w:fill="FFFFFF"/>
            <w:vAlign w:val="top"/>
          </w:tcPr>
          <w:p w14:paraId="511A80D2">
            <w:pPr>
              <w:keepNext w:val="0"/>
              <w:keepLines w:val="0"/>
              <w:widowControl/>
              <w:suppressLineNumbers w:val="0"/>
              <w:jc w:val="center"/>
              <w:textAlignment w:val="top"/>
              <w:rPr>
                <w:rFonts w:hint="eastAsia" w:ascii="宋体" w:hAnsi="宋体" w:eastAsia="宋体" w:cs="宋体"/>
                <w:b/>
                <w:bCs/>
                <w:i w:val="0"/>
                <w:iCs w:val="0"/>
                <w:color w:val="auto"/>
                <w:sz w:val="36"/>
                <w:szCs w:val="36"/>
                <w:highlight w:val="none"/>
                <w:u w:val="none"/>
              </w:rPr>
            </w:pPr>
            <w:r>
              <w:rPr>
                <w:rFonts w:hint="eastAsia" w:ascii="宋体" w:hAnsi="宋体" w:eastAsia="宋体" w:cs="宋体"/>
                <w:b/>
                <w:bCs/>
                <w:i w:val="0"/>
                <w:iCs w:val="0"/>
                <w:color w:val="auto"/>
                <w:kern w:val="0"/>
                <w:sz w:val="36"/>
                <w:szCs w:val="36"/>
                <w:highlight w:val="none"/>
                <w:u w:val="none"/>
                <w:lang w:val="en-US" w:eastAsia="zh-CN" w:bidi="ar"/>
              </w:rPr>
              <w:t>工程细目工程量清单</w:t>
            </w:r>
          </w:p>
        </w:tc>
      </w:tr>
      <w:tr w14:paraId="7B3F53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9660" w:type="dxa"/>
            <w:gridSpan w:val="10"/>
            <w:tcBorders>
              <w:top w:val="nil"/>
              <w:left w:val="nil"/>
              <w:bottom w:val="nil"/>
              <w:right w:val="nil"/>
            </w:tcBorders>
            <w:shd w:val="clear" w:color="auto" w:fill="FFFFFF"/>
            <w:vAlign w:val="center"/>
          </w:tcPr>
          <w:p w14:paraId="4E77D705">
            <w:pPr>
              <w:jc w:val="right"/>
              <w:rPr>
                <w:rFonts w:hint="eastAsia" w:ascii="宋体" w:hAnsi="宋体" w:eastAsia="宋体" w:cs="宋体"/>
                <w:i w:val="0"/>
                <w:iCs w:val="0"/>
                <w:color w:val="auto"/>
                <w:sz w:val="18"/>
                <w:szCs w:val="18"/>
                <w:highlight w:val="none"/>
                <w:u w:val="none"/>
              </w:rPr>
            </w:pPr>
          </w:p>
        </w:tc>
      </w:tr>
      <w:tr w14:paraId="4EA6CD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jc w:val="center"/>
        </w:trPr>
        <w:tc>
          <w:tcPr>
            <w:tcW w:w="3460" w:type="dxa"/>
            <w:gridSpan w:val="2"/>
            <w:tcBorders>
              <w:top w:val="nil"/>
              <w:left w:val="nil"/>
              <w:bottom w:val="nil"/>
              <w:right w:val="nil"/>
            </w:tcBorders>
            <w:shd w:val="clear" w:color="auto" w:fill="FFFFFF"/>
            <w:vAlign w:val="center"/>
          </w:tcPr>
          <w:p w14:paraId="7B9C810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项目名称：2026年新昌县G104京岚线关岭隧道上行维修加固工程</w:t>
            </w:r>
          </w:p>
        </w:tc>
        <w:tc>
          <w:tcPr>
            <w:tcW w:w="3400" w:type="dxa"/>
            <w:gridSpan w:val="3"/>
            <w:tcBorders>
              <w:top w:val="nil"/>
              <w:left w:val="nil"/>
              <w:bottom w:val="nil"/>
              <w:right w:val="nil"/>
            </w:tcBorders>
            <w:shd w:val="clear" w:color="auto" w:fill="FFFFFF"/>
            <w:vAlign w:val="center"/>
          </w:tcPr>
          <w:p w14:paraId="229C84A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合同段：2026年新昌县G104京岚线关岭隧道上行维修加固工程</w:t>
            </w:r>
          </w:p>
        </w:tc>
        <w:tc>
          <w:tcPr>
            <w:tcW w:w="1000" w:type="dxa"/>
            <w:gridSpan w:val="2"/>
            <w:tcBorders>
              <w:top w:val="nil"/>
              <w:left w:val="nil"/>
              <w:bottom w:val="nil"/>
              <w:right w:val="nil"/>
            </w:tcBorders>
            <w:shd w:val="clear" w:color="auto" w:fill="FFFFFF"/>
            <w:vAlign w:val="center"/>
          </w:tcPr>
          <w:p w14:paraId="4D21B0DB">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第 1 页</w:t>
            </w:r>
          </w:p>
        </w:tc>
        <w:tc>
          <w:tcPr>
            <w:tcW w:w="1000" w:type="dxa"/>
            <w:gridSpan w:val="2"/>
            <w:tcBorders>
              <w:top w:val="nil"/>
              <w:left w:val="nil"/>
              <w:bottom w:val="nil"/>
              <w:right w:val="nil"/>
            </w:tcBorders>
            <w:shd w:val="clear" w:color="auto" w:fill="FFFFFF"/>
            <w:vAlign w:val="center"/>
          </w:tcPr>
          <w:p w14:paraId="3F7DF83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共 11 页</w:t>
            </w:r>
          </w:p>
        </w:tc>
        <w:tc>
          <w:tcPr>
            <w:tcW w:w="800" w:type="dxa"/>
            <w:tcBorders>
              <w:top w:val="nil"/>
              <w:left w:val="nil"/>
              <w:bottom w:val="nil"/>
              <w:right w:val="nil"/>
            </w:tcBorders>
            <w:shd w:val="clear" w:color="auto" w:fill="FFFFFF"/>
            <w:vAlign w:val="center"/>
          </w:tcPr>
          <w:p w14:paraId="3C9559F3">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表4</w:t>
            </w:r>
          </w:p>
        </w:tc>
      </w:tr>
      <w:tr w14:paraId="16C664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9660" w:type="dxa"/>
            <w:gridSpan w:val="10"/>
            <w:tcBorders>
              <w:top w:val="single" w:color="000000" w:sz="8" w:space="0"/>
              <w:left w:val="single" w:color="000000" w:sz="8" w:space="0"/>
              <w:bottom w:val="single" w:color="000000" w:sz="4" w:space="0"/>
              <w:right w:val="single" w:color="000000" w:sz="8" w:space="0"/>
            </w:tcBorders>
            <w:shd w:val="clear" w:color="auto" w:fill="FFFFFF"/>
            <w:vAlign w:val="center"/>
          </w:tcPr>
          <w:p w14:paraId="54205462">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总则</w:t>
            </w:r>
          </w:p>
        </w:tc>
      </w:tr>
      <w:tr w14:paraId="282BD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3C9A3365">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细目号</w:t>
            </w:r>
          </w:p>
        </w:tc>
        <w:tc>
          <w:tcPr>
            <w:tcW w:w="4060" w:type="dxa"/>
            <w:gridSpan w:val="2"/>
            <w:tcBorders>
              <w:top w:val="nil"/>
              <w:left w:val="nil"/>
              <w:bottom w:val="single" w:color="000000" w:sz="4" w:space="0"/>
              <w:right w:val="single" w:color="000000" w:sz="4" w:space="0"/>
            </w:tcBorders>
            <w:shd w:val="clear" w:color="auto" w:fill="FFFFFF"/>
            <w:vAlign w:val="center"/>
          </w:tcPr>
          <w:p w14:paraId="4C165EBB">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细目名称</w:t>
            </w:r>
          </w:p>
        </w:tc>
        <w:tc>
          <w:tcPr>
            <w:tcW w:w="1000" w:type="dxa"/>
            <w:tcBorders>
              <w:top w:val="nil"/>
              <w:left w:val="nil"/>
              <w:bottom w:val="single" w:color="000000" w:sz="4" w:space="0"/>
              <w:right w:val="single" w:color="000000" w:sz="4" w:space="0"/>
            </w:tcBorders>
            <w:shd w:val="clear" w:color="auto" w:fill="FFFFFF"/>
            <w:vAlign w:val="center"/>
          </w:tcPr>
          <w:p w14:paraId="230C65F7">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计量单位</w:t>
            </w:r>
          </w:p>
        </w:tc>
        <w:tc>
          <w:tcPr>
            <w:tcW w:w="1200" w:type="dxa"/>
            <w:gridSpan w:val="2"/>
            <w:tcBorders>
              <w:top w:val="nil"/>
              <w:left w:val="nil"/>
              <w:bottom w:val="single" w:color="000000" w:sz="4" w:space="0"/>
              <w:right w:val="single" w:color="000000" w:sz="4" w:space="0"/>
            </w:tcBorders>
            <w:shd w:val="clear" w:color="auto" w:fill="FFFFFF"/>
            <w:vAlign w:val="center"/>
          </w:tcPr>
          <w:p w14:paraId="19B820A7">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工程数量</w:t>
            </w:r>
          </w:p>
        </w:tc>
        <w:tc>
          <w:tcPr>
            <w:tcW w:w="1200" w:type="dxa"/>
            <w:gridSpan w:val="2"/>
            <w:tcBorders>
              <w:top w:val="nil"/>
              <w:left w:val="nil"/>
              <w:bottom w:val="single" w:color="000000" w:sz="4" w:space="0"/>
              <w:right w:val="single" w:color="000000" w:sz="4" w:space="0"/>
            </w:tcBorders>
            <w:shd w:val="clear" w:color="auto" w:fill="FFFFFF"/>
            <w:vAlign w:val="center"/>
          </w:tcPr>
          <w:p w14:paraId="0D3E506C">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单价（元）</w:t>
            </w:r>
          </w:p>
        </w:tc>
        <w:tc>
          <w:tcPr>
            <w:tcW w:w="1200" w:type="dxa"/>
            <w:gridSpan w:val="2"/>
            <w:tcBorders>
              <w:top w:val="nil"/>
              <w:left w:val="nil"/>
              <w:bottom w:val="single" w:color="000000" w:sz="4" w:space="0"/>
              <w:right w:val="single" w:color="000000" w:sz="8" w:space="0"/>
            </w:tcBorders>
            <w:shd w:val="clear" w:color="auto" w:fill="FFFFFF"/>
            <w:vAlign w:val="center"/>
          </w:tcPr>
          <w:p w14:paraId="3A9D8664">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合价（元）</w:t>
            </w:r>
          </w:p>
        </w:tc>
      </w:tr>
      <w:tr w14:paraId="1BD0E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54C0FB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101</w:t>
            </w:r>
          </w:p>
        </w:tc>
        <w:tc>
          <w:tcPr>
            <w:tcW w:w="4060" w:type="dxa"/>
            <w:gridSpan w:val="2"/>
            <w:tcBorders>
              <w:top w:val="nil"/>
              <w:left w:val="nil"/>
              <w:bottom w:val="single" w:color="000000" w:sz="4" w:space="0"/>
              <w:right w:val="single" w:color="000000" w:sz="4" w:space="0"/>
            </w:tcBorders>
            <w:shd w:val="clear" w:color="auto" w:fill="FFFFFF"/>
            <w:vAlign w:val="center"/>
          </w:tcPr>
          <w:p w14:paraId="712AC4F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通则</w:t>
            </w:r>
          </w:p>
        </w:tc>
        <w:tc>
          <w:tcPr>
            <w:tcW w:w="1000" w:type="dxa"/>
            <w:tcBorders>
              <w:top w:val="nil"/>
              <w:left w:val="nil"/>
              <w:bottom w:val="single" w:color="000000" w:sz="4" w:space="0"/>
              <w:right w:val="single" w:color="000000" w:sz="4" w:space="0"/>
            </w:tcBorders>
            <w:shd w:val="clear" w:color="auto" w:fill="FFFFFF"/>
            <w:vAlign w:val="center"/>
          </w:tcPr>
          <w:p w14:paraId="4122C60D">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2927C1AA">
            <w:pPr>
              <w:jc w:val="right"/>
              <w:rPr>
                <w:rFonts w:hint="eastAsia"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3DE5842B">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7A732E7E">
            <w:pPr>
              <w:jc w:val="right"/>
              <w:rPr>
                <w:rFonts w:hint="default" w:ascii="Arial Narrow" w:hAnsi="Arial Narrow" w:eastAsia="Arial Narrow" w:cs="Arial Narrow"/>
                <w:i w:val="0"/>
                <w:iCs w:val="0"/>
                <w:color w:val="auto"/>
                <w:sz w:val="18"/>
                <w:szCs w:val="18"/>
                <w:highlight w:val="none"/>
                <w:u w:val="none"/>
              </w:rPr>
            </w:pPr>
          </w:p>
        </w:tc>
      </w:tr>
      <w:tr w14:paraId="06A2A0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062B10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101-1</w:t>
            </w:r>
          </w:p>
        </w:tc>
        <w:tc>
          <w:tcPr>
            <w:tcW w:w="4060" w:type="dxa"/>
            <w:gridSpan w:val="2"/>
            <w:tcBorders>
              <w:top w:val="nil"/>
              <w:left w:val="nil"/>
              <w:bottom w:val="single" w:color="000000" w:sz="4" w:space="0"/>
              <w:right w:val="single" w:color="000000" w:sz="4" w:space="0"/>
            </w:tcBorders>
            <w:shd w:val="clear" w:color="auto" w:fill="FFFFFF"/>
            <w:vAlign w:val="center"/>
          </w:tcPr>
          <w:p w14:paraId="4413D11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保险费</w:t>
            </w:r>
          </w:p>
        </w:tc>
        <w:tc>
          <w:tcPr>
            <w:tcW w:w="1000" w:type="dxa"/>
            <w:tcBorders>
              <w:top w:val="nil"/>
              <w:left w:val="nil"/>
              <w:bottom w:val="single" w:color="000000" w:sz="4" w:space="0"/>
              <w:right w:val="single" w:color="000000" w:sz="4" w:space="0"/>
            </w:tcBorders>
            <w:shd w:val="clear" w:color="auto" w:fill="FFFFFF"/>
            <w:vAlign w:val="center"/>
          </w:tcPr>
          <w:p w14:paraId="223DC34B">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68D91D98">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134E2D19">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75BAA11D">
            <w:pPr>
              <w:jc w:val="right"/>
              <w:rPr>
                <w:rFonts w:hint="default" w:ascii="Arial Narrow" w:hAnsi="Arial Narrow" w:eastAsia="Arial Narrow" w:cs="Arial Narrow"/>
                <w:i w:val="0"/>
                <w:iCs w:val="0"/>
                <w:color w:val="auto"/>
                <w:sz w:val="18"/>
                <w:szCs w:val="18"/>
                <w:highlight w:val="none"/>
                <w:u w:val="none"/>
              </w:rPr>
            </w:pPr>
          </w:p>
        </w:tc>
      </w:tr>
      <w:tr w14:paraId="604C5C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2BED9F3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101-1-a</w:t>
            </w:r>
          </w:p>
        </w:tc>
        <w:tc>
          <w:tcPr>
            <w:tcW w:w="4060" w:type="dxa"/>
            <w:gridSpan w:val="2"/>
            <w:tcBorders>
              <w:top w:val="nil"/>
              <w:left w:val="nil"/>
              <w:bottom w:val="single" w:color="000000" w:sz="4" w:space="0"/>
              <w:right w:val="single" w:color="000000" w:sz="4" w:space="0"/>
            </w:tcBorders>
            <w:shd w:val="clear" w:color="auto" w:fill="FFFFFF"/>
            <w:vAlign w:val="center"/>
          </w:tcPr>
          <w:p w14:paraId="7118622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按合同条款规定，提供建筑工程一切险</w:t>
            </w:r>
          </w:p>
        </w:tc>
        <w:tc>
          <w:tcPr>
            <w:tcW w:w="1000" w:type="dxa"/>
            <w:tcBorders>
              <w:top w:val="nil"/>
              <w:left w:val="nil"/>
              <w:bottom w:val="single" w:color="000000" w:sz="4" w:space="0"/>
              <w:right w:val="single" w:color="000000" w:sz="4" w:space="0"/>
            </w:tcBorders>
            <w:shd w:val="clear" w:color="auto" w:fill="FFFFFF"/>
            <w:vAlign w:val="center"/>
          </w:tcPr>
          <w:p w14:paraId="5FDC21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总额</w:t>
            </w:r>
          </w:p>
        </w:tc>
        <w:tc>
          <w:tcPr>
            <w:tcW w:w="1200" w:type="dxa"/>
            <w:gridSpan w:val="2"/>
            <w:tcBorders>
              <w:top w:val="nil"/>
              <w:left w:val="nil"/>
              <w:bottom w:val="single" w:color="000000" w:sz="4" w:space="0"/>
              <w:right w:val="single" w:color="000000" w:sz="4" w:space="0"/>
            </w:tcBorders>
            <w:shd w:val="clear" w:color="auto" w:fill="FFFFFF"/>
            <w:vAlign w:val="center"/>
          </w:tcPr>
          <w:p w14:paraId="2E8288E5">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04DE3DD8">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5ED6B2C0">
            <w:pPr>
              <w:jc w:val="right"/>
              <w:rPr>
                <w:rFonts w:hint="default" w:ascii="Arial Narrow" w:hAnsi="Arial Narrow" w:eastAsia="Arial Narrow" w:cs="Arial Narrow"/>
                <w:i w:val="0"/>
                <w:iCs w:val="0"/>
                <w:color w:val="auto"/>
                <w:sz w:val="18"/>
                <w:szCs w:val="18"/>
                <w:highlight w:val="none"/>
                <w:u w:val="none"/>
              </w:rPr>
            </w:pPr>
          </w:p>
        </w:tc>
      </w:tr>
      <w:tr w14:paraId="5838A4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6E7D1D2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101-1-b</w:t>
            </w:r>
          </w:p>
        </w:tc>
        <w:tc>
          <w:tcPr>
            <w:tcW w:w="4060" w:type="dxa"/>
            <w:gridSpan w:val="2"/>
            <w:tcBorders>
              <w:top w:val="nil"/>
              <w:left w:val="nil"/>
              <w:bottom w:val="single" w:color="000000" w:sz="4" w:space="0"/>
              <w:right w:val="single" w:color="000000" w:sz="4" w:space="0"/>
            </w:tcBorders>
            <w:shd w:val="clear" w:color="auto" w:fill="FFFFFF"/>
            <w:vAlign w:val="center"/>
          </w:tcPr>
          <w:p w14:paraId="1EAE304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按合同条款规定，提供安全生产责任保险</w:t>
            </w:r>
          </w:p>
        </w:tc>
        <w:tc>
          <w:tcPr>
            <w:tcW w:w="1000" w:type="dxa"/>
            <w:tcBorders>
              <w:top w:val="nil"/>
              <w:left w:val="nil"/>
              <w:bottom w:val="single" w:color="000000" w:sz="4" w:space="0"/>
              <w:right w:val="single" w:color="000000" w:sz="4" w:space="0"/>
            </w:tcBorders>
            <w:shd w:val="clear" w:color="auto" w:fill="FFFFFF"/>
            <w:vAlign w:val="center"/>
          </w:tcPr>
          <w:p w14:paraId="797BF38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总额</w:t>
            </w:r>
          </w:p>
        </w:tc>
        <w:tc>
          <w:tcPr>
            <w:tcW w:w="1200" w:type="dxa"/>
            <w:gridSpan w:val="2"/>
            <w:tcBorders>
              <w:top w:val="nil"/>
              <w:left w:val="nil"/>
              <w:bottom w:val="single" w:color="000000" w:sz="4" w:space="0"/>
              <w:right w:val="single" w:color="000000" w:sz="4" w:space="0"/>
            </w:tcBorders>
            <w:shd w:val="clear" w:color="auto" w:fill="FFFFFF"/>
            <w:vAlign w:val="center"/>
          </w:tcPr>
          <w:p w14:paraId="4AFB0801">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32E524F7">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10130276">
            <w:pPr>
              <w:jc w:val="right"/>
              <w:rPr>
                <w:rFonts w:hint="default" w:ascii="Arial Narrow" w:hAnsi="Arial Narrow" w:eastAsia="Arial Narrow" w:cs="Arial Narrow"/>
                <w:i w:val="0"/>
                <w:iCs w:val="0"/>
                <w:color w:val="auto"/>
                <w:sz w:val="18"/>
                <w:szCs w:val="18"/>
                <w:highlight w:val="none"/>
                <w:u w:val="none"/>
              </w:rPr>
            </w:pPr>
          </w:p>
        </w:tc>
      </w:tr>
      <w:tr w14:paraId="214AF3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0CF2C3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102</w:t>
            </w:r>
          </w:p>
        </w:tc>
        <w:tc>
          <w:tcPr>
            <w:tcW w:w="4060" w:type="dxa"/>
            <w:gridSpan w:val="2"/>
            <w:tcBorders>
              <w:top w:val="nil"/>
              <w:left w:val="nil"/>
              <w:bottom w:val="single" w:color="000000" w:sz="4" w:space="0"/>
              <w:right w:val="single" w:color="000000" w:sz="4" w:space="0"/>
            </w:tcBorders>
            <w:shd w:val="clear" w:color="auto" w:fill="FFFFFF"/>
            <w:vAlign w:val="center"/>
          </w:tcPr>
          <w:p w14:paraId="22F25FC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工程管理</w:t>
            </w:r>
          </w:p>
        </w:tc>
        <w:tc>
          <w:tcPr>
            <w:tcW w:w="1000" w:type="dxa"/>
            <w:tcBorders>
              <w:top w:val="nil"/>
              <w:left w:val="nil"/>
              <w:bottom w:val="single" w:color="000000" w:sz="4" w:space="0"/>
              <w:right w:val="single" w:color="000000" w:sz="4" w:space="0"/>
            </w:tcBorders>
            <w:shd w:val="clear" w:color="auto" w:fill="FFFFFF"/>
            <w:vAlign w:val="center"/>
          </w:tcPr>
          <w:p w14:paraId="66FFB214">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66C5141F">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32C1D804">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76290AE6">
            <w:pPr>
              <w:jc w:val="right"/>
              <w:rPr>
                <w:rFonts w:hint="default" w:ascii="Arial Narrow" w:hAnsi="Arial Narrow" w:eastAsia="Arial Narrow" w:cs="Arial Narrow"/>
                <w:i w:val="0"/>
                <w:iCs w:val="0"/>
                <w:color w:val="auto"/>
                <w:sz w:val="18"/>
                <w:szCs w:val="18"/>
                <w:highlight w:val="none"/>
                <w:u w:val="none"/>
              </w:rPr>
            </w:pPr>
          </w:p>
        </w:tc>
      </w:tr>
      <w:tr w14:paraId="688F87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130721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102-1</w:t>
            </w:r>
          </w:p>
        </w:tc>
        <w:tc>
          <w:tcPr>
            <w:tcW w:w="4060" w:type="dxa"/>
            <w:gridSpan w:val="2"/>
            <w:tcBorders>
              <w:top w:val="nil"/>
              <w:left w:val="nil"/>
              <w:bottom w:val="single" w:color="000000" w:sz="4" w:space="0"/>
              <w:right w:val="single" w:color="000000" w:sz="4" w:space="0"/>
            </w:tcBorders>
            <w:shd w:val="clear" w:color="auto" w:fill="FFFFFF"/>
            <w:vAlign w:val="center"/>
          </w:tcPr>
          <w:p w14:paraId="4B35303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档案资料编制费</w:t>
            </w:r>
          </w:p>
        </w:tc>
        <w:tc>
          <w:tcPr>
            <w:tcW w:w="1000" w:type="dxa"/>
            <w:tcBorders>
              <w:top w:val="nil"/>
              <w:left w:val="nil"/>
              <w:bottom w:val="single" w:color="000000" w:sz="4" w:space="0"/>
              <w:right w:val="single" w:color="000000" w:sz="4" w:space="0"/>
            </w:tcBorders>
            <w:shd w:val="clear" w:color="auto" w:fill="FFFFFF"/>
            <w:vAlign w:val="center"/>
          </w:tcPr>
          <w:p w14:paraId="75FC58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总额</w:t>
            </w:r>
          </w:p>
        </w:tc>
        <w:tc>
          <w:tcPr>
            <w:tcW w:w="1200" w:type="dxa"/>
            <w:gridSpan w:val="2"/>
            <w:tcBorders>
              <w:top w:val="nil"/>
              <w:left w:val="nil"/>
              <w:bottom w:val="single" w:color="000000" w:sz="4" w:space="0"/>
              <w:right w:val="single" w:color="000000" w:sz="4" w:space="0"/>
            </w:tcBorders>
            <w:shd w:val="clear" w:color="auto" w:fill="FFFFFF"/>
            <w:vAlign w:val="center"/>
          </w:tcPr>
          <w:p w14:paraId="5C830EF5">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45BA9E00">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0D6463E6">
            <w:pPr>
              <w:jc w:val="right"/>
              <w:rPr>
                <w:rFonts w:hint="default" w:ascii="Arial Narrow" w:hAnsi="Arial Narrow" w:eastAsia="Arial Narrow" w:cs="Arial Narrow"/>
                <w:i w:val="0"/>
                <w:iCs w:val="0"/>
                <w:color w:val="auto"/>
                <w:sz w:val="18"/>
                <w:szCs w:val="18"/>
                <w:highlight w:val="none"/>
                <w:u w:val="none"/>
              </w:rPr>
            </w:pPr>
          </w:p>
        </w:tc>
      </w:tr>
      <w:tr w14:paraId="7A0E7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68BF7C4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102-2</w:t>
            </w:r>
          </w:p>
        </w:tc>
        <w:tc>
          <w:tcPr>
            <w:tcW w:w="4060" w:type="dxa"/>
            <w:gridSpan w:val="2"/>
            <w:tcBorders>
              <w:top w:val="nil"/>
              <w:left w:val="nil"/>
              <w:bottom w:val="single" w:color="000000" w:sz="4" w:space="0"/>
              <w:right w:val="single" w:color="000000" w:sz="4" w:space="0"/>
            </w:tcBorders>
            <w:shd w:val="clear" w:color="auto" w:fill="FFFFFF"/>
            <w:vAlign w:val="center"/>
          </w:tcPr>
          <w:p w14:paraId="7F313CD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施工环保费</w:t>
            </w:r>
          </w:p>
        </w:tc>
        <w:tc>
          <w:tcPr>
            <w:tcW w:w="1000" w:type="dxa"/>
            <w:tcBorders>
              <w:top w:val="nil"/>
              <w:left w:val="nil"/>
              <w:bottom w:val="single" w:color="000000" w:sz="4" w:space="0"/>
              <w:right w:val="single" w:color="000000" w:sz="4" w:space="0"/>
            </w:tcBorders>
            <w:shd w:val="clear" w:color="auto" w:fill="FFFFFF"/>
            <w:vAlign w:val="center"/>
          </w:tcPr>
          <w:p w14:paraId="18D958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总额</w:t>
            </w:r>
          </w:p>
        </w:tc>
        <w:tc>
          <w:tcPr>
            <w:tcW w:w="1200" w:type="dxa"/>
            <w:gridSpan w:val="2"/>
            <w:tcBorders>
              <w:top w:val="nil"/>
              <w:left w:val="nil"/>
              <w:bottom w:val="single" w:color="000000" w:sz="4" w:space="0"/>
              <w:right w:val="single" w:color="000000" w:sz="4" w:space="0"/>
            </w:tcBorders>
            <w:shd w:val="clear" w:color="auto" w:fill="FFFFFF"/>
            <w:vAlign w:val="center"/>
          </w:tcPr>
          <w:p w14:paraId="706B43CA">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3D475C95">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66FCDB59">
            <w:pPr>
              <w:jc w:val="right"/>
              <w:rPr>
                <w:rFonts w:hint="default" w:ascii="Arial Narrow" w:hAnsi="Arial Narrow" w:eastAsia="Arial Narrow" w:cs="Arial Narrow"/>
                <w:i w:val="0"/>
                <w:iCs w:val="0"/>
                <w:color w:val="auto"/>
                <w:sz w:val="18"/>
                <w:szCs w:val="18"/>
                <w:highlight w:val="none"/>
                <w:u w:val="none"/>
              </w:rPr>
            </w:pPr>
          </w:p>
        </w:tc>
      </w:tr>
      <w:tr w14:paraId="4336E8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0A6A73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102-4</w:t>
            </w:r>
          </w:p>
        </w:tc>
        <w:tc>
          <w:tcPr>
            <w:tcW w:w="4060" w:type="dxa"/>
            <w:gridSpan w:val="2"/>
            <w:tcBorders>
              <w:top w:val="nil"/>
              <w:left w:val="nil"/>
              <w:bottom w:val="single" w:color="000000" w:sz="4" w:space="0"/>
              <w:right w:val="single" w:color="000000" w:sz="4" w:space="0"/>
            </w:tcBorders>
            <w:shd w:val="clear" w:color="auto" w:fill="FFFFFF"/>
            <w:vAlign w:val="center"/>
          </w:tcPr>
          <w:p w14:paraId="56792BD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安全生产费</w:t>
            </w:r>
          </w:p>
        </w:tc>
        <w:tc>
          <w:tcPr>
            <w:tcW w:w="1000" w:type="dxa"/>
            <w:tcBorders>
              <w:top w:val="nil"/>
              <w:left w:val="nil"/>
              <w:bottom w:val="single" w:color="000000" w:sz="4" w:space="0"/>
              <w:right w:val="single" w:color="000000" w:sz="4" w:space="0"/>
            </w:tcBorders>
            <w:shd w:val="clear" w:color="auto" w:fill="FFFFFF"/>
            <w:vAlign w:val="center"/>
          </w:tcPr>
          <w:p w14:paraId="0F1358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总额</w:t>
            </w:r>
          </w:p>
        </w:tc>
        <w:tc>
          <w:tcPr>
            <w:tcW w:w="1200" w:type="dxa"/>
            <w:gridSpan w:val="2"/>
            <w:tcBorders>
              <w:top w:val="nil"/>
              <w:left w:val="nil"/>
              <w:bottom w:val="single" w:color="000000" w:sz="4" w:space="0"/>
              <w:right w:val="single" w:color="000000" w:sz="4" w:space="0"/>
            </w:tcBorders>
            <w:shd w:val="clear" w:color="auto" w:fill="FFFFFF"/>
            <w:vAlign w:val="center"/>
          </w:tcPr>
          <w:p w14:paraId="4454258D">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16F95AE7">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68DD05E0">
            <w:pPr>
              <w:jc w:val="right"/>
              <w:rPr>
                <w:rFonts w:hint="default" w:ascii="Arial Narrow" w:hAnsi="Arial Narrow" w:eastAsia="Arial Narrow" w:cs="Arial Narrow"/>
                <w:i w:val="0"/>
                <w:iCs w:val="0"/>
                <w:color w:val="auto"/>
                <w:sz w:val="18"/>
                <w:szCs w:val="18"/>
                <w:highlight w:val="none"/>
                <w:u w:val="none"/>
              </w:rPr>
            </w:pPr>
          </w:p>
        </w:tc>
      </w:tr>
      <w:tr w14:paraId="6CC221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799DA4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103</w:t>
            </w:r>
          </w:p>
        </w:tc>
        <w:tc>
          <w:tcPr>
            <w:tcW w:w="4060" w:type="dxa"/>
            <w:gridSpan w:val="2"/>
            <w:tcBorders>
              <w:top w:val="nil"/>
              <w:left w:val="nil"/>
              <w:bottom w:val="single" w:color="000000" w:sz="4" w:space="0"/>
              <w:right w:val="single" w:color="000000" w:sz="4" w:space="0"/>
            </w:tcBorders>
            <w:shd w:val="clear" w:color="auto" w:fill="FFFFFF"/>
            <w:vAlign w:val="center"/>
          </w:tcPr>
          <w:p w14:paraId="3604659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临时工程</w:t>
            </w:r>
          </w:p>
        </w:tc>
        <w:tc>
          <w:tcPr>
            <w:tcW w:w="1000" w:type="dxa"/>
            <w:tcBorders>
              <w:top w:val="nil"/>
              <w:left w:val="nil"/>
              <w:bottom w:val="single" w:color="000000" w:sz="4" w:space="0"/>
              <w:right w:val="single" w:color="000000" w:sz="4" w:space="0"/>
            </w:tcBorders>
            <w:shd w:val="clear" w:color="auto" w:fill="FFFFFF"/>
            <w:vAlign w:val="center"/>
          </w:tcPr>
          <w:p w14:paraId="3A806667">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69C6BBC2">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39508AE1">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75FCD8F5">
            <w:pPr>
              <w:jc w:val="right"/>
              <w:rPr>
                <w:rFonts w:hint="default" w:ascii="Arial Narrow" w:hAnsi="Arial Narrow" w:eastAsia="Arial Narrow" w:cs="Arial Narrow"/>
                <w:i w:val="0"/>
                <w:iCs w:val="0"/>
                <w:color w:val="auto"/>
                <w:sz w:val="18"/>
                <w:szCs w:val="18"/>
                <w:highlight w:val="none"/>
                <w:u w:val="none"/>
              </w:rPr>
            </w:pPr>
          </w:p>
        </w:tc>
      </w:tr>
      <w:tr w14:paraId="48FE4D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4E4982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103-2</w:t>
            </w:r>
          </w:p>
        </w:tc>
        <w:tc>
          <w:tcPr>
            <w:tcW w:w="4060" w:type="dxa"/>
            <w:gridSpan w:val="2"/>
            <w:tcBorders>
              <w:top w:val="nil"/>
              <w:left w:val="nil"/>
              <w:bottom w:val="single" w:color="000000" w:sz="4" w:space="0"/>
              <w:right w:val="single" w:color="000000" w:sz="4" w:space="0"/>
            </w:tcBorders>
            <w:shd w:val="clear" w:color="auto" w:fill="FFFFFF"/>
            <w:vAlign w:val="center"/>
          </w:tcPr>
          <w:p w14:paraId="5BEDB83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临时工程用地</w:t>
            </w:r>
          </w:p>
        </w:tc>
        <w:tc>
          <w:tcPr>
            <w:tcW w:w="1000" w:type="dxa"/>
            <w:tcBorders>
              <w:top w:val="nil"/>
              <w:left w:val="nil"/>
              <w:bottom w:val="single" w:color="000000" w:sz="4" w:space="0"/>
              <w:right w:val="single" w:color="000000" w:sz="4" w:space="0"/>
            </w:tcBorders>
            <w:shd w:val="clear" w:color="auto" w:fill="FFFFFF"/>
            <w:vAlign w:val="center"/>
          </w:tcPr>
          <w:p w14:paraId="6639457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总额</w:t>
            </w:r>
          </w:p>
        </w:tc>
        <w:tc>
          <w:tcPr>
            <w:tcW w:w="1200" w:type="dxa"/>
            <w:gridSpan w:val="2"/>
            <w:tcBorders>
              <w:top w:val="nil"/>
              <w:left w:val="nil"/>
              <w:bottom w:val="single" w:color="000000" w:sz="4" w:space="0"/>
              <w:right w:val="single" w:color="000000" w:sz="4" w:space="0"/>
            </w:tcBorders>
            <w:shd w:val="clear" w:color="auto" w:fill="FFFFFF"/>
            <w:vAlign w:val="center"/>
          </w:tcPr>
          <w:p w14:paraId="5D9534A3">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11C35FD1">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30A133F3">
            <w:pPr>
              <w:jc w:val="right"/>
              <w:rPr>
                <w:rFonts w:hint="default" w:ascii="Arial Narrow" w:hAnsi="Arial Narrow" w:eastAsia="Arial Narrow" w:cs="Arial Narrow"/>
                <w:i w:val="0"/>
                <w:iCs w:val="0"/>
                <w:color w:val="auto"/>
                <w:sz w:val="18"/>
                <w:szCs w:val="18"/>
                <w:highlight w:val="none"/>
                <w:u w:val="none"/>
              </w:rPr>
            </w:pPr>
          </w:p>
        </w:tc>
      </w:tr>
      <w:tr w14:paraId="6F639A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601451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103-3</w:t>
            </w:r>
          </w:p>
        </w:tc>
        <w:tc>
          <w:tcPr>
            <w:tcW w:w="4060" w:type="dxa"/>
            <w:gridSpan w:val="2"/>
            <w:tcBorders>
              <w:top w:val="nil"/>
              <w:left w:val="nil"/>
              <w:bottom w:val="single" w:color="000000" w:sz="4" w:space="0"/>
              <w:right w:val="single" w:color="000000" w:sz="4" w:space="0"/>
            </w:tcBorders>
            <w:shd w:val="clear" w:color="auto" w:fill="FFFFFF"/>
            <w:vAlign w:val="center"/>
          </w:tcPr>
          <w:p w14:paraId="365D4DF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临时供电设施架设、拆除、维修</w:t>
            </w:r>
          </w:p>
        </w:tc>
        <w:tc>
          <w:tcPr>
            <w:tcW w:w="1000" w:type="dxa"/>
            <w:tcBorders>
              <w:top w:val="nil"/>
              <w:left w:val="nil"/>
              <w:bottom w:val="single" w:color="000000" w:sz="4" w:space="0"/>
              <w:right w:val="single" w:color="000000" w:sz="4" w:space="0"/>
            </w:tcBorders>
            <w:shd w:val="clear" w:color="auto" w:fill="FFFFFF"/>
            <w:vAlign w:val="center"/>
          </w:tcPr>
          <w:p w14:paraId="244607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总额</w:t>
            </w:r>
          </w:p>
        </w:tc>
        <w:tc>
          <w:tcPr>
            <w:tcW w:w="1200" w:type="dxa"/>
            <w:gridSpan w:val="2"/>
            <w:tcBorders>
              <w:top w:val="nil"/>
              <w:left w:val="nil"/>
              <w:bottom w:val="single" w:color="000000" w:sz="4" w:space="0"/>
              <w:right w:val="single" w:color="000000" w:sz="4" w:space="0"/>
            </w:tcBorders>
            <w:shd w:val="clear" w:color="auto" w:fill="FFFFFF"/>
            <w:vAlign w:val="center"/>
          </w:tcPr>
          <w:p w14:paraId="75666958">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72DEC627">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7194071C">
            <w:pPr>
              <w:jc w:val="right"/>
              <w:rPr>
                <w:rFonts w:hint="default" w:ascii="Arial Narrow" w:hAnsi="Arial Narrow" w:eastAsia="Arial Narrow" w:cs="Arial Narrow"/>
                <w:i w:val="0"/>
                <w:iCs w:val="0"/>
                <w:color w:val="auto"/>
                <w:sz w:val="18"/>
                <w:szCs w:val="18"/>
                <w:highlight w:val="none"/>
                <w:u w:val="none"/>
              </w:rPr>
            </w:pPr>
          </w:p>
        </w:tc>
      </w:tr>
      <w:tr w14:paraId="6307CA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60CC7E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104</w:t>
            </w:r>
          </w:p>
        </w:tc>
        <w:tc>
          <w:tcPr>
            <w:tcW w:w="4060" w:type="dxa"/>
            <w:gridSpan w:val="2"/>
            <w:tcBorders>
              <w:top w:val="nil"/>
              <w:left w:val="nil"/>
              <w:bottom w:val="single" w:color="000000" w:sz="4" w:space="0"/>
              <w:right w:val="single" w:color="000000" w:sz="4" w:space="0"/>
            </w:tcBorders>
            <w:shd w:val="clear" w:color="auto" w:fill="FFFFFF"/>
            <w:vAlign w:val="center"/>
          </w:tcPr>
          <w:p w14:paraId="174BB85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承包人驻地建设</w:t>
            </w:r>
          </w:p>
        </w:tc>
        <w:tc>
          <w:tcPr>
            <w:tcW w:w="1000" w:type="dxa"/>
            <w:tcBorders>
              <w:top w:val="nil"/>
              <w:left w:val="nil"/>
              <w:bottom w:val="single" w:color="000000" w:sz="4" w:space="0"/>
              <w:right w:val="single" w:color="000000" w:sz="4" w:space="0"/>
            </w:tcBorders>
            <w:shd w:val="clear" w:color="auto" w:fill="FFFFFF"/>
            <w:vAlign w:val="center"/>
          </w:tcPr>
          <w:p w14:paraId="66BE9317">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172513C3">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0833E9C8">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2DC38EFF">
            <w:pPr>
              <w:jc w:val="right"/>
              <w:rPr>
                <w:rFonts w:hint="default" w:ascii="Arial Narrow" w:hAnsi="Arial Narrow" w:eastAsia="Arial Narrow" w:cs="Arial Narrow"/>
                <w:i w:val="0"/>
                <w:iCs w:val="0"/>
                <w:color w:val="auto"/>
                <w:sz w:val="18"/>
                <w:szCs w:val="18"/>
                <w:highlight w:val="none"/>
                <w:u w:val="none"/>
              </w:rPr>
            </w:pPr>
          </w:p>
        </w:tc>
      </w:tr>
      <w:tr w14:paraId="755864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433F29B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104-1</w:t>
            </w:r>
          </w:p>
        </w:tc>
        <w:tc>
          <w:tcPr>
            <w:tcW w:w="4060" w:type="dxa"/>
            <w:gridSpan w:val="2"/>
            <w:tcBorders>
              <w:top w:val="nil"/>
              <w:left w:val="nil"/>
              <w:bottom w:val="single" w:color="000000" w:sz="4" w:space="0"/>
              <w:right w:val="single" w:color="000000" w:sz="4" w:space="0"/>
            </w:tcBorders>
            <w:shd w:val="clear" w:color="auto" w:fill="FFFFFF"/>
            <w:vAlign w:val="center"/>
          </w:tcPr>
          <w:p w14:paraId="2B93595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承包人驻地建设</w:t>
            </w:r>
          </w:p>
        </w:tc>
        <w:tc>
          <w:tcPr>
            <w:tcW w:w="1000" w:type="dxa"/>
            <w:tcBorders>
              <w:top w:val="nil"/>
              <w:left w:val="nil"/>
              <w:bottom w:val="single" w:color="000000" w:sz="4" w:space="0"/>
              <w:right w:val="single" w:color="000000" w:sz="4" w:space="0"/>
            </w:tcBorders>
            <w:shd w:val="clear" w:color="auto" w:fill="FFFFFF"/>
            <w:vAlign w:val="center"/>
          </w:tcPr>
          <w:p w14:paraId="36AC61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总额</w:t>
            </w:r>
          </w:p>
        </w:tc>
        <w:tc>
          <w:tcPr>
            <w:tcW w:w="1200" w:type="dxa"/>
            <w:gridSpan w:val="2"/>
            <w:tcBorders>
              <w:top w:val="nil"/>
              <w:left w:val="nil"/>
              <w:bottom w:val="single" w:color="000000" w:sz="4" w:space="0"/>
              <w:right w:val="single" w:color="000000" w:sz="4" w:space="0"/>
            </w:tcBorders>
            <w:shd w:val="clear" w:color="auto" w:fill="FFFFFF"/>
            <w:vAlign w:val="center"/>
          </w:tcPr>
          <w:p w14:paraId="4F6CD23B">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64A92024">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64CFA656">
            <w:pPr>
              <w:jc w:val="right"/>
              <w:rPr>
                <w:rFonts w:hint="default" w:ascii="Arial Narrow" w:hAnsi="Arial Narrow" w:eastAsia="Arial Narrow" w:cs="Arial Narrow"/>
                <w:i w:val="0"/>
                <w:iCs w:val="0"/>
                <w:color w:val="auto"/>
                <w:sz w:val="18"/>
                <w:szCs w:val="18"/>
                <w:highlight w:val="none"/>
                <w:u w:val="none"/>
              </w:rPr>
            </w:pPr>
          </w:p>
        </w:tc>
      </w:tr>
      <w:tr w14:paraId="213002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1AB6C0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105</w:t>
            </w:r>
          </w:p>
        </w:tc>
        <w:tc>
          <w:tcPr>
            <w:tcW w:w="4060" w:type="dxa"/>
            <w:gridSpan w:val="2"/>
            <w:tcBorders>
              <w:top w:val="nil"/>
              <w:left w:val="nil"/>
              <w:bottom w:val="single" w:color="000000" w:sz="4" w:space="0"/>
              <w:right w:val="single" w:color="000000" w:sz="4" w:space="0"/>
            </w:tcBorders>
            <w:shd w:val="clear" w:color="auto" w:fill="FFFFFF"/>
            <w:vAlign w:val="center"/>
          </w:tcPr>
          <w:p w14:paraId="12FBE22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其它项目</w:t>
            </w:r>
          </w:p>
        </w:tc>
        <w:tc>
          <w:tcPr>
            <w:tcW w:w="1000" w:type="dxa"/>
            <w:tcBorders>
              <w:top w:val="nil"/>
              <w:left w:val="nil"/>
              <w:bottom w:val="single" w:color="000000" w:sz="4" w:space="0"/>
              <w:right w:val="single" w:color="000000" w:sz="4" w:space="0"/>
            </w:tcBorders>
            <w:shd w:val="clear" w:color="auto" w:fill="FFFFFF"/>
            <w:vAlign w:val="center"/>
          </w:tcPr>
          <w:p w14:paraId="52E9B360">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5D5E75A0">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471B4159">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1294500F">
            <w:pPr>
              <w:jc w:val="right"/>
              <w:rPr>
                <w:rFonts w:hint="default" w:ascii="Arial Narrow" w:hAnsi="Arial Narrow" w:eastAsia="Arial Narrow" w:cs="Arial Narrow"/>
                <w:i w:val="0"/>
                <w:iCs w:val="0"/>
                <w:color w:val="auto"/>
                <w:sz w:val="18"/>
                <w:szCs w:val="18"/>
                <w:highlight w:val="none"/>
                <w:u w:val="none"/>
              </w:rPr>
            </w:pPr>
          </w:p>
        </w:tc>
      </w:tr>
      <w:tr w14:paraId="3834D5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0B0017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105-2</w:t>
            </w:r>
          </w:p>
        </w:tc>
        <w:tc>
          <w:tcPr>
            <w:tcW w:w="4060" w:type="dxa"/>
            <w:gridSpan w:val="2"/>
            <w:tcBorders>
              <w:top w:val="nil"/>
              <w:left w:val="nil"/>
              <w:bottom w:val="single" w:color="000000" w:sz="4" w:space="0"/>
              <w:right w:val="single" w:color="000000" w:sz="4" w:space="0"/>
            </w:tcBorders>
            <w:shd w:val="clear" w:color="auto" w:fill="FFFFFF"/>
            <w:vAlign w:val="center"/>
          </w:tcPr>
          <w:p w14:paraId="1025E80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检测费（专项暂定金）</w:t>
            </w:r>
          </w:p>
        </w:tc>
        <w:tc>
          <w:tcPr>
            <w:tcW w:w="1000" w:type="dxa"/>
            <w:tcBorders>
              <w:top w:val="nil"/>
              <w:left w:val="nil"/>
              <w:bottom w:val="single" w:color="000000" w:sz="4" w:space="0"/>
              <w:right w:val="single" w:color="000000" w:sz="4" w:space="0"/>
            </w:tcBorders>
            <w:shd w:val="clear" w:color="auto" w:fill="FFFFFF"/>
            <w:vAlign w:val="center"/>
          </w:tcPr>
          <w:p w14:paraId="7506E2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总额</w:t>
            </w:r>
          </w:p>
        </w:tc>
        <w:tc>
          <w:tcPr>
            <w:tcW w:w="1200" w:type="dxa"/>
            <w:gridSpan w:val="2"/>
            <w:tcBorders>
              <w:top w:val="nil"/>
              <w:left w:val="nil"/>
              <w:bottom w:val="single" w:color="000000" w:sz="4" w:space="0"/>
              <w:right w:val="single" w:color="000000" w:sz="4" w:space="0"/>
            </w:tcBorders>
            <w:shd w:val="clear" w:color="auto" w:fill="FFFFFF"/>
            <w:vAlign w:val="center"/>
          </w:tcPr>
          <w:p w14:paraId="1D9C1078">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08BF3B22">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200000</w:t>
            </w:r>
          </w:p>
        </w:tc>
        <w:tc>
          <w:tcPr>
            <w:tcW w:w="1200" w:type="dxa"/>
            <w:gridSpan w:val="2"/>
            <w:tcBorders>
              <w:top w:val="nil"/>
              <w:left w:val="nil"/>
              <w:bottom w:val="single" w:color="000000" w:sz="4" w:space="0"/>
              <w:right w:val="single" w:color="000000" w:sz="8" w:space="0"/>
            </w:tcBorders>
            <w:shd w:val="clear" w:color="auto" w:fill="FFFFFF"/>
            <w:vAlign w:val="center"/>
          </w:tcPr>
          <w:p w14:paraId="7965E4C6">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200000</w:t>
            </w:r>
          </w:p>
        </w:tc>
      </w:tr>
      <w:tr w14:paraId="50AADE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1EF706F3">
            <w:pPr>
              <w:jc w:val="center"/>
              <w:rPr>
                <w:rFonts w:hint="eastAsia" w:ascii="宋体" w:hAnsi="宋体" w:eastAsia="宋体" w:cs="宋体"/>
                <w:i w:val="0"/>
                <w:iCs w:val="0"/>
                <w:color w:val="auto"/>
                <w:sz w:val="18"/>
                <w:szCs w:val="18"/>
                <w:highlight w:val="none"/>
                <w:u w:val="none"/>
              </w:rPr>
            </w:pPr>
          </w:p>
        </w:tc>
        <w:tc>
          <w:tcPr>
            <w:tcW w:w="4060" w:type="dxa"/>
            <w:gridSpan w:val="2"/>
            <w:tcBorders>
              <w:top w:val="nil"/>
              <w:left w:val="nil"/>
              <w:bottom w:val="single" w:color="000000" w:sz="4" w:space="0"/>
              <w:right w:val="single" w:color="000000" w:sz="4" w:space="0"/>
            </w:tcBorders>
            <w:shd w:val="clear" w:color="auto" w:fill="FFFFFF"/>
            <w:vAlign w:val="center"/>
          </w:tcPr>
          <w:p w14:paraId="1443E875">
            <w:pPr>
              <w:jc w:val="left"/>
              <w:rPr>
                <w:rFonts w:hint="eastAsia" w:ascii="宋体" w:hAnsi="宋体" w:eastAsia="宋体" w:cs="宋体"/>
                <w:i w:val="0"/>
                <w:iCs w:val="0"/>
                <w:color w:val="auto"/>
                <w:sz w:val="18"/>
                <w:szCs w:val="18"/>
                <w:highlight w:val="none"/>
                <w:u w:val="none"/>
              </w:rPr>
            </w:pPr>
          </w:p>
        </w:tc>
        <w:tc>
          <w:tcPr>
            <w:tcW w:w="1000" w:type="dxa"/>
            <w:tcBorders>
              <w:top w:val="nil"/>
              <w:left w:val="nil"/>
              <w:bottom w:val="single" w:color="000000" w:sz="4" w:space="0"/>
              <w:right w:val="single" w:color="000000" w:sz="4" w:space="0"/>
            </w:tcBorders>
            <w:shd w:val="clear" w:color="auto" w:fill="FFFFFF"/>
            <w:vAlign w:val="center"/>
          </w:tcPr>
          <w:p w14:paraId="5865D86D">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3C2C3222">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0937791F">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50B830D4">
            <w:pPr>
              <w:jc w:val="right"/>
              <w:rPr>
                <w:rFonts w:hint="default" w:ascii="Arial Narrow" w:hAnsi="Arial Narrow" w:eastAsia="Arial Narrow" w:cs="Arial Narrow"/>
                <w:i w:val="0"/>
                <w:iCs w:val="0"/>
                <w:color w:val="auto"/>
                <w:sz w:val="18"/>
                <w:szCs w:val="18"/>
                <w:highlight w:val="none"/>
                <w:u w:val="none"/>
              </w:rPr>
            </w:pPr>
          </w:p>
        </w:tc>
      </w:tr>
      <w:tr w14:paraId="0FA1A3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9660" w:type="dxa"/>
            <w:gridSpan w:val="10"/>
            <w:tcBorders>
              <w:top w:val="nil"/>
              <w:left w:val="single" w:color="000000" w:sz="8" w:space="0"/>
              <w:bottom w:val="single" w:color="000000" w:sz="4" w:space="0"/>
              <w:right w:val="single" w:color="000000" w:sz="8" w:space="0"/>
            </w:tcBorders>
            <w:shd w:val="clear" w:color="auto" w:fill="FFFFFF"/>
            <w:vAlign w:val="center"/>
          </w:tcPr>
          <w:p w14:paraId="2FE63BF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清单    第100章  合计                        元</w:t>
            </w:r>
          </w:p>
        </w:tc>
      </w:tr>
    </w:tbl>
    <w:p w14:paraId="27A3BE12">
      <w:pPr>
        <w:bidi w:val="0"/>
        <w:rPr>
          <w:rFonts w:hint="eastAsia"/>
          <w:color w:val="auto"/>
          <w:highlight w:val="none"/>
          <w:lang w:val="en-US" w:eastAsia="zh-CN"/>
        </w:rPr>
      </w:pPr>
    </w:p>
    <w:p w14:paraId="73E9B99A">
      <w:pPr>
        <w:rPr>
          <w:rFonts w:hint="eastAsia"/>
          <w:color w:val="auto"/>
          <w:highlight w:val="none"/>
          <w:lang w:val="en-US" w:eastAsia="zh-CN"/>
        </w:rPr>
      </w:pPr>
      <w:r>
        <w:rPr>
          <w:rFonts w:hint="eastAsia"/>
          <w:color w:val="auto"/>
          <w:highlight w:val="none"/>
          <w:lang w:val="en-US" w:eastAsia="zh-CN"/>
        </w:rPr>
        <w:br w:type="page"/>
      </w:r>
    </w:p>
    <w:tbl>
      <w:tblPr>
        <w:tblStyle w:val="23"/>
        <w:tblW w:w="96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00"/>
        <w:gridCol w:w="2460"/>
        <w:gridCol w:w="1600"/>
        <w:gridCol w:w="1000"/>
        <w:gridCol w:w="800"/>
        <w:gridCol w:w="400"/>
        <w:gridCol w:w="600"/>
        <w:gridCol w:w="600"/>
        <w:gridCol w:w="400"/>
        <w:gridCol w:w="800"/>
      </w:tblGrid>
      <w:tr w14:paraId="483B25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9660" w:type="dxa"/>
            <w:gridSpan w:val="10"/>
            <w:tcBorders>
              <w:top w:val="nil"/>
              <w:left w:val="nil"/>
              <w:bottom w:val="nil"/>
              <w:right w:val="nil"/>
            </w:tcBorders>
            <w:shd w:val="clear" w:color="auto" w:fill="FFFFFF"/>
            <w:vAlign w:val="top"/>
          </w:tcPr>
          <w:p w14:paraId="05F0CE80">
            <w:pPr>
              <w:keepNext w:val="0"/>
              <w:keepLines w:val="0"/>
              <w:widowControl/>
              <w:suppressLineNumbers w:val="0"/>
              <w:jc w:val="center"/>
              <w:textAlignment w:val="top"/>
              <w:rPr>
                <w:rFonts w:hint="eastAsia" w:ascii="宋体" w:hAnsi="宋体" w:eastAsia="宋体" w:cs="宋体"/>
                <w:b/>
                <w:bCs/>
                <w:i w:val="0"/>
                <w:iCs w:val="0"/>
                <w:color w:val="auto"/>
                <w:sz w:val="36"/>
                <w:szCs w:val="36"/>
                <w:highlight w:val="none"/>
                <w:u w:val="none"/>
              </w:rPr>
            </w:pPr>
            <w:r>
              <w:rPr>
                <w:rFonts w:hint="eastAsia" w:ascii="宋体" w:hAnsi="宋体" w:eastAsia="宋体" w:cs="宋体"/>
                <w:b/>
                <w:bCs/>
                <w:i w:val="0"/>
                <w:iCs w:val="0"/>
                <w:color w:val="auto"/>
                <w:kern w:val="0"/>
                <w:sz w:val="36"/>
                <w:szCs w:val="36"/>
                <w:highlight w:val="none"/>
                <w:u w:val="none"/>
                <w:lang w:val="en-US" w:eastAsia="zh-CN" w:bidi="ar"/>
              </w:rPr>
              <w:t>工程细目工程量清单</w:t>
            </w:r>
          </w:p>
        </w:tc>
      </w:tr>
      <w:tr w14:paraId="5C0DD9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9660" w:type="dxa"/>
            <w:gridSpan w:val="10"/>
            <w:tcBorders>
              <w:top w:val="nil"/>
              <w:left w:val="nil"/>
              <w:bottom w:val="nil"/>
              <w:right w:val="nil"/>
            </w:tcBorders>
            <w:shd w:val="clear" w:color="auto" w:fill="FFFFFF"/>
            <w:vAlign w:val="center"/>
          </w:tcPr>
          <w:p w14:paraId="5861B925">
            <w:pPr>
              <w:jc w:val="right"/>
              <w:rPr>
                <w:rFonts w:hint="eastAsia" w:ascii="宋体" w:hAnsi="宋体" w:eastAsia="宋体" w:cs="宋体"/>
                <w:i w:val="0"/>
                <w:iCs w:val="0"/>
                <w:color w:val="auto"/>
                <w:sz w:val="18"/>
                <w:szCs w:val="18"/>
                <w:highlight w:val="none"/>
                <w:u w:val="none"/>
              </w:rPr>
            </w:pPr>
          </w:p>
        </w:tc>
      </w:tr>
      <w:tr w14:paraId="753775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3460" w:type="dxa"/>
            <w:gridSpan w:val="2"/>
            <w:tcBorders>
              <w:top w:val="nil"/>
              <w:left w:val="nil"/>
              <w:bottom w:val="nil"/>
              <w:right w:val="nil"/>
            </w:tcBorders>
            <w:shd w:val="clear" w:color="auto" w:fill="FFFFFF"/>
            <w:vAlign w:val="center"/>
          </w:tcPr>
          <w:p w14:paraId="2DD64C6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项目名称：2026年新昌县G104京岚线关岭隧道上行维修加固工程</w:t>
            </w:r>
          </w:p>
        </w:tc>
        <w:tc>
          <w:tcPr>
            <w:tcW w:w="3400" w:type="dxa"/>
            <w:gridSpan w:val="3"/>
            <w:tcBorders>
              <w:top w:val="nil"/>
              <w:left w:val="nil"/>
              <w:bottom w:val="nil"/>
              <w:right w:val="nil"/>
            </w:tcBorders>
            <w:shd w:val="clear" w:color="auto" w:fill="FFFFFF"/>
            <w:vAlign w:val="center"/>
          </w:tcPr>
          <w:p w14:paraId="5647FDF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合同段：2026年新昌县G104京岚线关岭隧道上行维修加固工程</w:t>
            </w:r>
          </w:p>
        </w:tc>
        <w:tc>
          <w:tcPr>
            <w:tcW w:w="1000" w:type="dxa"/>
            <w:gridSpan w:val="2"/>
            <w:tcBorders>
              <w:top w:val="nil"/>
              <w:left w:val="nil"/>
              <w:bottom w:val="nil"/>
              <w:right w:val="nil"/>
            </w:tcBorders>
            <w:shd w:val="clear" w:color="auto" w:fill="FFFFFF"/>
            <w:vAlign w:val="center"/>
          </w:tcPr>
          <w:p w14:paraId="4BED5D15">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第 2 页</w:t>
            </w:r>
          </w:p>
        </w:tc>
        <w:tc>
          <w:tcPr>
            <w:tcW w:w="1000" w:type="dxa"/>
            <w:gridSpan w:val="2"/>
            <w:tcBorders>
              <w:top w:val="nil"/>
              <w:left w:val="nil"/>
              <w:bottom w:val="nil"/>
              <w:right w:val="nil"/>
            </w:tcBorders>
            <w:shd w:val="clear" w:color="auto" w:fill="FFFFFF"/>
            <w:vAlign w:val="center"/>
          </w:tcPr>
          <w:p w14:paraId="170F852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共 11 页</w:t>
            </w:r>
          </w:p>
        </w:tc>
        <w:tc>
          <w:tcPr>
            <w:tcW w:w="800" w:type="dxa"/>
            <w:tcBorders>
              <w:top w:val="nil"/>
              <w:left w:val="nil"/>
              <w:bottom w:val="nil"/>
              <w:right w:val="nil"/>
            </w:tcBorders>
            <w:shd w:val="clear" w:color="auto" w:fill="FFFFFF"/>
            <w:vAlign w:val="center"/>
          </w:tcPr>
          <w:p w14:paraId="5A4779C2">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表4</w:t>
            </w:r>
          </w:p>
        </w:tc>
      </w:tr>
      <w:tr w14:paraId="53A5CB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9660" w:type="dxa"/>
            <w:gridSpan w:val="10"/>
            <w:tcBorders>
              <w:top w:val="single" w:color="000000" w:sz="8" w:space="0"/>
              <w:left w:val="single" w:color="000000" w:sz="8" w:space="0"/>
              <w:bottom w:val="single" w:color="000000" w:sz="4" w:space="0"/>
              <w:right w:val="single" w:color="000000" w:sz="8" w:space="0"/>
            </w:tcBorders>
            <w:shd w:val="clear" w:color="auto" w:fill="FFFFFF"/>
            <w:vAlign w:val="center"/>
          </w:tcPr>
          <w:p w14:paraId="29784439">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路面工程</w:t>
            </w:r>
          </w:p>
        </w:tc>
      </w:tr>
      <w:tr w14:paraId="0B5600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757C5020">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细目号</w:t>
            </w:r>
          </w:p>
        </w:tc>
        <w:tc>
          <w:tcPr>
            <w:tcW w:w="4060" w:type="dxa"/>
            <w:gridSpan w:val="2"/>
            <w:tcBorders>
              <w:top w:val="nil"/>
              <w:left w:val="nil"/>
              <w:bottom w:val="single" w:color="000000" w:sz="4" w:space="0"/>
              <w:right w:val="single" w:color="000000" w:sz="4" w:space="0"/>
            </w:tcBorders>
            <w:shd w:val="clear" w:color="auto" w:fill="FFFFFF"/>
            <w:vAlign w:val="center"/>
          </w:tcPr>
          <w:p w14:paraId="7757CFEE">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细目名称</w:t>
            </w:r>
          </w:p>
        </w:tc>
        <w:tc>
          <w:tcPr>
            <w:tcW w:w="1000" w:type="dxa"/>
            <w:tcBorders>
              <w:top w:val="nil"/>
              <w:left w:val="nil"/>
              <w:bottom w:val="single" w:color="000000" w:sz="4" w:space="0"/>
              <w:right w:val="single" w:color="000000" w:sz="4" w:space="0"/>
            </w:tcBorders>
            <w:shd w:val="clear" w:color="auto" w:fill="FFFFFF"/>
            <w:vAlign w:val="center"/>
          </w:tcPr>
          <w:p w14:paraId="31FD979B">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计量单位</w:t>
            </w:r>
          </w:p>
        </w:tc>
        <w:tc>
          <w:tcPr>
            <w:tcW w:w="1200" w:type="dxa"/>
            <w:gridSpan w:val="2"/>
            <w:tcBorders>
              <w:top w:val="nil"/>
              <w:left w:val="nil"/>
              <w:bottom w:val="single" w:color="000000" w:sz="4" w:space="0"/>
              <w:right w:val="single" w:color="000000" w:sz="4" w:space="0"/>
            </w:tcBorders>
            <w:shd w:val="clear" w:color="auto" w:fill="FFFFFF"/>
            <w:vAlign w:val="center"/>
          </w:tcPr>
          <w:p w14:paraId="05BE6894">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工程数量</w:t>
            </w:r>
          </w:p>
        </w:tc>
        <w:tc>
          <w:tcPr>
            <w:tcW w:w="1200" w:type="dxa"/>
            <w:gridSpan w:val="2"/>
            <w:tcBorders>
              <w:top w:val="nil"/>
              <w:left w:val="nil"/>
              <w:bottom w:val="single" w:color="000000" w:sz="4" w:space="0"/>
              <w:right w:val="single" w:color="000000" w:sz="4" w:space="0"/>
            </w:tcBorders>
            <w:shd w:val="clear" w:color="auto" w:fill="FFFFFF"/>
            <w:vAlign w:val="center"/>
          </w:tcPr>
          <w:p w14:paraId="1FBB0AFE">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单价（元）</w:t>
            </w:r>
          </w:p>
        </w:tc>
        <w:tc>
          <w:tcPr>
            <w:tcW w:w="1200" w:type="dxa"/>
            <w:gridSpan w:val="2"/>
            <w:tcBorders>
              <w:top w:val="nil"/>
              <w:left w:val="nil"/>
              <w:bottom w:val="single" w:color="000000" w:sz="4" w:space="0"/>
              <w:right w:val="single" w:color="000000" w:sz="8" w:space="0"/>
            </w:tcBorders>
            <w:shd w:val="clear" w:color="auto" w:fill="FFFFFF"/>
            <w:vAlign w:val="center"/>
          </w:tcPr>
          <w:p w14:paraId="53C22F15">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合价（元）</w:t>
            </w:r>
          </w:p>
        </w:tc>
      </w:tr>
      <w:tr w14:paraId="578850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2CB266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351</w:t>
            </w:r>
          </w:p>
        </w:tc>
        <w:tc>
          <w:tcPr>
            <w:tcW w:w="4060" w:type="dxa"/>
            <w:gridSpan w:val="2"/>
            <w:tcBorders>
              <w:top w:val="nil"/>
              <w:left w:val="nil"/>
              <w:bottom w:val="single" w:color="000000" w:sz="4" w:space="0"/>
              <w:right w:val="single" w:color="000000" w:sz="4" w:space="0"/>
            </w:tcBorders>
            <w:shd w:val="clear" w:color="auto" w:fill="FFFFFF"/>
            <w:vAlign w:val="center"/>
          </w:tcPr>
          <w:p w14:paraId="704899C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挖除、铣刨、破碎旧路面</w:t>
            </w:r>
          </w:p>
        </w:tc>
        <w:tc>
          <w:tcPr>
            <w:tcW w:w="1000" w:type="dxa"/>
            <w:tcBorders>
              <w:top w:val="nil"/>
              <w:left w:val="nil"/>
              <w:bottom w:val="single" w:color="000000" w:sz="4" w:space="0"/>
              <w:right w:val="single" w:color="000000" w:sz="4" w:space="0"/>
            </w:tcBorders>
            <w:shd w:val="clear" w:color="auto" w:fill="FFFFFF"/>
            <w:vAlign w:val="center"/>
          </w:tcPr>
          <w:p w14:paraId="2ECBBDCA">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2D713B51">
            <w:pPr>
              <w:jc w:val="right"/>
              <w:rPr>
                <w:rFonts w:hint="eastAsia"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36929821">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75F5008E">
            <w:pPr>
              <w:jc w:val="right"/>
              <w:rPr>
                <w:rFonts w:hint="default" w:ascii="Arial Narrow" w:hAnsi="Arial Narrow" w:eastAsia="Arial Narrow" w:cs="Arial Narrow"/>
                <w:i w:val="0"/>
                <w:iCs w:val="0"/>
                <w:color w:val="auto"/>
                <w:sz w:val="18"/>
                <w:szCs w:val="18"/>
                <w:highlight w:val="none"/>
                <w:u w:val="none"/>
              </w:rPr>
            </w:pPr>
          </w:p>
        </w:tc>
      </w:tr>
      <w:tr w14:paraId="67A790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633C94E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351-2</w:t>
            </w:r>
          </w:p>
        </w:tc>
        <w:tc>
          <w:tcPr>
            <w:tcW w:w="4060" w:type="dxa"/>
            <w:gridSpan w:val="2"/>
            <w:tcBorders>
              <w:top w:val="nil"/>
              <w:left w:val="nil"/>
              <w:bottom w:val="single" w:color="000000" w:sz="4" w:space="0"/>
              <w:right w:val="single" w:color="000000" w:sz="4" w:space="0"/>
            </w:tcBorders>
            <w:shd w:val="clear" w:color="auto" w:fill="FFFFFF"/>
            <w:vAlign w:val="center"/>
          </w:tcPr>
          <w:p w14:paraId="0437AE4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沥青混凝土路面</w:t>
            </w:r>
          </w:p>
        </w:tc>
        <w:tc>
          <w:tcPr>
            <w:tcW w:w="1000" w:type="dxa"/>
            <w:tcBorders>
              <w:top w:val="nil"/>
              <w:left w:val="nil"/>
              <w:bottom w:val="single" w:color="000000" w:sz="4" w:space="0"/>
              <w:right w:val="single" w:color="000000" w:sz="4" w:space="0"/>
            </w:tcBorders>
            <w:shd w:val="clear" w:color="auto" w:fill="FFFFFF"/>
            <w:vAlign w:val="center"/>
          </w:tcPr>
          <w:p w14:paraId="604FBCE5">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17409435">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486CDED5">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0C61FFD8">
            <w:pPr>
              <w:jc w:val="right"/>
              <w:rPr>
                <w:rFonts w:hint="default" w:ascii="Arial Narrow" w:hAnsi="Arial Narrow" w:eastAsia="Arial Narrow" w:cs="Arial Narrow"/>
                <w:i w:val="0"/>
                <w:iCs w:val="0"/>
                <w:color w:val="auto"/>
                <w:sz w:val="18"/>
                <w:szCs w:val="18"/>
                <w:highlight w:val="none"/>
                <w:u w:val="none"/>
              </w:rPr>
            </w:pPr>
          </w:p>
        </w:tc>
      </w:tr>
      <w:tr w14:paraId="26C141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6CA133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351-2-a</w:t>
            </w:r>
          </w:p>
        </w:tc>
        <w:tc>
          <w:tcPr>
            <w:tcW w:w="4060" w:type="dxa"/>
            <w:gridSpan w:val="2"/>
            <w:tcBorders>
              <w:top w:val="nil"/>
              <w:left w:val="nil"/>
              <w:bottom w:val="single" w:color="000000" w:sz="4" w:space="0"/>
              <w:right w:val="single" w:color="000000" w:sz="4" w:space="0"/>
            </w:tcBorders>
            <w:shd w:val="clear" w:color="auto" w:fill="FFFFFF"/>
            <w:vAlign w:val="center"/>
          </w:tcPr>
          <w:p w14:paraId="24E99AC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铣刨</w:t>
            </w:r>
          </w:p>
        </w:tc>
        <w:tc>
          <w:tcPr>
            <w:tcW w:w="1000" w:type="dxa"/>
            <w:tcBorders>
              <w:top w:val="nil"/>
              <w:left w:val="nil"/>
              <w:bottom w:val="single" w:color="000000" w:sz="4" w:space="0"/>
              <w:right w:val="single" w:color="000000" w:sz="4" w:space="0"/>
            </w:tcBorders>
            <w:shd w:val="clear" w:color="auto" w:fill="FFFFFF"/>
            <w:vAlign w:val="center"/>
          </w:tcPr>
          <w:p w14:paraId="6EDBC81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m3</w:t>
            </w:r>
          </w:p>
        </w:tc>
        <w:tc>
          <w:tcPr>
            <w:tcW w:w="1200" w:type="dxa"/>
            <w:gridSpan w:val="2"/>
            <w:tcBorders>
              <w:top w:val="nil"/>
              <w:left w:val="nil"/>
              <w:bottom w:val="single" w:color="000000" w:sz="4" w:space="0"/>
              <w:right w:val="single" w:color="000000" w:sz="4" w:space="0"/>
            </w:tcBorders>
            <w:shd w:val="clear" w:color="auto" w:fill="FFFFFF"/>
            <w:vAlign w:val="center"/>
          </w:tcPr>
          <w:p w14:paraId="6E314B73">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1563</w:t>
            </w:r>
          </w:p>
        </w:tc>
        <w:tc>
          <w:tcPr>
            <w:tcW w:w="1200" w:type="dxa"/>
            <w:gridSpan w:val="2"/>
            <w:tcBorders>
              <w:top w:val="nil"/>
              <w:left w:val="nil"/>
              <w:bottom w:val="single" w:color="000000" w:sz="4" w:space="0"/>
              <w:right w:val="single" w:color="000000" w:sz="4" w:space="0"/>
            </w:tcBorders>
            <w:shd w:val="clear" w:color="auto" w:fill="FFFFFF"/>
            <w:vAlign w:val="center"/>
          </w:tcPr>
          <w:p w14:paraId="2D2ED2DA">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3BA1031A">
            <w:pPr>
              <w:jc w:val="right"/>
              <w:rPr>
                <w:rFonts w:hint="default" w:ascii="Arial Narrow" w:hAnsi="Arial Narrow" w:eastAsia="Arial Narrow" w:cs="Arial Narrow"/>
                <w:i w:val="0"/>
                <w:iCs w:val="0"/>
                <w:color w:val="auto"/>
                <w:sz w:val="18"/>
                <w:szCs w:val="18"/>
                <w:highlight w:val="none"/>
                <w:u w:val="none"/>
              </w:rPr>
            </w:pPr>
          </w:p>
        </w:tc>
      </w:tr>
      <w:tr w14:paraId="1B304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1ACEE40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359</w:t>
            </w:r>
          </w:p>
        </w:tc>
        <w:tc>
          <w:tcPr>
            <w:tcW w:w="4060" w:type="dxa"/>
            <w:gridSpan w:val="2"/>
            <w:tcBorders>
              <w:top w:val="nil"/>
              <w:left w:val="nil"/>
              <w:bottom w:val="single" w:color="000000" w:sz="4" w:space="0"/>
              <w:right w:val="single" w:color="000000" w:sz="4" w:space="0"/>
            </w:tcBorders>
            <w:shd w:val="clear" w:color="auto" w:fill="FFFFFF"/>
            <w:vAlign w:val="center"/>
          </w:tcPr>
          <w:p w14:paraId="1BD7D32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修复或加铺透层、粘层和封层</w:t>
            </w:r>
          </w:p>
        </w:tc>
        <w:tc>
          <w:tcPr>
            <w:tcW w:w="1000" w:type="dxa"/>
            <w:tcBorders>
              <w:top w:val="nil"/>
              <w:left w:val="nil"/>
              <w:bottom w:val="single" w:color="000000" w:sz="4" w:space="0"/>
              <w:right w:val="single" w:color="000000" w:sz="4" w:space="0"/>
            </w:tcBorders>
            <w:shd w:val="clear" w:color="auto" w:fill="FFFFFF"/>
            <w:vAlign w:val="center"/>
          </w:tcPr>
          <w:p w14:paraId="4AA29C10">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7422E0A9">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049F231B">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09EB0305">
            <w:pPr>
              <w:jc w:val="right"/>
              <w:rPr>
                <w:rFonts w:hint="default" w:ascii="Arial Narrow" w:hAnsi="Arial Narrow" w:eastAsia="Arial Narrow" w:cs="Arial Narrow"/>
                <w:i w:val="0"/>
                <w:iCs w:val="0"/>
                <w:color w:val="auto"/>
                <w:sz w:val="18"/>
                <w:szCs w:val="18"/>
                <w:highlight w:val="none"/>
                <w:u w:val="none"/>
              </w:rPr>
            </w:pPr>
          </w:p>
        </w:tc>
      </w:tr>
      <w:tr w14:paraId="40DAF2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6DE1CE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359-2</w:t>
            </w:r>
          </w:p>
        </w:tc>
        <w:tc>
          <w:tcPr>
            <w:tcW w:w="4060" w:type="dxa"/>
            <w:gridSpan w:val="2"/>
            <w:tcBorders>
              <w:top w:val="nil"/>
              <w:left w:val="nil"/>
              <w:bottom w:val="single" w:color="000000" w:sz="4" w:space="0"/>
              <w:right w:val="single" w:color="000000" w:sz="4" w:space="0"/>
            </w:tcBorders>
            <w:shd w:val="clear" w:color="auto" w:fill="FFFFFF"/>
            <w:vAlign w:val="center"/>
          </w:tcPr>
          <w:p w14:paraId="0D69C50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改性乳化沥青粘层</w:t>
            </w:r>
          </w:p>
        </w:tc>
        <w:tc>
          <w:tcPr>
            <w:tcW w:w="1000" w:type="dxa"/>
            <w:tcBorders>
              <w:top w:val="nil"/>
              <w:left w:val="nil"/>
              <w:bottom w:val="single" w:color="000000" w:sz="4" w:space="0"/>
              <w:right w:val="single" w:color="000000" w:sz="4" w:space="0"/>
            </w:tcBorders>
            <w:shd w:val="clear" w:color="auto" w:fill="FFFFFF"/>
            <w:vAlign w:val="center"/>
          </w:tcPr>
          <w:p w14:paraId="5893E9A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1200" w:type="dxa"/>
            <w:gridSpan w:val="2"/>
            <w:tcBorders>
              <w:top w:val="nil"/>
              <w:left w:val="nil"/>
              <w:bottom w:val="single" w:color="000000" w:sz="4" w:space="0"/>
              <w:right w:val="single" w:color="000000" w:sz="4" w:space="0"/>
            </w:tcBorders>
            <w:shd w:val="clear" w:color="auto" w:fill="FFFFFF"/>
            <w:vAlign w:val="center"/>
          </w:tcPr>
          <w:p w14:paraId="280FD7C8">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15630</w:t>
            </w:r>
          </w:p>
        </w:tc>
        <w:tc>
          <w:tcPr>
            <w:tcW w:w="1200" w:type="dxa"/>
            <w:gridSpan w:val="2"/>
            <w:tcBorders>
              <w:top w:val="nil"/>
              <w:left w:val="nil"/>
              <w:bottom w:val="single" w:color="000000" w:sz="4" w:space="0"/>
              <w:right w:val="single" w:color="000000" w:sz="4" w:space="0"/>
            </w:tcBorders>
            <w:shd w:val="clear" w:color="auto" w:fill="FFFFFF"/>
            <w:vAlign w:val="center"/>
          </w:tcPr>
          <w:p w14:paraId="7FBADE4D">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03963507">
            <w:pPr>
              <w:jc w:val="right"/>
              <w:rPr>
                <w:rFonts w:hint="default" w:ascii="Arial Narrow" w:hAnsi="Arial Narrow" w:eastAsia="Arial Narrow" w:cs="Arial Narrow"/>
                <w:i w:val="0"/>
                <w:iCs w:val="0"/>
                <w:color w:val="auto"/>
                <w:sz w:val="18"/>
                <w:szCs w:val="18"/>
                <w:highlight w:val="none"/>
                <w:u w:val="none"/>
              </w:rPr>
            </w:pPr>
          </w:p>
        </w:tc>
      </w:tr>
      <w:tr w14:paraId="4EBBD3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7FDBAD6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360</w:t>
            </w:r>
          </w:p>
        </w:tc>
        <w:tc>
          <w:tcPr>
            <w:tcW w:w="4060" w:type="dxa"/>
            <w:gridSpan w:val="2"/>
            <w:tcBorders>
              <w:top w:val="nil"/>
              <w:left w:val="nil"/>
              <w:bottom w:val="single" w:color="000000" w:sz="4" w:space="0"/>
              <w:right w:val="single" w:color="000000" w:sz="4" w:space="0"/>
            </w:tcBorders>
            <w:shd w:val="clear" w:color="auto" w:fill="FFFFFF"/>
            <w:vAlign w:val="center"/>
          </w:tcPr>
          <w:p w14:paraId="7735F2E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修复或加铺沥青路面</w:t>
            </w:r>
          </w:p>
        </w:tc>
        <w:tc>
          <w:tcPr>
            <w:tcW w:w="1000" w:type="dxa"/>
            <w:tcBorders>
              <w:top w:val="nil"/>
              <w:left w:val="nil"/>
              <w:bottom w:val="single" w:color="000000" w:sz="4" w:space="0"/>
              <w:right w:val="single" w:color="000000" w:sz="4" w:space="0"/>
            </w:tcBorders>
            <w:shd w:val="clear" w:color="auto" w:fill="FFFFFF"/>
            <w:vAlign w:val="center"/>
          </w:tcPr>
          <w:p w14:paraId="3A51A79A">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688B3D99">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313928E9">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1107E41C">
            <w:pPr>
              <w:jc w:val="right"/>
              <w:rPr>
                <w:rFonts w:hint="default" w:ascii="Arial Narrow" w:hAnsi="Arial Narrow" w:eastAsia="Arial Narrow" w:cs="Arial Narrow"/>
                <w:i w:val="0"/>
                <w:iCs w:val="0"/>
                <w:color w:val="auto"/>
                <w:sz w:val="18"/>
                <w:szCs w:val="18"/>
                <w:highlight w:val="none"/>
                <w:u w:val="none"/>
              </w:rPr>
            </w:pPr>
          </w:p>
        </w:tc>
      </w:tr>
      <w:tr w14:paraId="73DC3E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0E09D7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360-2</w:t>
            </w:r>
          </w:p>
        </w:tc>
        <w:tc>
          <w:tcPr>
            <w:tcW w:w="4060" w:type="dxa"/>
            <w:gridSpan w:val="2"/>
            <w:tcBorders>
              <w:top w:val="nil"/>
              <w:left w:val="nil"/>
              <w:bottom w:val="single" w:color="000000" w:sz="4" w:space="0"/>
              <w:right w:val="single" w:color="000000" w:sz="4" w:space="0"/>
            </w:tcBorders>
            <w:shd w:val="clear" w:color="auto" w:fill="FFFFFF"/>
            <w:vAlign w:val="center"/>
          </w:tcPr>
          <w:p w14:paraId="586EF66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中粒式沥青混凝土</w:t>
            </w:r>
          </w:p>
        </w:tc>
        <w:tc>
          <w:tcPr>
            <w:tcW w:w="1000" w:type="dxa"/>
            <w:tcBorders>
              <w:top w:val="nil"/>
              <w:left w:val="nil"/>
              <w:bottom w:val="single" w:color="000000" w:sz="4" w:space="0"/>
              <w:right w:val="single" w:color="000000" w:sz="4" w:space="0"/>
            </w:tcBorders>
            <w:shd w:val="clear" w:color="auto" w:fill="FFFFFF"/>
            <w:vAlign w:val="center"/>
          </w:tcPr>
          <w:p w14:paraId="1AA9772A">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51C86549">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706C8AA5">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25EAF136">
            <w:pPr>
              <w:jc w:val="right"/>
              <w:rPr>
                <w:rFonts w:hint="default" w:ascii="Arial Narrow" w:hAnsi="Arial Narrow" w:eastAsia="Arial Narrow" w:cs="Arial Narrow"/>
                <w:i w:val="0"/>
                <w:iCs w:val="0"/>
                <w:color w:val="auto"/>
                <w:sz w:val="18"/>
                <w:szCs w:val="18"/>
                <w:highlight w:val="none"/>
                <w:u w:val="none"/>
              </w:rPr>
            </w:pPr>
          </w:p>
        </w:tc>
      </w:tr>
      <w:tr w14:paraId="377A4C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1FD5BD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360-2-a</w:t>
            </w:r>
          </w:p>
        </w:tc>
        <w:tc>
          <w:tcPr>
            <w:tcW w:w="4060" w:type="dxa"/>
            <w:gridSpan w:val="2"/>
            <w:tcBorders>
              <w:top w:val="nil"/>
              <w:left w:val="nil"/>
              <w:bottom w:val="single" w:color="000000" w:sz="4" w:space="0"/>
              <w:right w:val="single" w:color="000000" w:sz="4" w:space="0"/>
            </w:tcBorders>
            <w:shd w:val="clear" w:color="auto" w:fill="FFFFFF"/>
            <w:vAlign w:val="center"/>
          </w:tcPr>
          <w:p w14:paraId="57DB054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重铺6cm厚AC-20C沥青砼</w:t>
            </w:r>
          </w:p>
        </w:tc>
        <w:tc>
          <w:tcPr>
            <w:tcW w:w="1000" w:type="dxa"/>
            <w:tcBorders>
              <w:top w:val="nil"/>
              <w:left w:val="nil"/>
              <w:bottom w:val="single" w:color="000000" w:sz="4" w:space="0"/>
              <w:right w:val="single" w:color="000000" w:sz="4" w:space="0"/>
            </w:tcBorders>
            <w:shd w:val="clear" w:color="auto" w:fill="FFFFFF"/>
            <w:vAlign w:val="center"/>
          </w:tcPr>
          <w:p w14:paraId="6FDFE6D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1200" w:type="dxa"/>
            <w:gridSpan w:val="2"/>
            <w:tcBorders>
              <w:top w:val="nil"/>
              <w:left w:val="nil"/>
              <w:bottom w:val="single" w:color="000000" w:sz="4" w:space="0"/>
              <w:right w:val="single" w:color="000000" w:sz="4" w:space="0"/>
            </w:tcBorders>
            <w:shd w:val="clear" w:color="auto" w:fill="FFFFFF"/>
            <w:vAlign w:val="center"/>
          </w:tcPr>
          <w:p w14:paraId="7F50320D">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15630</w:t>
            </w:r>
          </w:p>
        </w:tc>
        <w:tc>
          <w:tcPr>
            <w:tcW w:w="1200" w:type="dxa"/>
            <w:gridSpan w:val="2"/>
            <w:tcBorders>
              <w:top w:val="nil"/>
              <w:left w:val="nil"/>
              <w:bottom w:val="single" w:color="000000" w:sz="4" w:space="0"/>
              <w:right w:val="single" w:color="000000" w:sz="4" w:space="0"/>
            </w:tcBorders>
            <w:shd w:val="clear" w:color="auto" w:fill="FFFFFF"/>
            <w:vAlign w:val="center"/>
          </w:tcPr>
          <w:p w14:paraId="598523F1">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2304AD6D">
            <w:pPr>
              <w:jc w:val="right"/>
              <w:rPr>
                <w:rFonts w:hint="default" w:ascii="Arial Narrow" w:hAnsi="Arial Narrow" w:eastAsia="Arial Narrow" w:cs="Arial Narrow"/>
                <w:i w:val="0"/>
                <w:iCs w:val="0"/>
                <w:color w:val="auto"/>
                <w:sz w:val="18"/>
                <w:szCs w:val="18"/>
                <w:highlight w:val="none"/>
                <w:u w:val="none"/>
              </w:rPr>
            </w:pPr>
          </w:p>
        </w:tc>
      </w:tr>
      <w:tr w14:paraId="7DAB39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1F5E8C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362</w:t>
            </w:r>
          </w:p>
        </w:tc>
        <w:tc>
          <w:tcPr>
            <w:tcW w:w="4060" w:type="dxa"/>
            <w:gridSpan w:val="2"/>
            <w:tcBorders>
              <w:top w:val="nil"/>
              <w:left w:val="nil"/>
              <w:bottom w:val="single" w:color="000000" w:sz="4" w:space="0"/>
              <w:right w:val="single" w:color="000000" w:sz="4" w:space="0"/>
            </w:tcBorders>
            <w:shd w:val="clear" w:color="auto" w:fill="FFFFFF"/>
            <w:vAlign w:val="center"/>
          </w:tcPr>
          <w:p w14:paraId="5940A3F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修复或加铺改性沥青混凝土路面</w:t>
            </w:r>
          </w:p>
        </w:tc>
        <w:tc>
          <w:tcPr>
            <w:tcW w:w="1000" w:type="dxa"/>
            <w:tcBorders>
              <w:top w:val="nil"/>
              <w:left w:val="nil"/>
              <w:bottom w:val="single" w:color="000000" w:sz="4" w:space="0"/>
              <w:right w:val="single" w:color="000000" w:sz="4" w:space="0"/>
            </w:tcBorders>
            <w:shd w:val="clear" w:color="auto" w:fill="FFFFFF"/>
            <w:vAlign w:val="center"/>
          </w:tcPr>
          <w:p w14:paraId="1E962BE2">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42BED6D7">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195BB322">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524D7346">
            <w:pPr>
              <w:jc w:val="right"/>
              <w:rPr>
                <w:rFonts w:hint="default" w:ascii="Arial Narrow" w:hAnsi="Arial Narrow" w:eastAsia="Arial Narrow" w:cs="Arial Narrow"/>
                <w:i w:val="0"/>
                <w:iCs w:val="0"/>
                <w:color w:val="auto"/>
                <w:sz w:val="18"/>
                <w:szCs w:val="18"/>
                <w:highlight w:val="none"/>
                <w:u w:val="none"/>
              </w:rPr>
            </w:pPr>
          </w:p>
        </w:tc>
      </w:tr>
      <w:tr w14:paraId="081AE7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3C149EE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362-3</w:t>
            </w:r>
          </w:p>
        </w:tc>
        <w:tc>
          <w:tcPr>
            <w:tcW w:w="4060" w:type="dxa"/>
            <w:gridSpan w:val="2"/>
            <w:tcBorders>
              <w:top w:val="nil"/>
              <w:left w:val="nil"/>
              <w:bottom w:val="single" w:color="000000" w:sz="4" w:space="0"/>
              <w:right w:val="single" w:color="000000" w:sz="4" w:space="0"/>
            </w:tcBorders>
            <w:shd w:val="clear" w:color="auto" w:fill="FFFFFF"/>
            <w:vAlign w:val="center"/>
          </w:tcPr>
          <w:p w14:paraId="1002345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SMA面层</w:t>
            </w:r>
          </w:p>
        </w:tc>
        <w:tc>
          <w:tcPr>
            <w:tcW w:w="1000" w:type="dxa"/>
            <w:tcBorders>
              <w:top w:val="nil"/>
              <w:left w:val="nil"/>
              <w:bottom w:val="single" w:color="000000" w:sz="4" w:space="0"/>
              <w:right w:val="single" w:color="000000" w:sz="4" w:space="0"/>
            </w:tcBorders>
            <w:shd w:val="clear" w:color="auto" w:fill="FFFFFF"/>
            <w:vAlign w:val="center"/>
          </w:tcPr>
          <w:p w14:paraId="2E072DE3">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7F438F13">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126C3442">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562B2CFD">
            <w:pPr>
              <w:jc w:val="right"/>
              <w:rPr>
                <w:rFonts w:hint="default" w:ascii="Arial Narrow" w:hAnsi="Arial Narrow" w:eastAsia="Arial Narrow" w:cs="Arial Narrow"/>
                <w:i w:val="0"/>
                <w:iCs w:val="0"/>
                <w:color w:val="auto"/>
                <w:sz w:val="18"/>
                <w:szCs w:val="18"/>
                <w:highlight w:val="none"/>
                <w:u w:val="none"/>
              </w:rPr>
            </w:pPr>
          </w:p>
        </w:tc>
      </w:tr>
      <w:tr w14:paraId="2BEB09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2BB864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362-3-a</w:t>
            </w:r>
          </w:p>
        </w:tc>
        <w:tc>
          <w:tcPr>
            <w:tcW w:w="4060" w:type="dxa"/>
            <w:gridSpan w:val="2"/>
            <w:tcBorders>
              <w:top w:val="nil"/>
              <w:left w:val="nil"/>
              <w:bottom w:val="single" w:color="000000" w:sz="4" w:space="0"/>
              <w:right w:val="single" w:color="000000" w:sz="4" w:space="0"/>
            </w:tcBorders>
            <w:shd w:val="clear" w:color="auto" w:fill="FFFFFF"/>
            <w:vAlign w:val="center"/>
          </w:tcPr>
          <w:p w14:paraId="56D858D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重铺4cm厚SMA-13沥青砼</w:t>
            </w:r>
          </w:p>
        </w:tc>
        <w:tc>
          <w:tcPr>
            <w:tcW w:w="1000" w:type="dxa"/>
            <w:tcBorders>
              <w:top w:val="nil"/>
              <w:left w:val="nil"/>
              <w:bottom w:val="single" w:color="000000" w:sz="4" w:space="0"/>
              <w:right w:val="single" w:color="000000" w:sz="4" w:space="0"/>
            </w:tcBorders>
            <w:shd w:val="clear" w:color="auto" w:fill="FFFFFF"/>
            <w:vAlign w:val="center"/>
          </w:tcPr>
          <w:p w14:paraId="0FE20C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1200" w:type="dxa"/>
            <w:gridSpan w:val="2"/>
            <w:tcBorders>
              <w:top w:val="nil"/>
              <w:left w:val="nil"/>
              <w:bottom w:val="single" w:color="000000" w:sz="4" w:space="0"/>
              <w:right w:val="single" w:color="000000" w:sz="4" w:space="0"/>
            </w:tcBorders>
            <w:shd w:val="clear" w:color="auto" w:fill="FFFFFF"/>
            <w:vAlign w:val="center"/>
          </w:tcPr>
          <w:p w14:paraId="7FB5CCFF">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15630</w:t>
            </w:r>
          </w:p>
        </w:tc>
        <w:tc>
          <w:tcPr>
            <w:tcW w:w="1200" w:type="dxa"/>
            <w:gridSpan w:val="2"/>
            <w:tcBorders>
              <w:top w:val="nil"/>
              <w:left w:val="nil"/>
              <w:bottom w:val="single" w:color="000000" w:sz="4" w:space="0"/>
              <w:right w:val="single" w:color="000000" w:sz="4" w:space="0"/>
            </w:tcBorders>
            <w:shd w:val="clear" w:color="auto" w:fill="FFFFFF"/>
            <w:vAlign w:val="center"/>
          </w:tcPr>
          <w:p w14:paraId="3E718F8F">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25986B83">
            <w:pPr>
              <w:jc w:val="right"/>
              <w:rPr>
                <w:rFonts w:hint="default" w:ascii="Arial Narrow" w:hAnsi="Arial Narrow" w:eastAsia="Arial Narrow" w:cs="Arial Narrow"/>
                <w:i w:val="0"/>
                <w:iCs w:val="0"/>
                <w:color w:val="auto"/>
                <w:sz w:val="18"/>
                <w:szCs w:val="18"/>
                <w:highlight w:val="none"/>
                <w:u w:val="none"/>
              </w:rPr>
            </w:pPr>
          </w:p>
        </w:tc>
      </w:tr>
      <w:tr w14:paraId="2F96CD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5985ED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366</w:t>
            </w:r>
          </w:p>
        </w:tc>
        <w:tc>
          <w:tcPr>
            <w:tcW w:w="4060" w:type="dxa"/>
            <w:gridSpan w:val="2"/>
            <w:tcBorders>
              <w:top w:val="nil"/>
              <w:left w:val="nil"/>
              <w:bottom w:val="single" w:color="000000" w:sz="4" w:space="0"/>
              <w:right w:val="single" w:color="000000" w:sz="4" w:space="0"/>
            </w:tcBorders>
            <w:shd w:val="clear" w:color="auto" w:fill="FFFFFF"/>
            <w:vAlign w:val="center"/>
          </w:tcPr>
          <w:p w14:paraId="390B8DC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修复或完善土工合成材料处理</w:t>
            </w:r>
          </w:p>
        </w:tc>
        <w:tc>
          <w:tcPr>
            <w:tcW w:w="1000" w:type="dxa"/>
            <w:tcBorders>
              <w:top w:val="nil"/>
              <w:left w:val="nil"/>
              <w:bottom w:val="single" w:color="000000" w:sz="4" w:space="0"/>
              <w:right w:val="single" w:color="000000" w:sz="4" w:space="0"/>
            </w:tcBorders>
            <w:shd w:val="clear" w:color="auto" w:fill="FFFFFF"/>
            <w:vAlign w:val="center"/>
          </w:tcPr>
          <w:p w14:paraId="14A7E64E">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1B225A26">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22C1BD60">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5A3C70C9">
            <w:pPr>
              <w:jc w:val="right"/>
              <w:rPr>
                <w:rFonts w:hint="default" w:ascii="Arial Narrow" w:hAnsi="Arial Narrow" w:eastAsia="Arial Narrow" w:cs="Arial Narrow"/>
                <w:i w:val="0"/>
                <w:iCs w:val="0"/>
                <w:color w:val="auto"/>
                <w:sz w:val="18"/>
                <w:szCs w:val="18"/>
                <w:highlight w:val="none"/>
                <w:u w:val="none"/>
              </w:rPr>
            </w:pPr>
          </w:p>
        </w:tc>
      </w:tr>
      <w:tr w14:paraId="52264E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72D4F3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366-2</w:t>
            </w:r>
          </w:p>
        </w:tc>
        <w:tc>
          <w:tcPr>
            <w:tcW w:w="4060" w:type="dxa"/>
            <w:gridSpan w:val="2"/>
            <w:tcBorders>
              <w:top w:val="nil"/>
              <w:left w:val="nil"/>
              <w:bottom w:val="single" w:color="000000" w:sz="4" w:space="0"/>
              <w:right w:val="single" w:color="000000" w:sz="4" w:space="0"/>
            </w:tcBorders>
            <w:shd w:val="clear" w:color="auto" w:fill="FFFFFF"/>
            <w:vAlign w:val="center"/>
          </w:tcPr>
          <w:p w14:paraId="38E1BC1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自粘式玄武岩纤维加筋网</w:t>
            </w:r>
          </w:p>
        </w:tc>
        <w:tc>
          <w:tcPr>
            <w:tcW w:w="1000" w:type="dxa"/>
            <w:tcBorders>
              <w:top w:val="nil"/>
              <w:left w:val="nil"/>
              <w:bottom w:val="single" w:color="000000" w:sz="4" w:space="0"/>
              <w:right w:val="single" w:color="000000" w:sz="4" w:space="0"/>
            </w:tcBorders>
            <w:shd w:val="clear" w:color="auto" w:fill="FFFFFF"/>
            <w:vAlign w:val="center"/>
          </w:tcPr>
          <w:p w14:paraId="50973B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1200" w:type="dxa"/>
            <w:gridSpan w:val="2"/>
            <w:tcBorders>
              <w:top w:val="nil"/>
              <w:left w:val="nil"/>
              <w:bottom w:val="single" w:color="000000" w:sz="4" w:space="0"/>
              <w:right w:val="single" w:color="000000" w:sz="4" w:space="0"/>
            </w:tcBorders>
            <w:shd w:val="clear" w:color="auto" w:fill="FFFFFF"/>
            <w:vAlign w:val="center"/>
          </w:tcPr>
          <w:p w14:paraId="468C715E">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15630</w:t>
            </w:r>
          </w:p>
        </w:tc>
        <w:tc>
          <w:tcPr>
            <w:tcW w:w="1200" w:type="dxa"/>
            <w:gridSpan w:val="2"/>
            <w:tcBorders>
              <w:top w:val="nil"/>
              <w:left w:val="nil"/>
              <w:bottom w:val="single" w:color="000000" w:sz="4" w:space="0"/>
              <w:right w:val="single" w:color="000000" w:sz="4" w:space="0"/>
            </w:tcBorders>
            <w:shd w:val="clear" w:color="auto" w:fill="FFFFFF"/>
            <w:vAlign w:val="center"/>
          </w:tcPr>
          <w:p w14:paraId="0934C6B1">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1CF81775">
            <w:pPr>
              <w:jc w:val="right"/>
              <w:rPr>
                <w:rFonts w:hint="default" w:ascii="Arial Narrow" w:hAnsi="Arial Narrow" w:eastAsia="Arial Narrow" w:cs="Arial Narrow"/>
                <w:i w:val="0"/>
                <w:iCs w:val="0"/>
                <w:color w:val="auto"/>
                <w:sz w:val="18"/>
                <w:szCs w:val="18"/>
                <w:highlight w:val="none"/>
                <w:u w:val="none"/>
              </w:rPr>
            </w:pPr>
          </w:p>
        </w:tc>
      </w:tr>
      <w:tr w14:paraId="2DAA02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54C97C19">
            <w:pPr>
              <w:jc w:val="center"/>
              <w:rPr>
                <w:rFonts w:hint="eastAsia" w:ascii="宋体" w:hAnsi="宋体" w:eastAsia="宋体" w:cs="宋体"/>
                <w:i w:val="0"/>
                <w:iCs w:val="0"/>
                <w:color w:val="auto"/>
                <w:sz w:val="18"/>
                <w:szCs w:val="18"/>
                <w:highlight w:val="none"/>
                <w:u w:val="none"/>
              </w:rPr>
            </w:pPr>
          </w:p>
        </w:tc>
        <w:tc>
          <w:tcPr>
            <w:tcW w:w="4060" w:type="dxa"/>
            <w:gridSpan w:val="2"/>
            <w:tcBorders>
              <w:top w:val="nil"/>
              <w:left w:val="nil"/>
              <w:bottom w:val="single" w:color="000000" w:sz="4" w:space="0"/>
              <w:right w:val="single" w:color="000000" w:sz="4" w:space="0"/>
            </w:tcBorders>
            <w:shd w:val="clear" w:color="auto" w:fill="FFFFFF"/>
            <w:vAlign w:val="center"/>
          </w:tcPr>
          <w:p w14:paraId="2940A335">
            <w:pPr>
              <w:jc w:val="left"/>
              <w:rPr>
                <w:rFonts w:hint="eastAsia" w:ascii="宋体" w:hAnsi="宋体" w:eastAsia="宋体" w:cs="宋体"/>
                <w:i w:val="0"/>
                <w:iCs w:val="0"/>
                <w:color w:val="auto"/>
                <w:sz w:val="18"/>
                <w:szCs w:val="18"/>
                <w:highlight w:val="none"/>
                <w:u w:val="none"/>
              </w:rPr>
            </w:pPr>
          </w:p>
        </w:tc>
        <w:tc>
          <w:tcPr>
            <w:tcW w:w="1000" w:type="dxa"/>
            <w:tcBorders>
              <w:top w:val="nil"/>
              <w:left w:val="nil"/>
              <w:bottom w:val="single" w:color="000000" w:sz="4" w:space="0"/>
              <w:right w:val="single" w:color="000000" w:sz="4" w:space="0"/>
            </w:tcBorders>
            <w:shd w:val="clear" w:color="auto" w:fill="FFFFFF"/>
            <w:vAlign w:val="center"/>
          </w:tcPr>
          <w:p w14:paraId="3D9B71A9">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745ACE4B">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4A33362E">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17FAFA39">
            <w:pPr>
              <w:jc w:val="right"/>
              <w:rPr>
                <w:rFonts w:hint="default" w:ascii="Arial Narrow" w:hAnsi="Arial Narrow" w:eastAsia="Arial Narrow" w:cs="Arial Narrow"/>
                <w:i w:val="0"/>
                <w:iCs w:val="0"/>
                <w:color w:val="auto"/>
                <w:sz w:val="18"/>
                <w:szCs w:val="18"/>
                <w:highlight w:val="none"/>
                <w:u w:val="none"/>
              </w:rPr>
            </w:pPr>
          </w:p>
        </w:tc>
      </w:tr>
      <w:tr w14:paraId="03770D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9660" w:type="dxa"/>
            <w:gridSpan w:val="10"/>
            <w:tcBorders>
              <w:top w:val="nil"/>
              <w:left w:val="single" w:color="000000" w:sz="8" w:space="0"/>
              <w:bottom w:val="single" w:color="000000" w:sz="4" w:space="0"/>
              <w:right w:val="single" w:color="000000" w:sz="8" w:space="0"/>
            </w:tcBorders>
            <w:shd w:val="clear" w:color="auto" w:fill="FFFFFF"/>
            <w:vAlign w:val="center"/>
          </w:tcPr>
          <w:p w14:paraId="383A457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清单    第300章  合计                        元</w:t>
            </w:r>
          </w:p>
        </w:tc>
      </w:tr>
    </w:tbl>
    <w:p w14:paraId="67CA6E44">
      <w:pPr>
        <w:rPr>
          <w:rFonts w:hint="eastAsia"/>
          <w:color w:val="auto"/>
          <w:highlight w:val="none"/>
          <w:lang w:val="en-US" w:eastAsia="zh-CN"/>
        </w:rPr>
      </w:pPr>
    </w:p>
    <w:p w14:paraId="4BE5552F">
      <w:pPr>
        <w:bidi w:val="0"/>
        <w:rPr>
          <w:rFonts w:hint="eastAsia"/>
          <w:color w:val="auto"/>
          <w:highlight w:val="none"/>
          <w:lang w:val="en-US" w:eastAsia="zh-CN"/>
        </w:rPr>
      </w:pPr>
    </w:p>
    <w:p w14:paraId="35137F96">
      <w:pPr>
        <w:rPr>
          <w:rFonts w:hint="eastAsia"/>
          <w:color w:val="auto"/>
          <w:highlight w:val="none"/>
          <w:lang w:val="en-US" w:eastAsia="zh-CN"/>
        </w:rPr>
      </w:pPr>
      <w:r>
        <w:rPr>
          <w:rFonts w:hint="eastAsia"/>
          <w:color w:val="auto"/>
          <w:highlight w:val="none"/>
          <w:lang w:val="en-US" w:eastAsia="zh-CN"/>
        </w:rPr>
        <w:br w:type="page"/>
      </w:r>
    </w:p>
    <w:p w14:paraId="170B7332">
      <w:pPr>
        <w:rPr>
          <w:rFonts w:hint="eastAsia"/>
          <w:color w:val="auto"/>
          <w:highlight w:val="none"/>
          <w:lang w:val="en-US" w:eastAsia="zh-CN"/>
        </w:rPr>
      </w:pPr>
    </w:p>
    <w:tbl>
      <w:tblPr>
        <w:tblStyle w:val="23"/>
        <w:tblW w:w="96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00"/>
        <w:gridCol w:w="2460"/>
        <w:gridCol w:w="1600"/>
        <w:gridCol w:w="1000"/>
        <w:gridCol w:w="800"/>
        <w:gridCol w:w="400"/>
        <w:gridCol w:w="600"/>
        <w:gridCol w:w="600"/>
        <w:gridCol w:w="400"/>
        <w:gridCol w:w="800"/>
      </w:tblGrid>
      <w:tr w14:paraId="04AF99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9660" w:type="dxa"/>
            <w:gridSpan w:val="10"/>
            <w:tcBorders>
              <w:top w:val="nil"/>
              <w:left w:val="nil"/>
              <w:bottom w:val="nil"/>
              <w:right w:val="nil"/>
            </w:tcBorders>
            <w:shd w:val="clear" w:color="auto" w:fill="FFFFFF"/>
            <w:vAlign w:val="top"/>
          </w:tcPr>
          <w:p w14:paraId="79D0A822">
            <w:pPr>
              <w:keepNext w:val="0"/>
              <w:keepLines w:val="0"/>
              <w:widowControl/>
              <w:suppressLineNumbers w:val="0"/>
              <w:jc w:val="center"/>
              <w:textAlignment w:val="top"/>
              <w:rPr>
                <w:rFonts w:hint="eastAsia" w:ascii="宋体" w:hAnsi="宋体" w:eastAsia="宋体" w:cs="宋体"/>
                <w:b/>
                <w:bCs/>
                <w:i w:val="0"/>
                <w:iCs w:val="0"/>
                <w:color w:val="auto"/>
                <w:sz w:val="36"/>
                <w:szCs w:val="36"/>
                <w:highlight w:val="none"/>
                <w:u w:val="none"/>
              </w:rPr>
            </w:pPr>
            <w:r>
              <w:rPr>
                <w:rFonts w:hint="eastAsia" w:ascii="宋体" w:hAnsi="宋体" w:eastAsia="宋体" w:cs="宋体"/>
                <w:b/>
                <w:bCs/>
                <w:i w:val="0"/>
                <w:iCs w:val="0"/>
                <w:color w:val="auto"/>
                <w:kern w:val="0"/>
                <w:sz w:val="36"/>
                <w:szCs w:val="36"/>
                <w:highlight w:val="none"/>
                <w:u w:val="none"/>
                <w:lang w:val="en-US" w:eastAsia="zh-CN" w:bidi="ar"/>
              </w:rPr>
              <w:t>工程细目工程量清单</w:t>
            </w:r>
          </w:p>
        </w:tc>
      </w:tr>
      <w:tr w14:paraId="5EC603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9660" w:type="dxa"/>
            <w:gridSpan w:val="10"/>
            <w:tcBorders>
              <w:top w:val="nil"/>
              <w:left w:val="nil"/>
              <w:bottom w:val="nil"/>
              <w:right w:val="nil"/>
            </w:tcBorders>
            <w:shd w:val="clear" w:color="auto" w:fill="FFFFFF"/>
            <w:vAlign w:val="center"/>
          </w:tcPr>
          <w:p w14:paraId="1AD3F5DB">
            <w:pPr>
              <w:jc w:val="right"/>
              <w:rPr>
                <w:rFonts w:hint="eastAsia" w:ascii="宋体" w:hAnsi="宋体" w:eastAsia="宋体" w:cs="宋体"/>
                <w:i w:val="0"/>
                <w:iCs w:val="0"/>
                <w:color w:val="auto"/>
                <w:sz w:val="18"/>
                <w:szCs w:val="18"/>
                <w:highlight w:val="none"/>
                <w:u w:val="none"/>
              </w:rPr>
            </w:pPr>
          </w:p>
        </w:tc>
      </w:tr>
      <w:tr w14:paraId="60E9B3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3460" w:type="dxa"/>
            <w:gridSpan w:val="2"/>
            <w:tcBorders>
              <w:top w:val="nil"/>
              <w:left w:val="nil"/>
              <w:bottom w:val="nil"/>
              <w:right w:val="nil"/>
            </w:tcBorders>
            <w:shd w:val="clear" w:color="auto" w:fill="FFFFFF"/>
            <w:vAlign w:val="center"/>
          </w:tcPr>
          <w:p w14:paraId="5AA5D3E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项目名称：2026年新昌县G104京岚线关岭隧道上行维修加固工程</w:t>
            </w:r>
          </w:p>
        </w:tc>
        <w:tc>
          <w:tcPr>
            <w:tcW w:w="3400" w:type="dxa"/>
            <w:gridSpan w:val="3"/>
            <w:tcBorders>
              <w:top w:val="nil"/>
              <w:left w:val="nil"/>
              <w:bottom w:val="nil"/>
              <w:right w:val="nil"/>
            </w:tcBorders>
            <w:shd w:val="clear" w:color="auto" w:fill="FFFFFF"/>
            <w:vAlign w:val="center"/>
          </w:tcPr>
          <w:p w14:paraId="0A8CC6B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合同段：2026年新昌县G104京岚线关岭隧道上行维修加固工程</w:t>
            </w:r>
          </w:p>
        </w:tc>
        <w:tc>
          <w:tcPr>
            <w:tcW w:w="1000" w:type="dxa"/>
            <w:gridSpan w:val="2"/>
            <w:tcBorders>
              <w:top w:val="nil"/>
              <w:left w:val="nil"/>
              <w:bottom w:val="nil"/>
              <w:right w:val="nil"/>
            </w:tcBorders>
            <w:shd w:val="clear" w:color="auto" w:fill="FFFFFF"/>
            <w:vAlign w:val="center"/>
          </w:tcPr>
          <w:p w14:paraId="2F4AD8FB">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第 3 页</w:t>
            </w:r>
          </w:p>
        </w:tc>
        <w:tc>
          <w:tcPr>
            <w:tcW w:w="1000" w:type="dxa"/>
            <w:gridSpan w:val="2"/>
            <w:tcBorders>
              <w:top w:val="nil"/>
              <w:left w:val="nil"/>
              <w:bottom w:val="nil"/>
              <w:right w:val="nil"/>
            </w:tcBorders>
            <w:shd w:val="clear" w:color="auto" w:fill="FFFFFF"/>
            <w:vAlign w:val="center"/>
          </w:tcPr>
          <w:p w14:paraId="7FF7005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共 11 页</w:t>
            </w:r>
          </w:p>
        </w:tc>
        <w:tc>
          <w:tcPr>
            <w:tcW w:w="800" w:type="dxa"/>
            <w:tcBorders>
              <w:top w:val="nil"/>
              <w:left w:val="nil"/>
              <w:bottom w:val="nil"/>
              <w:right w:val="nil"/>
            </w:tcBorders>
            <w:shd w:val="clear" w:color="auto" w:fill="FFFFFF"/>
            <w:vAlign w:val="center"/>
          </w:tcPr>
          <w:p w14:paraId="73322315">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表4</w:t>
            </w:r>
          </w:p>
        </w:tc>
      </w:tr>
      <w:tr w14:paraId="6F9788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9660" w:type="dxa"/>
            <w:gridSpan w:val="10"/>
            <w:tcBorders>
              <w:top w:val="single" w:color="000000" w:sz="8" w:space="0"/>
              <w:left w:val="single" w:color="000000" w:sz="8" w:space="0"/>
              <w:bottom w:val="single" w:color="000000" w:sz="4" w:space="0"/>
              <w:right w:val="single" w:color="000000" w:sz="8" w:space="0"/>
            </w:tcBorders>
            <w:shd w:val="clear" w:color="auto" w:fill="FFFFFF"/>
            <w:vAlign w:val="center"/>
          </w:tcPr>
          <w:p w14:paraId="4934C3A9">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 xml:space="preserve">  隧道工程</w:t>
            </w:r>
          </w:p>
        </w:tc>
      </w:tr>
      <w:tr w14:paraId="450FEF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3460DD40">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细目号</w:t>
            </w:r>
          </w:p>
        </w:tc>
        <w:tc>
          <w:tcPr>
            <w:tcW w:w="4060" w:type="dxa"/>
            <w:gridSpan w:val="2"/>
            <w:tcBorders>
              <w:top w:val="nil"/>
              <w:left w:val="nil"/>
              <w:bottom w:val="single" w:color="000000" w:sz="4" w:space="0"/>
              <w:right w:val="single" w:color="000000" w:sz="4" w:space="0"/>
            </w:tcBorders>
            <w:shd w:val="clear" w:color="auto" w:fill="FFFFFF"/>
            <w:vAlign w:val="center"/>
          </w:tcPr>
          <w:p w14:paraId="703FD20F">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细目名称</w:t>
            </w:r>
          </w:p>
        </w:tc>
        <w:tc>
          <w:tcPr>
            <w:tcW w:w="1000" w:type="dxa"/>
            <w:tcBorders>
              <w:top w:val="nil"/>
              <w:left w:val="nil"/>
              <w:bottom w:val="single" w:color="000000" w:sz="4" w:space="0"/>
              <w:right w:val="single" w:color="000000" w:sz="4" w:space="0"/>
            </w:tcBorders>
            <w:shd w:val="clear" w:color="auto" w:fill="FFFFFF"/>
            <w:vAlign w:val="center"/>
          </w:tcPr>
          <w:p w14:paraId="66BD0F53">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计量单位</w:t>
            </w:r>
          </w:p>
        </w:tc>
        <w:tc>
          <w:tcPr>
            <w:tcW w:w="1200" w:type="dxa"/>
            <w:gridSpan w:val="2"/>
            <w:tcBorders>
              <w:top w:val="nil"/>
              <w:left w:val="nil"/>
              <w:bottom w:val="single" w:color="000000" w:sz="4" w:space="0"/>
              <w:right w:val="single" w:color="000000" w:sz="4" w:space="0"/>
            </w:tcBorders>
            <w:shd w:val="clear" w:color="auto" w:fill="FFFFFF"/>
            <w:vAlign w:val="center"/>
          </w:tcPr>
          <w:p w14:paraId="44E725CE">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工程数量</w:t>
            </w:r>
          </w:p>
        </w:tc>
        <w:tc>
          <w:tcPr>
            <w:tcW w:w="1200" w:type="dxa"/>
            <w:gridSpan w:val="2"/>
            <w:tcBorders>
              <w:top w:val="nil"/>
              <w:left w:val="nil"/>
              <w:bottom w:val="single" w:color="000000" w:sz="4" w:space="0"/>
              <w:right w:val="single" w:color="000000" w:sz="4" w:space="0"/>
            </w:tcBorders>
            <w:shd w:val="clear" w:color="auto" w:fill="FFFFFF"/>
            <w:vAlign w:val="center"/>
          </w:tcPr>
          <w:p w14:paraId="71FC095F">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单价（元）</w:t>
            </w:r>
          </w:p>
        </w:tc>
        <w:tc>
          <w:tcPr>
            <w:tcW w:w="1200" w:type="dxa"/>
            <w:gridSpan w:val="2"/>
            <w:tcBorders>
              <w:top w:val="nil"/>
              <w:left w:val="nil"/>
              <w:bottom w:val="single" w:color="000000" w:sz="4" w:space="0"/>
              <w:right w:val="single" w:color="000000" w:sz="8" w:space="0"/>
            </w:tcBorders>
            <w:shd w:val="clear" w:color="auto" w:fill="FFFFFF"/>
            <w:vAlign w:val="center"/>
          </w:tcPr>
          <w:p w14:paraId="04146920">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合价（元）</w:t>
            </w:r>
          </w:p>
        </w:tc>
      </w:tr>
      <w:tr w14:paraId="726A06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21F06D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552</w:t>
            </w:r>
          </w:p>
        </w:tc>
        <w:tc>
          <w:tcPr>
            <w:tcW w:w="4060" w:type="dxa"/>
            <w:gridSpan w:val="2"/>
            <w:tcBorders>
              <w:top w:val="nil"/>
              <w:left w:val="nil"/>
              <w:bottom w:val="single" w:color="000000" w:sz="4" w:space="0"/>
              <w:right w:val="single" w:color="000000" w:sz="4" w:space="0"/>
            </w:tcBorders>
            <w:shd w:val="clear" w:color="auto" w:fill="FFFFFF"/>
            <w:vAlign w:val="center"/>
          </w:tcPr>
          <w:p w14:paraId="3F5C5DA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洞身维修</w:t>
            </w:r>
          </w:p>
        </w:tc>
        <w:tc>
          <w:tcPr>
            <w:tcW w:w="1000" w:type="dxa"/>
            <w:tcBorders>
              <w:top w:val="nil"/>
              <w:left w:val="nil"/>
              <w:bottom w:val="single" w:color="000000" w:sz="4" w:space="0"/>
              <w:right w:val="single" w:color="000000" w:sz="4" w:space="0"/>
            </w:tcBorders>
            <w:shd w:val="clear" w:color="auto" w:fill="FFFFFF"/>
            <w:vAlign w:val="center"/>
          </w:tcPr>
          <w:p w14:paraId="11D94C5E">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73BC4B29">
            <w:pPr>
              <w:jc w:val="right"/>
              <w:rPr>
                <w:rFonts w:hint="eastAsia"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79D91D7A">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7FB724EC">
            <w:pPr>
              <w:jc w:val="right"/>
              <w:rPr>
                <w:rFonts w:hint="default" w:ascii="Arial Narrow" w:hAnsi="Arial Narrow" w:eastAsia="Arial Narrow" w:cs="Arial Narrow"/>
                <w:i w:val="0"/>
                <w:iCs w:val="0"/>
                <w:color w:val="auto"/>
                <w:sz w:val="18"/>
                <w:szCs w:val="18"/>
                <w:highlight w:val="none"/>
                <w:u w:val="none"/>
              </w:rPr>
            </w:pPr>
          </w:p>
        </w:tc>
      </w:tr>
      <w:tr w14:paraId="2AA64E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7004673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552-2</w:t>
            </w:r>
          </w:p>
        </w:tc>
        <w:tc>
          <w:tcPr>
            <w:tcW w:w="4060" w:type="dxa"/>
            <w:gridSpan w:val="2"/>
            <w:tcBorders>
              <w:top w:val="nil"/>
              <w:left w:val="nil"/>
              <w:bottom w:val="single" w:color="000000" w:sz="4" w:space="0"/>
              <w:right w:val="single" w:color="000000" w:sz="4" w:space="0"/>
            </w:tcBorders>
            <w:shd w:val="clear" w:color="auto" w:fill="FFFFFF"/>
            <w:vAlign w:val="center"/>
          </w:tcPr>
          <w:p w14:paraId="101DE3F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衬砌裂纹、剥离、剥落处理</w:t>
            </w:r>
          </w:p>
        </w:tc>
        <w:tc>
          <w:tcPr>
            <w:tcW w:w="1000" w:type="dxa"/>
            <w:tcBorders>
              <w:top w:val="nil"/>
              <w:left w:val="nil"/>
              <w:bottom w:val="single" w:color="000000" w:sz="4" w:space="0"/>
              <w:right w:val="single" w:color="000000" w:sz="4" w:space="0"/>
            </w:tcBorders>
            <w:shd w:val="clear" w:color="auto" w:fill="FFFFFF"/>
            <w:vAlign w:val="center"/>
          </w:tcPr>
          <w:p w14:paraId="75E981F9">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3AE5BD39">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46C42E71">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762D5D0C">
            <w:pPr>
              <w:jc w:val="right"/>
              <w:rPr>
                <w:rFonts w:hint="default" w:ascii="Arial Narrow" w:hAnsi="Arial Narrow" w:eastAsia="Arial Narrow" w:cs="Arial Narrow"/>
                <w:i w:val="0"/>
                <w:iCs w:val="0"/>
                <w:color w:val="auto"/>
                <w:sz w:val="18"/>
                <w:szCs w:val="18"/>
                <w:highlight w:val="none"/>
                <w:u w:val="none"/>
              </w:rPr>
            </w:pPr>
          </w:p>
        </w:tc>
      </w:tr>
      <w:tr w14:paraId="6B41F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01AAD44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552-2-a</w:t>
            </w:r>
          </w:p>
        </w:tc>
        <w:tc>
          <w:tcPr>
            <w:tcW w:w="4060" w:type="dxa"/>
            <w:gridSpan w:val="2"/>
            <w:tcBorders>
              <w:top w:val="nil"/>
              <w:left w:val="nil"/>
              <w:bottom w:val="single" w:color="000000" w:sz="4" w:space="0"/>
              <w:right w:val="single" w:color="000000" w:sz="4" w:space="0"/>
            </w:tcBorders>
            <w:shd w:val="clear" w:color="auto" w:fill="FFFFFF"/>
            <w:vAlign w:val="center"/>
          </w:tcPr>
          <w:p w14:paraId="4876C12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泡沫混凝土注浆</w:t>
            </w:r>
          </w:p>
        </w:tc>
        <w:tc>
          <w:tcPr>
            <w:tcW w:w="1000" w:type="dxa"/>
            <w:tcBorders>
              <w:top w:val="nil"/>
              <w:left w:val="nil"/>
              <w:bottom w:val="single" w:color="000000" w:sz="4" w:space="0"/>
              <w:right w:val="single" w:color="000000" w:sz="4" w:space="0"/>
            </w:tcBorders>
            <w:shd w:val="clear" w:color="auto" w:fill="FFFFFF"/>
            <w:vAlign w:val="center"/>
          </w:tcPr>
          <w:p w14:paraId="4DB9C4D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m3</w:t>
            </w:r>
          </w:p>
        </w:tc>
        <w:tc>
          <w:tcPr>
            <w:tcW w:w="1200" w:type="dxa"/>
            <w:gridSpan w:val="2"/>
            <w:tcBorders>
              <w:top w:val="nil"/>
              <w:left w:val="nil"/>
              <w:bottom w:val="single" w:color="000000" w:sz="4" w:space="0"/>
              <w:right w:val="single" w:color="000000" w:sz="4" w:space="0"/>
            </w:tcBorders>
            <w:shd w:val="clear" w:color="auto" w:fill="FFFFFF"/>
            <w:vAlign w:val="center"/>
          </w:tcPr>
          <w:p w14:paraId="34789138">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147</w:t>
            </w:r>
          </w:p>
        </w:tc>
        <w:tc>
          <w:tcPr>
            <w:tcW w:w="1200" w:type="dxa"/>
            <w:gridSpan w:val="2"/>
            <w:tcBorders>
              <w:top w:val="nil"/>
              <w:left w:val="nil"/>
              <w:bottom w:val="single" w:color="000000" w:sz="4" w:space="0"/>
              <w:right w:val="single" w:color="000000" w:sz="4" w:space="0"/>
            </w:tcBorders>
            <w:shd w:val="clear" w:color="auto" w:fill="FFFFFF"/>
            <w:vAlign w:val="center"/>
          </w:tcPr>
          <w:p w14:paraId="782B1E13">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7C889386">
            <w:pPr>
              <w:jc w:val="right"/>
              <w:rPr>
                <w:rFonts w:hint="default" w:ascii="Arial Narrow" w:hAnsi="Arial Narrow" w:eastAsia="Arial Narrow" w:cs="Arial Narrow"/>
                <w:i w:val="0"/>
                <w:iCs w:val="0"/>
                <w:color w:val="auto"/>
                <w:sz w:val="18"/>
                <w:szCs w:val="18"/>
                <w:highlight w:val="none"/>
                <w:u w:val="none"/>
              </w:rPr>
            </w:pPr>
          </w:p>
        </w:tc>
      </w:tr>
      <w:tr w14:paraId="71E7D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56C4DB3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552-2-j</w:t>
            </w:r>
          </w:p>
        </w:tc>
        <w:tc>
          <w:tcPr>
            <w:tcW w:w="4060" w:type="dxa"/>
            <w:gridSpan w:val="2"/>
            <w:tcBorders>
              <w:top w:val="nil"/>
              <w:left w:val="nil"/>
              <w:bottom w:val="single" w:color="000000" w:sz="4" w:space="0"/>
              <w:right w:val="single" w:color="000000" w:sz="4" w:space="0"/>
            </w:tcBorders>
            <w:shd w:val="clear" w:color="auto" w:fill="FFFFFF"/>
            <w:vAlign w:val="center"/>
          </w:tcPr>
          <w:p w14:paraId="6DE4DD4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聚合物砂浆</w:t>
            </w:r>
          </w:p>
        </w:tc>
        <w:tc>
          <w:tcPr>
            <w:tcW w:w="1000" w:type="dxa"/>
            <w:tcBorders>
              <w:top w:val="nil"/>
              <w:left w:val="nil"/>
              <w:bottom w:val="single" w:color="000000" w:sz="4" w:space="0"/>
              <w:right w:val="single" w:color="000000" w:sz="4" w:space="0"/>
            </w:tcBorders>
            <w:shd w:val="clear" w:color="auto" w:fill="FFFFFF"/>
            <w:vAlign w:val="center"/>
          </w:tcPr>
          <w:p w14:paraId="18EFE2A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m3</w:t>
            </w:r>
          </w:p>
        </w:tc>
        <w:tc>
          <w:tcPr>
            <w:tcW w:w="1200" w:type="dxa"/>
            <w:gridSpan w:val="2"/>
            <w:tcBorders>
              <w:top w:val="nil"/>
              <w:left w:val="nil"/>
              <w:bottom w:val="single" w:color="000000" w:sz="4" w:space="0"/>
              <w:right w:val="single" w:color="000000" w:sz="4" w:space="0"/>
            </w:tcBorders>
            <w:shd w:val="clear" w:color="auto" w:fill="FFFFFF"/>
            <w:vAlign w:val="center"/>
          </w:tcPr>
          <w:p w14:paraId="782DE17C">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0.5</w:t>
            </w:r>
          </w:p>
        </w:tc>
        <w:tc>
          <w:tcPr>
            <w:tcW w:w="1200" w:type="dxa"/>
            <w:gridSpan w:val="2"/>
            <w:tcBorders>
              <w:top w:val="nil"/>
              <w:left w:val="nil"/>
              <w:bottom w:val="single" w:color="000000" w:sz="4" w:space="0"/>
              <w:right w:val="single" w:color="000000" w:sz="4" w:space="0"/>
            </w:tcBorders>
            <w:shd w:val="clear" w:color="auto" w:fill="FFFFFF"/>
            <w:vAlign w:val="center"/>
          </w:tcPr>
          <w:p w14:paraId="0EB40812">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6C7AAC05">
            <w:pPr>
              <w:jc w:val="right"/>
              <w:rPr>
                <w:rFonts w:hint="default" w:ascii="Arial Narrow" w:hAnsi="Arial Narrow" w:eastAsia="Arial Narrow" w:cs="Arial Narrow"/>
                <w:i w:val="0"/>
                <w:iCs w:val="0"/>
                <w:color w:val="auto"/>
                <w:sz w:val="18"/>
                <w:szCs w:val="18"/>
                <w:highlight w:val="none"/>
                <w:u w:val="none"/>
              </w:rPr>
            </w:pPr>
          </w:p>
        </w:tc>
      </w:tr>
      <w:tr w14:paraId="205343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7467302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552-2-m</w:t>
            </w:r>
          </w:p>
        </w:tc>
        <w:tc>
          <w:tcPr>
            <w:tcW w:w="4060" w:type="dxa"/>
            <w:gridSpan w:val="2"/>
            <w:tcBorders>
              <w:top w:val="nil"/>
              <w:left w:val="nil"/>
              <w:bottom w:val="single" w:color="000000" w:sz="4" w:space="0"/>
              <w:right w:val="single" w:color="000000" w:sz="4" w:space="0"/>
            </w:tcBorders>
            <w:shd w:val="clear" w:color="auto" w:fill="FFFFFF"/>
            <w:vAlign w:val="center"/>
          </w:tcPr>
          <w:p w14:paraId="3FECAC9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隧道专用防水涂料</w:t>
            </w:r>
          </w:p>
        </w:tc>
        <w:tc>
          <w:tcPr>
            <w:tcW w:w="1000" w:type="dxa"/>
            <w:tcBorders>
              <w:top w:val="nil"/>
              <w:left w:val="nil"/>
              <w:bottom w:val="single" w:color="000000" w:sz="4" w:space="0"/>
              <w:right w:val="single" w:color="000000" w:sz="4" w:space="0"/>
            </w:tcBorders>
            <w:shd w:val="clear" w:color="auto" w:fill="FFFFFF"/>
            <w:vAlign w:val="center"/>
          </w:tcPr>
          <w:p w14:paraId="6BCC1EE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1200" w:type="dxa"/>
            <w:gridSpan w:val="2"/>
            <w:tcBorders>
              <w:top w:val="nil"/>
              <w:left w:val="nil"/>
              <w:bottom w:val="single" w:color="000000" w:sz="4" w:space="0"/>
              <w:right w:val="single" w:color="000000" w:sz="4" w:space="0"/>
            </w:tcBorders>
            <w:shd w:val="clear" w:color="auto" w:fill="FFFFFF"/>
            <w:vAlign w:val="center"/>
          </w:tcPr>
          <w:p w14:paraId="33FCA138">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30</w:t>
            </w:r>
          </w:p>
        </w:tc>
        <w:tc>
          <w:tcPr>
            <w:tcW w:w="1200" w:type="dxa"/>
            <w:gridSpan w:val="2"/>
            <w:tcBorders>
              <w:top w:val="nil"/>
              <w:left w:val="nil"/>
              <w:bottom w:val="single" w:color="000000" w:sz="4" w:space="0"/>
              <w:right w:val="single" w:color="000000" w:sz="4" w:space="0"/>
            </w:tcBorders>
            <w:shd w:val="clear" w:color="auto" w:fill="FFFFFF"/>
            <w:vAlign w:val="center"/>
          </w:tcPr>
          <w:p w14:paraId="64973EB2">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08F8E210">
            <w:pPr>
              <w:jc w:val="right"/>
              <w:rPr>
                <w:rFonts w:hint="default" w:ascii="Arial Narrow" w:hAnsi="Arial Narrow" w:eastAsia="Arial Narrow" w:cs="Arial Narrow"/>
                <w:i w:val="0"/>
                <w:iCs w:val="0"/>
                <w:color w:val="auto"/>
                <w:sz w:val="18"/>
                <w:szCs w:val="18"/>
                <w:highlight w:val="none"/>
                <w:u w:val="none"/>
              </w:rPr>
            </w:pPr>
          </w:p>
        </w:tc>
      </w:tr>
      <w:tr w14:paraId="430E2C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1E59D04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552-2-n</w:t>
            </w:r>
          </w:p>
        </w:tc>
        <w:tc>
          <w:tcPr>
            <w:tcW w:w="4060" w:type="dxa"/>
            <w:gridSpan w:val="2"/>
            <w:tcBorders>
              <w:top w:val="nil"/>
              <w:left w:val="nil"/>
              <w:bottom w:val="single" w:color="000000" w:sz="4" w:space="0"/>
              <w:right w:val="single" w:color="000000" w:sz="4" w:space="0"/>
            </w:tcBorders>
            <w:shd w:val="clear" w:color="auto" w:fill="FFFFFF"/>
            <w:vAlign w:val="center"/>
          </w:tcPr>
          <w:p w14:paraId="7A5E99B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φ50注浆钢管</w:t>
            </w:r>
          </w:p>
        </w:tc>
        <w:tc>
          <w:tcPr>
            <w:tcW w:w="1000" w:type="dxa"/>
            <w:tcBorders>
              <w:top w:val="nil"/>
              <w:left w:val="nil"/>
              <w:bottom w:val="single" w:color="000000" w:sz="4" w:space="0"/>
              <w:right w:val="single" w:color="000000" w:sz="4" w:space="0"/>
            </w:tcBorders>
            <w:shd w:val="clear" w:color="auto" w:fill="FFFFFF"/>
            <w:vAlign w:val="center"/>
          </w:tcPr>
          <w:p w14:paraId="4FF6E99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200" w:type="dxa"/>
            <w:gridSpan w:val="2"/>
            <w:tcBorders>
              <w:top w:val="nil"/>
              <w:left w:val="nil"/>
              <w:bottom w:val="single" w:color="000000" w:sz="4" w:space="0"/>
              <w:right w:val="single" w:color="000000" w:sz="4" w:space="0"/>
            </w:tcBorders>
            <w:shd w:val="clear" w:color="auto" w:fill="FFFFFF"/>
            <w:vAlign w:val="center"/>
          </w:tcPr>
          <w:p w14:paraId="08AB2FCC">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12</w:t>
            </w:r>
          </w:p>
        </w:tc>
        <w:tc>
          <w:tcPr>
            <w:tcW w:w="1200" w:type="dxa"/>
            <w:gridSpan w:val="2"/>
            <w:tcBorders>
              <w:top w:val="nil"/>
              <w:left w:val="nil"/>
              <w:bottom w:val="single" w:color="000000" w:sz="4" w:space="0"/>
              <w:right w:val="single" w:color="000000" w:sz="4" w:space="0"/>
            </w:tcBorders>
            <w:shd w:val="clear" w:color="auto" w:fill="FFFFFF"/>
            <w:vAlign w:val="center"/>
          </w:tcPr>
          <w:p w14:paraId="1141C1E6">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627C96D8">
            <w:pPr>
              <w:jc w:val="right"/>
              <w:rPr>
                <w:rFonts w:hint="default" w:ascii="Arial Narrow" w:hAnsi="Arial Narrow" w:eastAsia="Arial Narrow" w:cs="Arial Narrow"/>
                <w:i w:val="0"/>
                <w:iCs w:val="0"/>
                <w:color w:val="auto"/>
                <w:sz w:val="18"/>
                <w:szCs w:val="18"/>
                <w:highlight w:val="none"/>
                <w:u w:val="none"/>
              </w:rPr>
            </w:pPr>
          </w:p>
        </w:tc>
      </w:tr>
      <w:tr w14:paraId="106E1A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0838096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552-2-o</w:t>
            </w:r>
          </w:p>
        </w:tc>
        <w:tc>
          <w:tcPr>
            <w:tcW w:w="4060" w:type="dxa"/>
            <w:gridSpan w:val="2"/>
            <w:tcBorders>
              <w:top w:val="nil"/>
              <w:left w:val="nil"/>
              <w:bottom w:val="single" w:color="000000" w:sz="4" w:space="0"/>
              <w:right w:val="single" w:color="000000" w:sz="4" w:space="0"/>
            </w:tcBorders>
            <w:shd w:val="clear" w:color="auto" w:fill="FFFFFF"/>
            <w:vAlign w:val="center"/>
          </w:tcPr>
          <w:p w14:paraId="501BE22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裂缝封闭</w:t>
            </w:r>
          </w:p>
        </w:tc>
        <w:tc>
          <w:tcPr>
            <w:tcW w:w="1000" w:type="dxa"/>
            <w:tcBorders>
              <w:top w:val="nil"/>
              <w:left w:val="nil"/>
              <w:bottom w:val="single" w:color="000000" w:sz="4" w:space="0"/>
              <w:right w:val="single" w:color="000000" w:sz="4" w:space="0"/>
            </w:tcBorders>
            <w:shd w:val="clear" w:color="auto" w:fill="FFFFFF"/>
            <w:vAlign w:val="center"/>
          </w:tcPr>
          <w:p w14:paraId="787EF40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200" w:type="dxa"/>
            <w:gridSpan w:val="2"/>
            <w:tcBorders>
              <w:top w:val="nil"/>
              <w:left w:val="nil"/>
              <w:bottom w:val="single" w:color="000000" w:sz="4" w:space="0"/>
              <w:right w:val="single" w:color="000000" w:sz="4" w:space="0"/>
            </w:tcBorders>
            <w:shd w:val="clear" w:color="auto" w:fill="FFFFFF"/>
            <w:vAlign w:val="center"/>
          </w:tcPr>
          <w:p w14:paraId="084B7530">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154.4</w:t>
            </w:r>
          </w:p>
        </w:tc>
        <w:tc>
          <w:tcPr>
            <w:tcW w:w="1200" w:type="dxa"/>
            <w:gridSpan w:val="2"/>
            <w:tcBorders>
              <w:top w:val="nil"/>
              <w:left w:val="nil"/>
              <w:bottom w:val="single" w:color="000000" w:sz="4" w:space="0"/>
              <w:right w:val="single" w:color="000000" w:sz="4" w:space="0"/>
            </w:tcBorders>
            <w:shd w:val="clear" w:color="auto" w:fill="FFFFFF"/>
            <w:vAlign w:val="center"/>
          </w:tcPr>
          <w:p w14:paraId="62A3F4C3">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66319A4D">
            <w:pPr>
              <w:jc w:val="right"/>
              <w:rPr>
                <w:rFonts w:hint="default" w:ascii="Arial Narrow" w:hAnsi="Arial Narrow" w:eastAsia="Arial Narrow" w:cs="Arial Narrow"/>
                <w:i w:val="0"/>
                <w:iCs w:val="0"/>
                <w:color w:val="auto"/>
                <w:sz w:val="18"/>
                <w:szCs w:val="18"/>
                <w:highlight w:val="none"/>
                <w:u w:val="none"/>
              </w:rPr>
            </w:pPr>
          </w:p>
        </w:tc>
      </w:tr>
      <w:tr w14:paraId="044FF6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224CE04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552-2-p</w:t>
            </w:r>
          </w:p>
        </w:tc>
        <w:tc>
          <w:tcPr>
            <w:tcW w:w="4060" w:type="dxa"/>
            <w:gridSpan w:val="2"/>
            <w:tcBorders>
              <w:top w:val="nil"/>
              <w:left w:val="nil"/>
              <w:bottom w:val="single" w:color="000000" w:sz="4" w:space="0"/>
              <w:right w:val="single" w:color="000000" w:sz="4" w:space="0"/>
            </w:tcBorders>
            <w:shd w:val="clear" w:color="auto" w:fill="FFFFFF"/>
            <w:vAlign w:val="center"/>
          </w:tcPr>
          <w:p w14:paraId="5496ABC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裂缝灌浆</w:t>
            </w:r>
          </w:p>
        </w:tc>
        <w:tc>
          <w:tcPr>
            <w:tcW w:w="1000" w:type="dxa"/>
            <w:tcBorders>
              <w:top w:val="nil"/>
              <w:left w:val="nil"/>
              <w:bottom w:val="single" w:color="000000" w:sz="4" w:space="0"/>
              <w:right w:val="single" w:color="000000" w:sz="4" w:space="0"/>
            </w:tcBorders>
            <w:shd w:val="clear" w:color="auto" w:fill="FFFFFF"/>
            <w:vAlign w:val="center"/>
          </w:tcPr>
          <w:p w14:paraId="78334E0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200" w:type="dxa"/>
            <w:gridSpan w:val="2"/>
            <w:tcBorders>
              <w:top w:val="nil"/>
              <w:left w:val="nil"/>
              <w:bottom w:val="single" w:color="000000" w:sz="4" w:space="0"/>
              <w:right w:val="single" w:color="000000" w:sz="4" w:space="0"/>
            </w:tcBorders>
            <w:shd w:val="clear" w:color="auto" w:fill="FFFFFF"/>
            <w:vAlign w:val="center"/>
          </w:tcPr>
          <w:p w14:paraId="57E8A8DF">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494.9</w:t>
            </w:r>
          </w:p>
        </w:tc>
        <w:tc>
          <w:tcPr>
            <w:tcW w:w="1200" w:type="dxa"/>
            <w:gridSpan w:val="2"/>
            <w:tcBorders>
              <w:top w:val="nil"/>
              <w:left w:val="nil"/>
              <w:bottom w:val="single" w:color="000000" w:sz="4" w:space="0"/>
              <w:right w:val="single" w:color="000000" w:sz="4" w:space="0"/>
            </w:tcBorders>
            <w:shd w:val="clear" w:color="auto" w:fill="FFFFFF"/>
            <w:vAlign w:val="center"/>
          </w:tcPr>
          <w:p w14:paraId="22757273">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6028B352">
            <w:pPr>
              <w:jc w:val="right"/>
              <w:rPr>
                <w:rFonts w:hint="default" w:ascii="Arial Narrow" w:hAnsi="Arial Narrow" w:eastAsia="Arial Narrow" w:cs="Arial Narrow"/>
                <w:i w:val="0"/>
                <w:iCs w:val="0"/>
                <w:color w:val="auto"/>
                <w:sz w:val="18"/>
                <w:szCs w:val="18"/>
                <w:highlight w:val="none"/>
                <w:u w:val="none"/>
              </w:rPr>
            </w:pPr>
          </w:p>
        </w:tc>
      </w:tr>
      <w:tr w14:paraId="158C4A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6DF799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552-2-q</w:t>
            </w:r>
          </w:p>
        </w:tc>
        <w:tc>
          <w:tcPr>
            <w:tcW w:w="4060" w:type="dxa"/>
            <w:gridSpan w:val="2"/>
            <w:tcBorders>
              <w:top w:val="nil"/>
              <w:left w:val="nil"/>
              <w:bottom w:val="single" w:color="000000" w:sz="4" w:space="0"/>
              <w:right w:val="single" w:color="000000" w:sz="4" w:space="0"/>
            </w:tcBorders>
            <w:shd w:val="clear" w:color="auto" w:fill="FFFFFF"/>
            <w:vAlign w:val="center"/>
          </w:tcPr>
          <w:p w14:paraId="7ADEBA7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裂缝粘贴碳纤维</w:t>
            </w:r>
          </w:p>
        </w:tc>
        <w:tc>
          <w:tcPr>
            <w:tcW w:w="1000" w:type="dxa"/>
            <w:tcBorders>
              <w:top w:val="nil"/>
              <w:left w:val="nil"/>
              <w:bottom w:val="single" w:color="000000" w:sz="4" w:space="0"/>
              <w:right w:val="single" w:color="000000" w:sz="4" w:space="0"/>
            </w:tcBorders>
            <w:shd w:val="clear" w:color="auto" w:fill="FFFFFF"/>
            <w:vAlign w:val="center"/>
          </w:tcPr>
          <w:p w14:paraId="004810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1200" w:type="dxa"/>
            <w:gridSpan w:val="2"/>
            <w:tcBorders>
              <w:top w:val="nil"/>
              <w:left w:val="nil"/>
              <w:bottom w:val="single" w:color="000000" w:sz="4" w:space="0"/>
              <w:right w:val="single" w:color="000000" w:sz="4" w:space="0"/>
            </w:tcBorders>
            <w:shd w:val="clear" w:color="auto" w:fill="FFFFFF"/>
            <w:vAlign w:val="center"/>
          </w:tcPr>
          <w:p w14:paraId="435BE4E7">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168</w:t>
            </w:r>
          </w:p>
        </w:tc>
        <w:tc>
          <w:tcPr>
            <w:tcW w:w="1200" w:type="dxa"/>
            <w:gridSpan w:val="2"/>
            <w:tcBorders>
              <w:top w:val="nil"/>
              <w:left w:val="nil"/>
              <w:bottom w:val="single" w:color="000000" w:sz="4" w:space="0"/>
              <w:right w:val="single" w:color="000000" w:sz="4" w:space="0"/>
            </w:tcBorders>
            <w:shd w:val="clear" w:color="auto" w:fill="FFFFFF"/>
            <w:vAlign w:val="center"/>
          </w:tcPr>
          <w:p w14:paraId="0930C6FE">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2161C702">
            <w:pPr>
              <w:jc w:val="right"/>
              <w:rPr>
                <w:rFonts w:hint="default" w:ascii="Arial Narrow" w:hAnsi="Arial Narrow" w:eastAsia="Arial Narrow" w:cs="Arial Narrow"/>
                <w:i w:val="0"/>
                <w:iCs w:val="0"/>
                <w:color w:val="auto"/>
                <w:sz w:val="18"/>
                <w:szCs w:val="18"/>
                <w:highlight w:val="none"/>
                <w:u w:val="none"/>
              </w:rPr>
            </w:pPr>
          </w:p>
        </w:tc>
      </w:tr>
      <w:tr w14:paraId="4E265E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3E9D77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552-3</w:t>
            </w:r>
          </w:p>
        </w:tc>
        <w:tc>
          <w:tcPr>
            <w:tcW w:w="4060" w:type="dxa"/>
            <w:gridSpan w:val="2"/>
            <w:tcBorders>
              <w:top w:val="nil"/>
              <w:left w:val="nil"/>
              <w:bottom w:val="single" w:color="000000" w:sz="4" w:space="0"/>
              <w:right w:val="single" w:color="000000" w:sz="4" w:space="0"/>
            </w:tcBorders>
            <w:shd w:val="clear" w:color="auto" w:fill="FFFFFF"/>
            <w:vAlign w:val="center"/>
          </w:tcPr>
          <w:p w14:paraId="73EA014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衬砌渗漏水处理</w:t>
            </w:r>
          </w:p>
        </w:tc>
        <w:tc>
          <w:tcPr>
            <w:tcW w:w="1000" w:type="dxa"/>
            <w:tcBorders>
              <w:top w:val="nil"/>
              <w:left w:val="nil"/>
              <w:bottom w:val="single" w:color="000000" w:sz="4" w:space="0"/>
              <w:right w:val="single" w:color="000000" w:sz="4" w:space="0"/>
            </w:tcBorders>
            <w:shd w:val="clear" w:color="auto" w:fill="FFFFFF"/>
            <w:vAlign w:val="center"/>
          </w:tcPr>
          <w:p w14:paraId="7986F9F3">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09241AC4">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4BBF8C64">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2D14A5F7">
            <w:pPr>
              <w:jc w:val="right"/>
              <w:rPr>
                <w:rFonts w:hint="default" w:ascii="Arial Narrow" w:hAnsi="Arial Narrow" w:eastAsia="Arial Narrow" w:cs="Arial Narrow"/>
                <w:i w:val="0"/>
                <w:iCs w:val="0"/>
                <w:color w:val="auto"/>
                <w:sz w:val="18"/>
                <w:szCs w:val="18"/>
                <w:highlight w:val="none"/>
                <w:u w:val="none"/>
              </w:rPr>
            </w:pPr>
          </w:p>
        </w:tc>
      </w:tr>
      <w:tr w14:paraId="3DD89B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1F1944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552-3-a</w:t>
            </w:r>
          </w:p>
        </w:tc>
        <w:tc>
          <w:tcPr>
            <w:tcW w:w="4060" w:type="dxa"/>
            <w:gridSpan w:val="2"/>
            <w:tcBorders>
              <w:top w:val="nil"/>
              <w:left w:val="nil"/>
              <w:bottom w:val="single" w:color="000000" w:sz="4" w:space="0"/>
              <w:right w:val="single" w:color="000000" w:sz="4" w:space="0"/>
            </w:tcBorders>
            <w:shd w:val="clear" w:color="auto" w:fill="FFFFFF"/>
            <w:vAlign w:val="center"/>
          </w:tcPr>
          <w:p w14:paraId="19718ED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凿槽埋排水管</w:t>
            </w:r>
          </w:p>
        </w:tc>
        <w:tc>
          <w:tcPr>
            <w:tcW w:w="1000" w:type="dxa"/>
            <w:tcBorders>
              <w:top w:val="nil"/>
              <w:left w:val="nil"/>
              <w:bottom w:val="single" w:color="000000" w:sz="4" w:space="0"/>
              <w:right w:val="single" w:color="000000" w:sz="4" w:space="0"/>
            </w:tcBorders>
            <w:shd w:val="clear" w:color="auto" w:fill="FFFFFF"/>
            <w:vAlign w:val="center"/>
          </w:tcPr>
          <w:p w14:paraId="5A0788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200" w:type="dxa"/>
            <w:gridSpan w:val="2"/>
            <w:tcBorders>
              <w:top w:val="nil"/>
              <w:left w:val="nil"/>
              <w:bottom w:val="single" w:color="000000" w:sz="4" w:space="0"/>
              <w:right w:val="single" w:color="000000" w:sz="4" w:space="0"/>
            </w:tcBorders>
            <w:shd w:val="clear" w:color="auto" w:fill="FFFFFF"/>
            <w:vAlign w:val="center"/>
          </w:tcPr>
          <w:p w14:paraId="345CB4F5">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170</w:t>
            </w:r>
          </w:p>
        </w:tc>
        <w:tc>
          <w:tcPr>
            <w:tcW w:w="1200" w:type="dxa"/>
            <w:gridSpan w:val="2"/>
            <w:tcBorders>
              <w:top w:val="nil"/>
              <w:left w:val="nil"/>
              <w:bottom w:val="single" w:color="000000" w:sz="4" w:space="0"/>
              <w:right w:val="single" w:color="000000" w:sz="4" w:space="0"/>
            </w:tcBorders>
            <w:shd w:val="clear" w:color="auto" w:fill="FFFFFF"/>
            <w:vAlign w:val="center"/>
          </w:tcPr>
          <w:p w14:paraId="4D59EA17">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228331A5">
            <w:pPr>
              <w:jc w:val="right"/>
              <w:rPr>
                <w:rFonts w:hint="default" w:ascii="Arial Narrow" w:hAnsi="Arial Narrow" w:eastAsia="Arial Narrow" w:cs="Arial Narrow"/>
                <w:i w:val="0"/>
                <w:iCs w:val="0"/>
                <w:color w:val="auto"/>
                <w:sz w:val="18"/>
                <w:szCs w:val="18"/>
                <w:highlight w:val="none"/>
                <w:u w:val="none"/>
              </w:rPr>
            </w:pPr>
          </w:p>
        </w:tc>
      </w:tr>
      <w:tr w14:paraId="1E952C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3CAC974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552-3-d</w:t>
            </w:r>
          </w:p>
        </w:tc>
        <w:tc>
          <w:tcPr>
            <w:tcW w:w="4060" w:type="dxa"/>
            <w:gridSpan w:val="2"/>
            <w:tcBorders>
              <w:top w:val="nil"/>
              <w:left w:val="nil"/>
              <w:bottom w:val="single" w:color="000000" w:sz="4" w:space="0"/>
              <w:right w:val="single" w:color="000000" w:sz="4" w:space="0"/>
            </w:tcBorders>
            <w:shd w:val="clear" w:color="auto" w:fill="FFFFFF"/>
            <w:vAlign w:val="center"/>
          </w:tcPr>
          <w:p w14:paraId="2403474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灌注水溶性聚氨脂</w:t>
            </w:r>
          </w:p>
        </w:tc>
        <w:tc>
          <w:tcPr>
            <w:tcW w:w="1000" w:type="dxa"/>
            <w:tcBorders>
              <w:top w:val="nil"/>
              <w:left w:val="nil"/>
              <w:bottom w:val="single" w:color="000000" w:sz="4" w:space="0"/>
              <w:right w:val="single" w:color="000000" w:sz="4" w:space="0"/>
            </w:tcBorders>
            <w:shd w:val="clear" w:color="auto" w:fill="FFFFFF"/>
            <w:vAlign w:val="center"/>
          </w:tcPr>
          <w:p w14:paraId="01FF98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200" w:type="dxa"/>
            <w:gridSpan w:val="2"/>
            <w:tcBorders>
              <w:top w:val="nil"/>
              <w:left w:val="nil"/>
              <w:bottom w:val="single" w:color="000000" w:sz="4" w:space="0"/>
              <w:right w:val="single" w:color="000000" w:sz="4" w:space="0"/>
            </w:tcBorders>
            <w:shd w:val="clear" w:color="auto" w:fill="FFFFFF"/>
            <w:vAlign w:val="center"/>
          </w:tcPr>
          <w:p w14:paraId="50965C9E">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30</w:t>
            </w:r>
          </w:p>
        </w:tc>
        <w:tc>
          <w:tcPr>
            <w:tcW w:w="1200" w:type="dxa"/>
            <w:gridSpan w:val="2"/>
            <w:tcBorders>
              <w:top w:val="nil"/>
              <w:left w:val="nil"/>
              <w:bottom w:val="single" w:color="000000" w:sz="4" w:space="0"/>
              <w:right w:val="single" w:color="000000" w:sz="4" w:space="0"/>
            </w:tcBorders>
            <w:shd w:val="clear" w:color="auto" w:fill="FFFFFF"/>
            <w:vAlign w:val="center"/>
          </w:tcPr>
          <w:p w14:paraId="1AAA8B02">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5C6FE883">
            <w:pPr>
              <w:jc w:val="right"/>
              <w:rPr>
                <w:rFonts w:hint="default" w:ascii="Arial Narrow" w:hAnsi="Arial Narrow" w:eastAsia="Arial Narrow" w:cs="Arial Narrow"/>
                <w:i w:val="0"/>
                <w:iCs w:val="0"/>
                <w:color w:val="auto"/>
                <w:sz w:val="18"/>
                <w:szCs w:val="18"/>
                <w:highlight w:val="none"/>
                <w:u w:val="none"/>
              </w:rPr>
            </w:pPr>
          </w:p>
        </w:tc>
      </w:tr>
      <w:tr w14:paraId="601FDF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106C971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553</w:t>
            </w:r>
          </w:p>
        </w:tc>
        <w:tc>
          <w:tcPr>
            <w:tcW w:w="4060" w:type="dxa"/>
            <w:gridSpan w:val="2"/>
            <w:tcBorders>
              <w:top w:val="nil"/>
              <w:left w:val="nil"/>
              <w:bottom w:val="single" w:color="000000" w:sz="4" w:space="0"/>
              <w:right w:val="single" w:color="000000" w:sz="4" w:space="0"/>
            </w:tcBorders>
            <w:shd w:val="clear" w:color="auto" w:fill="FFFFFF"/>
            <w:vAlign w:val="center"/>
          </w:tcPr>
          <w:p w14:paraId="2CB18E2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路面及其它设施维修</w:t>
            </w:r>
          </w:p>
        </w:tc>
        <w:tc>
          <w:tcPr>
            <w:tcW w:w="1000" w:type="dxa"/>
            <w:tcBorders>
              <w:top w:val="nil"/>
              <w:left w:val="nil"/>
              <w:bottom w:val="single" w:color="000000" w:sz="4" w:space="0"/>
              <w:right w:val="single" w:color="000000" w:sz="4" w:space="0"/>
            </w:tcBorders>
            <w:shd w:val="clear" w:color="auto" w:fill="FFFFFF"/>
            <w:vAlign w:val="center"/>
          </w:tcPr>
          <w:p w14:paraId="227642B9">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35D096E1">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2141A699">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4509529E">
            <w:pPr>
              <w:jc w:val="right"/>
              <w:rPr>
                <w:rFonts w:hint="default" w:ascii="Arial Narrow" w:hAnsi="Arial Narrow" w:eastAsia="Arial Narrow" w:cs="Arial Narrow"/>
                <w:i w:val="0"/>
                <w:iCs w:val="0"/>
                <w:color w:val="auto"/>
                <w:sz w:val="18"/>
                <w:szCs w:val="18"/>
                <w:highlight w:val="none"/>
                <w:u w:val="none"/>
              </w:rPr>
            </w:pPr>
          </w:p>
        </w:tc>
      </w:tr>
      <w:tr w14:paraId="4EC256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69A55D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553-5</w:t>
            </w:r>
          </w:p>
        </w:tc>
        <w:tc>
          <w:tcPr>
            <w:tcW w:w="4060" w:type="dxa"/>
            <w:gridSpan w:val="2"/>
            <w:tcBorders>
              <w:top w:val="nil"/>
              <w:left w:val="nil"/>
              <w:bottom w:val="single" w:color="000000" w:sz="4" w:space="0"/>
              <w:right w:val="single" w:color="000000" w:sz="4" w:space="0"/>
            </w:tcBorders>
            <w:shd w:val="clear" w:color="auto" w:fill="FFFFFF"/>
            <w:vAlign w:val="center"/>
          </w:tcPr>
          <w:p w14:paraId="702294F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路缘石破损修补</w:t>
            </w:r>
          </w:p>
        </w:tc>
        <w:tc>
          <w:tcPr>
            <w:tcW w:w="1000" w:type="dxa"/>
            <w:tcBorders>
              <w:top w:val="nil"/>
              <w:left w:val="nil"/>
              <w:bottom w:val="single" w:color="000000" w:sz="4" w:space="0"/>
              <w:right w:val="single" w:color="000000" w:sz="4" w:space="0"/>
            </w:tcBorders>
            <w:shd w:val="clear" w:color="auto" w:fill="FFFFFF"/>
            <w:vAlign w:val="center"/>
          </w:tcPr>
          <w:p w14:paraId="2F4446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m3</w:t>
            </w:r>
          </w:p>
        </w:tc>
        <w:tc>
          <w:tcPr>
            <w:tcW w:w="1200" w:type="dxa"/>
            <w:gridSpan w:val="2"/>
            <w:tcBorders>
              <w:top w:val="nil"/>
              <w:left w:val="nil"/>
              <w:bottom w:val="single" w:color="000000" w:sz="4" w:space="0"/>
              <w:right w:val="single" w:color="000000" w:sz="4" w:space="0"/>
            </w:tcBorders>
            <w:shd w:val="clear" w:color="auto" w:fill="FFFFFF"/>
            <w:vAlign w:val="center"/>
          </w:tcPr>
          <w:p w14:paraId="4D629CC7">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20</w:t>
            </w:r>
          </w:p>
        </w:tc>
        <w:tc>
          <w:tcPr>
            <w:tcW w:w="1200" w:type="dxa"/>
            <w:gridSpan w:val="2"/>
            <w:tcBorders>
              <w:top w:val="nil"/>
              <w:left w:val="nil"/>
              <w:bottom w:val="single" w:color="000000" w:sz="4" w:space="0"/>
              <w:right w:val="single" w:color="000000" w:sz="4" w:space="0"/>
            </w:tcBorders>
            <w:shd w:val="clear" w:color="auto" w:fill="FFFFFF"/>
            <w:vAlign w:val="center"/>
          </w:tcPr>
          <w:p w14:paraId="433B990F">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4707DA4C">
            <w:pPr>
              <w:jc w:val="right"/>
              <w:rPr>
                <w:rFonts w:hint="default" w:ascii="Arial Narrow" w:hAnsi="Arial Narrow" w:eastAsia="Arial Narrow" w:cs="Arial Narrow"/>
                <w:i w:val="0"/>
                <w:iCs w:val="0"/>
                <w:color w:val="auto"/>
                <w:sz w:val="18"/>
                <w:szCs w:val="18"/>
                <w:highlight w:val="none"/>
                <w:u w:val="none"/>
              </w:rPr>
            </w:pPr>
          </w:p>
        </w:tc>
      </w:tr>
      <w:tr w14:paraId="1BFE82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2F946E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554</w:t>
            </w:r>
          </w:p>
        </w:tc>
        <w:tc>
          <w:tcPr>
            <w:tcW w:w="4060" w:type="dxa"/>
            <w:gridSpan w:val="2"/>
            <w:tcBorders>
              <w:top w:val="nil"/>
              <w:left w:val="nil"/>
              <w:bottom w:val="single" w:color="000000" w:sz="4" w:space="0"/>
              <w:right w:val="single" w:color="000000" w:sz="4" w:space="0"/>
            </w:tcBorders>
            <w:shd w:val="clear" w:color="auto" w:fill="FFFFFF"/>
            <w:vAlign w:val="center"/>
          </w:tcPr>
          <w:p w14:paraId="50035E1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排水设施维修</w:t>
            </w:r>
          </w:p>
        </w:tc>
        <w:tc>
          <w:tcPr>
            <w:tcW w:w="1000" w:type="dxa"/>
            <w:tcBorders>
              <w:top w:val="nil"/>
              <w:left w:val="nil"/>
              <w:bottom w:val="single" w:color="000000" w:sz="4" w:space="0"/>
              <w:right w:val="single" w:color="000000" w:sz="4" w:space="0"/>
            </w:tcBorders>
            <w:shd w:val="clear" w:color="auto" w:fill="FFFFFF"/>
            <w:vAlign w:val="center"/>
          </w:tcPr>
          <w:p w14:paraId="5E75EAD0">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5D5558B2">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2977C492">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79051C50">
            <w:pPr>
              <w:jc w:val="right"/>
              <w:rPr>
                <w:rFonts w:hint="default" w:ascii="Arial Narrow" w:hAnsi="Arial Narrow" w:eastAsia="Arial Narrow" w:cs="Arial Narrow"/>
                <w:i w:val="0"/>
                <w:iCs w:val="0"/>
                <w:color w:val="auto"/>
                <w:sz w:val="18"/>
                <w:szCs w:val="18"/>
                <w:highlight w:val="none"/>
                <w:u w:val="none"/>
              </w:rPr>
            </w:pPr>
          </w:p>
        </w:tc>
      </w:tr>
      <w:tr w14:paraId="3657B9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77A4C87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554-2</w:t>
            </w:r>
          </w:p>
        </w:tc>
        <w:tc>
          <w:tcPr>
            <w:tcW w:w="4060" w:type="dxa"/>
            <w:gridSpan w:val="2"/>
            <w:tcBorders>
              <w:top w:val="nil"/>
              <w:left w:val="nil"/>
              <w:bottom w:val="single" w:color="000000" w:sz="4" w:space="0"/>
              <w:right w:val="single" w:color="000000" w:sz="4" w:space="0"/>
            </w:tcBorders>
            <w:shd w:val="clear" w:color="auto" w:fill="FFFFFF"/>
            <w:vAlign w:val="center"/>
          </w:tcPr>
          <w:p w14:paraId="5273BA7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路缘排水沟破损修补</w:t>
            </w:r>
          </w:p>
        </w:tc>
        <w:tc>
          <w:tcPr>
            <w:tcW w:w="1000" w:type="dxa"/>
            <w:tcBorders>
              <w:top w:val="nil"/>
              <w:left w:val="nil"/>
              <w:bottom w:val="single" w:color="000000" w:sz="4" w:space="0"/>
              <w:right w:val="single" w:color="000000" w:sz="4" w:space="0"/>
            </w:tcBorders>
            <w:shd w:val="clear" w:color="auto" w:fill="FFFFFF"/>
            <w:vAlign w:val="center"/>
          </w:tcPr>
          <w:p w14:paraId="3DBD39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m3</w:t>
            </w:r>
          </w:p>
        </w:tc>
        <w:tc>
          <w:tcPr>
            <w:tcW w:w="1200" w:type="dxa"/>
            <w:gridSpan w:val="2"/>
            <w:tcBorders>
              <w:top w:val="nil"/>
              <w:left w:val="nil"/>
              <w:bottom w:val="single" w:color="000000" w:sz="4" w:space="0"/>
              <w:right w:val="single" w:color="000000" w:sz="4" w:space="0"/>
            </w:tcBorders>
            <w:shd w:val="clear" w:color="auto" w:fill="FFFFFF"/>
            <w:vAlign w:val="center"/>
          </w:tcPr>
          <w:p w14:paraId="2F9C0BDB">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12</w:t>
            </w:r>
          </w:p>
        </w:tc>
        <w:tc>
          <w:tcPr>
            <w:tcW w:w="1200" w:type="dxa"/>
            <w:gridSpan w:val="2"/>
            <w:tcBorders>
              <w:top w:val="nil"/>
              <w:left w:val="nil"/>
              <w:bottom w:val="single" w:color="000000" w:sz="4" w:space="0"/>
              <w:right w:val="single" w:color="000000" w:sz="4" w:space="0"/>
            </w:tcBorders>
            <w:shd w:val="clear" w:color="auto" w:fill="FFFFFF"/>
            <w:vAlign w:val="center"/>
          </w:tcPr>
          <w:p w14:paraId="020AAC8F">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58EB150E">
            <w:pPr>
              <w:jc w:val="right"/>
              <w:rPr>
                <w:rFonts w:hint="default" w:ascii="Arial Narrow" w:hAnsi="Arial Narrow" w:eastAsia="Arial Narrow" w:cs="Arial Narrow"/>
                <w:i w:val="0"/>
                <w:iCs w:val="0"/>
                <w:color w:val="auto"/>
                <w:sz w:val="18"/>
                <w:szCs w:val="18"/>
                <w:highlight w:val="none"/>
                <w:u w:val="none"/>
              </w:rPr>
            </w:pPr>
          </w:p>
        </w:tc>
      </w:tr>
      <w:tr w14:paraId="5D1AA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720DEC7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554-3</w:t>
            </w:r>
          </w:p>
        </w:tc>
        <w:tc>
          <w:tcPr>
            <w:tcW w:w="4060" w:type="dxa"/>
            <w:gridSpan w:val="2"/>
            <w:tcBorders>
              <w:top w:val="nil"/>
              <w:left w:val="nil"/>
              <w:bottom w:val="single" w:color="000000" w:sz="4" w:space="0"/>
              <w:right w:val="single" w:color="000000" w:sz="4" w:space="0"/>
            </w:tcBorders>
            <w:shd w:val="clear" w:color="auto" w:fill="FFFFFF"/>
            <w:vAlign w:val="center"/>
          </w:tcPr>
          <w:p w14:paraId="65AA90D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电缆沟、排水沟盖板破损修补</w:t>
            </w:r>
          </w:p>
        </w:tc>
        <w:tc>
          <w:tcPr>
            <w:tcW w:w="1000" w:type="dxa"/>
            <w:tcBorders>
              <w:top w:val="nil"/>
              <w:left w:val="nil"/>
              <w:bottom w:val="single" w:color="000000" w:sz="4" w:space="0"/>
              <w:right w:val="single" w:color="000000" w:sz="4" w:space="0"/>
            </w:tcBorders>
            <w:shd w:val="clear" w:color="auto" w:fill="FFFFFF"/>
            <w:vAlign w:val="center"/>
          </w:tcPr>
          <w:p w14:paraId="674A53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m3</w:t>
            </w:r>
          </w:p>
        </w:tc>
        <w:tc>
          <w:tcPr>
            <w:tcW w:w="1200" w:type="dxa"/>
            <w:gridSpan w:val="2"/>
            <w:tcBorders>
              <w:top w:val="nil"/>
              <w:left w:val="nil"/>
              <w:bottom w:val="single" w:color="000000" w:sz="4" w:space="0"/>
              <w:right w:val="single" w:color="000000" w:sz="4" w:space="0"/>
            </w:tcBorders>
            <w:shd w:val="clear" w:color="auto" w:fill="FFFFFF"/>
            <w:vAlign w:val="center"/>
          </w:tcPr>
          <w:p w14:paraId="2BD8D36F">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122.1</w:t>
            </w:r>
          </w:p>
        </w:tc>
        <w:tc>
          <w:tcPr>
            <w:tcW w:w="1200" w:type="dxa"/>
            <w:gridSpan w:val="2"/>
            <w:tcBorders>
              <w:top w:val="nil"/>
              <w:left w:val="nil"/>
              <w:bottom w:val="single" w:color="000000" w:sz="4" w:space="0"/>
              <w:right w:val="single" w:color="000000" w:sz="4" w:space="0"/>
            </w:tcBorders>
            <w:shd w:val="clear" w:color="auto" w:fill="FFFFFF"/>
            <w:vAlign w:val="center"/>
          </w:tcPr>
          <w:p w14:paraId="401BE9A8">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1AF2D2F7">
            <w:pPr>
              <w:jc w:val="right"/>
              <w:rPr>
                <w:rFonts w:hint="default" w:ascii="Arial Narrow" w:hAnsi="Arial Narrow" w:eastAsia="Arial Narrow" w:cs="Arial Narrow"/>
                <w:i w:val="0"/>
                <w:iCs w:val="0"/>
                <w:color w:val="auto"/>
                <w:sz w:val="18"/>
                <w:szCs w:val="18"/>
                <w:highlight w:val="none"/>
                <w:u w:val="none"/>
              </w:rPr>
            </w:pPr>
          </w:p>
        </w:tc>
      </w:tr>
      <w:tr w14:paraId="1FCC5A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0A749B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554-4</w:t>
            </w:r>
          </w:p>
        </w:tc>
        <w:tc>
          <w:tcPr>
            <w:tcW w:w="4060" w:type="dxa"/>
            <w:gridSpan w:val="2"/>
            <w:tcBorders>
              <w:top w:val="nil"/>
              <w:left w:val="nil"/>
              <w:bottom w:val="single" w:color="000000" w:sz="4" w:space="0"/>
              <w:right w:val="single" w:color="000000" w:sz="4" w:space="0"/>
            </w:tcBorders>
            <w:shd w:val="clear" w:color="auto" w:fill="FFFFFF"/>
            <w:vAlign w:val="center"/>
          </w:tcPr>
          <w:p w14:paraId="1B2A239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排水沟清扫疏通</w:t>
            </w:r>
          </w:p>
        </w:tc>
        <w:tc>
          <w:tcPr>
            <w:tcW w:w="1000" w:type="dxa"/>
            <w:tcBorders>
              <w:top w:val="nil"/>
              <w:left w:val="nil"/>
              <w:bottom w:val="single" w:color="000000" w:sz="4" w:space="0"/>
              <w:right w:val="single" w:color="000000" w:sz="4" w:space="0"/>
            </w:tcBorders>
            <w:shd w:val="clear" w:color="auto" w:fill="FFFFFF"/>
            <w:vAlign w:val="center"/>
          </w:tcPr>
          <w:p w14:paraId="409F835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200" w:type="dxa"/>
            <w:gridSpan w:val="2"/>
            <w:tcBorders>
              <w:top w:val="nil"/>
              <w:left w:val="nil"/>
              <w:bottom w:val="single" w:color="000000" w:sz="4" w:space="0"/>
              <w:right w:val="single" w:color="000000" w:sz="4" w:space="0"/>
            </w:tcBorders>
            <w:shd w:val="clear" w:color="auto" w:fill="FFFFFF"/>
            <w:vAlign w:val="center"/>
          </w:tcPr>
          <w:p w14:paraId="0BC2BBE6">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1909</w:t>
            </w:r>
          </w:p>
        </w:tc>
        <w:tc>
          <w:tcPr>
            <w:tcW w:w="1200" w:type="dxa"/>
            <w:gridSpan w:val="2"/>
            <w:tcBorders>
              <w:top w:val="nil"/>
              <w:left w:val="nil"/>
              <w:bottom w:val="single" w:color="000000" w:sz="4" w:space="0"/>
              <w:right w:val="single" w:color="000000" w:sz="4" w:space="0"/>
            </w:tcBorders>
            <w:shd w:val="clear" w:color="auto" w:fill="FFFFFF"/>
            <w:vAlign w:val="center"/>
          </w:tcPr>
          <w:p w14:paraId="1F8249FD">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50772CAC">
            <w:pPr>
              <w:jc w:val="right"/>
              <w:rPr>
                <w:rFonts w:hint="default" w:ascii="Arial Narrow" w:hAnsi="Arial Narrow" w:eastAsia="Arial Narrow" w:cs="Arial Narrow"/>
                <w:i w:val="0"/>
                <w:iCs w:val="0"/>
                <w:color w:val="auto"/>
                <w:sz w:val="18"/>
                <w:szCs w:val="18"/>
                <w:highlight w:val="none"/>
                <w:u w:val="none"/>
              </w:rPr>
            </w:pPr>
          </w:p>
        </w:tc>
      </w:tr>
      <w:tr w14:paraId="26BA8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798F0A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555</w:t>
            </w:r>
          </w:p>
        </w:tc>
        <w:tc>
          <w:tcPr>
            <w:tcW w:w="4060" w:type="dxa"/>
            <w:gridSpan w:val="2"/>
            <w:tcBorders>
              <w:top w:val="nil"/>
              <w:left w:val="nil"/>
              <w:bottom w:val="single" w:color="000000" w:sz="4" w:space="0"/>
              <w:right w:val="single" w:color="000000" w:sz="4" w:space="0"/>
            </w:tcBorders>
            <w:shd w:val="clear" w:color="auto" w:fill="FFFFFF"/>
            <w:vAlign w:val="center"/>
          </w:tcPr>
          <w:p w14:paraId="6FF9BC0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吊顶和内装维修</w:t>
            </w:r>
          </w:p>
        </w:tc>
        <w:tc>
          <w:tcPr>
            <w:tcW w:w="1000" w:type="dxa"/>
            <w:tcBorders>
              <w:top w:val="nil"/>
              <w:left w:val="nil"/>
              <w:bottom w:val="single" w:color="000000" w:sz="4" w:space="0"/>
              <w:right w:val="single" w:color="000000" w:sz="4" w:space="0"/>
            </w:tcBorders>
            <w:shd w:val="clear" w:color="auto" w:fill="FFFFFF"/>
            <w:vAlign w:val="center"/>
          </w:tcPr>
          <w:p w14:paraId="2CF0B421">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5A1B137A">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41C2B2AC">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028B99A7">
            <w:pPr>
              <w:jc w:val="right"/>
              <w:rPr>
                <w:rFonts w:hint="default" w:ascii="Arial Narrow" w:hAnsi="Arial Narrow" w:eastAsia="Arial Narrow" w:cs="Arial Narrow"/>
                <w:i w:val="0"/>
                <w:iCs w:val="0"/>
                <w:color w:val="auto"/>
                <w:sz w:val="18"/>
                <w:szCs w:val="18"/>
                <w:highlight w:val="none"/>
                <w:u w:val="none"/>
              </w:rPr>
            </w:pPr>
          </w:p>
        </w:tc>
      </w:tr>
      <w:tr w14:paraId="5898DC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454AEF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555-3</w:t>
            </w:r>
          </w:p>
        </w:tc>
        <w:tc>
          <w:tcPr>
            <w:tcW w:w="4060" w:type="dxa"/>
            <w:gridSpan w:val="2"/>
            <w:tcBorders>
              <w:top w:val="nil"/>
              <w:left w:val="nil"/>
              <w:bottom w:val="single" w:color="000000" w:sz="4" w:space="0"/>
              <w:right w:val="single" w:color="000000" w:sz="4" w:space="0"/>
            </w:tcBorders>
            <w:shd w:val="clear" w:color="auto" w:fill="FFFFFF"/>
            <w:vAlign w:val="center"/>
          </w:tcPr>
          <w:p w14:paraId="32C9182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釉质仿瓷涂料整套做法</w:t>
            </w:r>
          </w:p>
        </w:tc>
        <w:tc>
          <w:tcPr>
            <w:tcW w:w="1000" w:type="dxa"/>
            <w:tcBorders>
              <w:top w:val="nil"/>
              <w:left w:val="nil"/>
              <w:bottom w:val="single" w:color="000000" w:sz="4" w:space="0"/>
              <w:right w:val="single" w:color="000000" w:sz="4" w:space="0"/>
            </w:tcBorders>
            <w:shd w:val="clear" w:color="auto" w:fill="FFFFFF"/>
            <w:vAlign w:val="center"/>
          </w:tcPr>
          <w:p w14:paraId="3364EA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1200" w:type="dxa"/>
            <w:gridSpan w:val="2"/>
            <w:tcBorders>
              <w:top w:val="nil"/>
              <w:left w:val="nil"/>
              <w:bottom w:val="single" w:color="000000" w:sz="4" w:space="0"/>
              <w:right w:val="single" w:color="000000" w:sz="4" w:space="0"/>
            </w:tcBorders>
            <w:shd w:val="clear" w:color="auto" w:fill="FFFFFF"/>
            <w:vAlign w:val="center"/>
          </w:tcPr>
          <w:p w14:paraId="1CFAA97F">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36593</w:t>
            </w:r>
          </w:p>
        </w:tc>
        <w:tc>
          <w:tcPr>
            <w:tcW w:w="1200" w:type="dxa"/>
            <w:gridSpan w:val="2"/>
            <w:tcBorders>
              <w:top w:val="nil"/>
              <w:left w:val="nil"/>
              <w:bottom w:val="single" w:color="000000" w:sz="4" w:space="0"/>
              <w:right w:val="single" w:color="000000" w:sz="4" w:space="0"/>
            </w:tcBorders>
            <w:shd w:val="clear" w:color="auto" w:fill="FFFFFF"/>
            <w:vAlign w:val="center"/>
          </w:tcPr>
          <w:p w14:paraId="78569D70">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3548C8E2">
            <w:pPr>
              <w:jc w:val="right"/>
              <w:rPr>
                <w:rFonts w:hint="default" w:ascii="Arial Narrow" w:hAnsi="Arial Narrow" w:eastAsia="Arial Narrow" w:cs="Arial Narrow"/>
                <w:i w:val="0"/>
                <w:iCs w:val="0"/>
                <w:color w:val="auto"/>
                <w:sz w:val="18"/>
                <w:szCs w:val="18"/>
                <w:highlight w:val="none"/>
                <w:u w:val="none"/>
              </w:rPr>
            </w:pPr>
          </w:p>
        </w:tc>
      </w:tr>
      <w:tr w14:paraId="3859D8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3E0D15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556</w:t>
            </w:r>
          </w:p>
        </w:tc>
        <w:tc>
          <w:tcPr>
            <w:tcW w:w="4060" w:type="dxa"/>
            <w:gridSpan w:val="2"/>
            <w:tcBorders>
              <w:top w:val="nil"/>
              <w:left w:val="nil"/>
              <w:bottom w:val="single" w:color="000000" w:sz="4" w:space="0"/>
              <w:right w:val="single" w:color="000000" w:sz="4" w:space="0"/>
            </w:tcBorders>
            <w:shd w:val="clear" w:color="auto" w:fill="FFFFFF"/>
            <w:vAlign w:val="center"/>
          </w:tcPr>
          <w:p w14:paraId="3578831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人行道或检修道维修</w:t>
            </w:r>
          </w:p>
        </w:tc>
        <w:tc>
          <w:tcPr>
            <w:tcW w:w="1000" w:type="dxa"/>
            <w:tcBorders>
              <w:top w:val="nil"/>
              <w:left w:val="nil"/>
              <w:bottom w:val="single" w:color="000000" w:sz="4" w:space="0"/>
              <w:right w:val="single" w:color="000000" w:sz="4" w:space="0"/>
            </w:tcBorders>
            <w:shd w:val="clear" w:color="auto" w:fill="FFFFFF"/>
            <w:vAlign w:val="center"/>
          </w:tcPr>
          <w:p w14:paraId="21FA9E55">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3443AC51">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3D525A2A">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52CCE0C8">
            <w:pPr>
              <w:jc w:val="right"/>
              <w:rPr>
                <w:rFonts w:hint="default" w:ascii="Arial Narrow" w:hAnsi="Arial Narrow" w:eastAsia="Arial Narrow" w:cs="Arial Narrow"/>
                <w:i w:val="0"/>
                <w:iCs w:val="0"/>
                <w:color w:val="auto"/>
                <w:sz w:val="18"/>
                <w:szCs w:val="18"/>
                <w:highlight w:val="none"/>
                <w:u w:val="none"/>
              </w:rPr>
            </w:pPr>
          </w:p>
        </w:tc>
      </w:tr>
      <w:tr w14:paraId="4A5573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0D0901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556-2</w:t>
            </w:r>
          </w:p>
        </w:tc>
        <w:tc>
          <w:tcPr>
            <w:tcW w:w="4060" w:type="dxa"/>
            <w:gridSpan w:val="2"/>
            <w:tcBorders>
              <w:top w:val="nil"/>
              <w:left w:val="nil"/>
              <w:bottom w:val="single" w:color="000000" w:sz="4" w:space="0"/>
              <w:right w:val="single" w:color="000000" w:sz="4" w:space="0"/>
            </w:tcBorders>
            <w:shd w:val="clear" w:color="auto" w:fill="FFFFFF"/>
            <w:vAlign w:val="center"/>
          </w:tcPr>
          <w:p w14:paraId="10C2784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检修道维修</w:t>
            </w:r>
          </w:p>
        </w:tc>
        <w:tc>
          <w:tcPr>
            <w:tcW w:w="1000" w:type="dxa"/>
            <w:tcBorders>
              <w:top w:val="nil"/>
              <w:left w:val="nil"/>
              <w:bottom w:val="single" w:color="000000" w:sz="4" w:space="0"/>
              <w:right w:val="single" w:color="000000" w:sz="4" w:space="0"/>
            </w:tcBorders>
            <w:shd w:val="clear" w:color="auto" w:fill="FFFFFF"/>
            <w:vAlign w:val="center"/>
          </w:tcPr>
          <w:p w14:paraId="2776378A">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7A6B680C">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5F4AC61D">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3E47C1AA">
            <w:pPr>
              <w:jc w:val="right"/>
              <w:rPr>
                <w:rFonts w:hint="default" w:ascii="Arial Narrow" w:hAnsi="Arial Narrow" w:eastAsia="Arial Narrow" w:cs="Arial Narrow"/>
                <w:i w:val="0"/>
                <w:iCs w:val="0"/>
                <w:color w:val="auto"/>
                <w:sz w:val="18"/>
                <w:szCs w:val="18"/>
                <w:highlight w:val="none"/>
                <w:u w:val="none"/>
              </w:rPr>
            </w:pPr>
          </w:p>
        </w:tc>
      </w:tr>
      <w:tr w14:paraId="287BE3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6DCD32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-a</w:t>
            </w:r>
          </w:p>
        </w:tc>
        <w:tc>
          <w:tcPr>
            <w:tcW w:w="4060" w:type="dxa"/>
            <w:gridSpan w:val="2"/>
            <w:tcBorders>
              <w:top w:val="nil"/>
              <w:left w:val="nil"/>
              <w:bottom w:val="single" w:color="000000" w:sz="4" w:space="0"/>
              <w:right w:val="single" w:color="000000" w:sz="4" w:space="0"/>
            </w:tcBorders>
            <w:shd w:val="clear" w:color="auto" w:fill="FFFFFF"/>
            <w:vAlign w:val="center"/>
          </w:tcPr>
          <w:p w14:paraId="662BAD2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C30砼洞口检修道</w:t>
            </w:r>
          </w:p>
        </w:tc>
        <w:tc>
          <w:tcPr>
            <w:tcW w:w="1000" w:type="dxa"/>
            <w:tcBorders>
              <w:top w:val="nil"/>
              <w:left w:val="nil"/>
              <w:bottom w:val="single" w:color="000000" w:sz="4" w:space="0"/>
              <w:right w:val="single" w:color="000000" w:sz="4" w:space="0"/>
            </w:tcBorders>
            <w:shd w:val="clear" w:color="auto" w:fill="FFFFFF"/>
            <w:vAlign w:val="center"/>
          </w:tcPr>
          <w:p w14:paraId="2BAE8B7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m3</w:t>
            </w:r>
          </w:p>
        </w:tc>
        <w:tc>
          <w:tcPr>
            <w:tcW w:w="1200" w:type="dxa"/>
            <w:gridSpan w:val="2"/>
            <w:tcBorders>
              <w:top w:val="nil"/>
              <w:left w:val="nil"/>
              <w:bottom w:val="single" w:color="000000" w:sz="4" w:space="0"/>
              <w:right w:val="single" w:color="000000" w:sz="4" w:space="0"/>
            </w:tcBorders>
            <w:shd w:val="clear" w:color="auto" w:fill="FFFFFF"/>
            <w:vAlign w:val="center"/>
          </w:tcPr>
          <w:p w14:paraId="5E683BEB">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18</w:t>
            </w:r>
          </w:p>
        </w:tc>
        <w:tc>
          <w:tcPr>
            <w:tcW w:w="1200" w:type="dxa"/>
            <w:gridSpan w:val="2"/>
            <w:tcBorders>
              <w:top w:val="nil"/>
              <w:left w:val="nil"/>
              <w:bottom w:val="single" w:color="000000" w:sz="4" w:space="0"/>
              <w:right w:val="single" w:color="000000" w:sz="4" w:space="0"/>
            </w:tcBorders>
            <w:shd w:val="clear" w:color="auto" w:fill="FFFFFF"/>
            <w:vAlign w:val="center"/>
          </w:tcPr>
          <w:p w14:paraId="39D1DB6E">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213C38B9">
            <w:pPr>
              <w:jc w:val="right"/>
              <w:rPr>
                <w:rFonts w:hint="default" w:ascii="Arial Narrow" w:hAnsi="Arial Narrow" w:eastAsia="Arial Narrow" w:cs="Arial Narrow"/>
                <w:i w:val="0"/>
                <w:iCs w:val="0"/>
                <w:color w:val="auto"/>
                <w:sz w:val="18"/>
                <w:szCs w:val="18"/>
                <w:highlight w:val="none"/>
                <w:u w:val="none"/>
              </w:rPr>
            </w:pPr>
          </w:p>
        </w:tc>
      </w:tr>
      <w:tr w14:paraId="101E68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45ACC72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-b</w:t>
            </w:r>
          </w:p>
        </w:tc>
        <w:tc>
          <w:tcPr>
            <w:tcW w:w="4060" w:type="dxa"/>
            <w:gridSpan w:val="2"/>
            <w:tcBorders>
              <w:top w:val="nil"/>
              <w:left w:val="nil"/>
              <w:bottom w:val="single" w:color="000000" w:sz="4" w:space="0"/>
              <w:right w:val="single" w:color="000000" w:sz="4" w:space="0"/>
            </w:tcBorders>
            <w:shd w:val="clear" w:color="auto" w:fill="FFFFFF"/>
            <w:vAlign w:val="center"/>
          </w:tcPr>
          <w:p w14:paraId="0EB0D9B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检修道镀锌栏杆</w:t>
            </w:r>
          </w:p>
        </w:tc>
        <w:tc>
          <w:tcPr>
            <w:tcW w:w="1000" w:type="dxa"/>
            <w:tcBorders>
              <w:top w:val="nil"/>
              <w:left w:val="nil"/>
              <w:bottom w:val="single" w:color="000000" w:sz="4" w:space="0"/>
              <w:right w:val="single" w:color="000000" w:sz="4" w:space="0"/>
            </w:tcBorders>
            <w:shd w:val="clear" w:color="auto" w:fill="FFFFFF"/>
            <w:vAlign w:val="center"/>
          </w:tcPr>
          <w:p w14:paraId="6894D5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200" w:type="dxa"/>
            <w:gridSpan w:val="2"/>
            <w:tcBorders>
              <w:top w:val="nil"/>
              <w:left w:val="nil"/>
              <w:bottom w:val="single" w:color="000000" w:sz="4" w:space="0"/>
              <w:right w:val="single" w:color="000000" w:sz="4" w:space="0"/>
            </w:tcBorders>
            <w:shd w:val="clear" w:color="auto" w:fill="FFFFFF"/>
            <w:vAlign w:val="center"/>
          </w:tcPr>
          <w:p w14:paraId="730513EE">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160</w:t>
            </w:r>
          </w:p>
        </w:tc>
        <w:tc>
          <w:tcPr>
            <w:tcW w:w="1200" w:type="dxa"/>
            <w:gridSpan w:val="2"/>
            <w:tcBorders>
              <w:top w:val="nil"/>
              <w:left w:val="nil"/>
              <w:bottom w:val="single" w:color="000000" w:sz="4" w:space="0"/>
              <w:right w:val="single" w:color="000000" w:sz="4" w:space="0"/>
            </w:tcBorders>
            <w:shd w:val="clear" w:color="auto" w:fill="FFFFFF"/>
            <w:vAlign w:val="center"/>
          </w:tcPr>
          <w:p w14:paraId="2C0670B6">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7AAE8204">
            <w:pPr>
              <w:jc w:val="right"/>
              <w:rPr>
                <w:rFonts w:hint="default" w:ascii="Arial Narrow" w:hAnsi="Arial Narrow" w:eastAsia="Arial Narrow" w:cs="Arial Narrow"/>
                <w:i w:val="0"/>
                <w:iCs w:val="0"/>
                <w:color w:val="auto"/>
                <w:sz w:val="18"/>
                <w:szCs w:val="18"/>
                <w:highlight w:val="none"/>
                <w:u w:val="none"/>
              </w:rPr>
            </w:pPr>
          </w:p>
        </w:tc>
      </w:tr>
      <w:tr w14:paraId="34A1F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39FBE76D">
            <w:pPr>
              <w:jc w:val="center"/>
              <w:rPr>
                <w:rFonts w:hint="eastAsia" w:ascii="宋体" w:hAnsi="宋体" w:eastAsia="宋体" w:cs="宋体"/>
                <w:i w:val="0"/>
                <w:iCs w:val="0"/>
                <w:color w:val="auto"/>
                <w:sz w:val="18"/>
                <w:szCs w:val="18"/>
                <w:highlight w:val="none"/>
                <w:u w:val="none"/>
              </w:rPr>
            </w:pPr>
          </w:p>
        </w:tc>
        <w:tc>
          <w:tcPr>
            <w:tcW w:w="4060" w:type="dxa"/>
            <w:gridSpan w:val="2"/>
            <w:tcBorders>
              <w:top w:val="nil"/>
              <w:left w:val="nil"/>
              <w:bottom w:val="single" w:color="000000" w:sz="4" w:space="0"/>
              <w:right w:val="single" w:color="000000" w:sz="4" w:space="0"/>
            </w:tcBorders>
            <w:shd w:val="clear" w:color="auto" w:fill="FFFFFF"/>
            <w:vAlign w:val="center"/>
          </w:tcPr>
          <w:p w14:paraId="30DCCC61">
            <w:pPr>
              <w:jc w:val="left"/>
              <w:rPr>
                <w:rFonts w:hint="eastAsia" w:ascii="宋体" w:hAnsi="宋体" w:eastAsia="宋体" w:cs="宋体"/>
                <w:i w:val="0"/>
                <w:iCs w:val="0"/>
                <w:color w:val="auto"/>
                <w:sz w:val="18"/>
                <w:szCs w:val="18"/>
                <w:highlight w:val="none"/>
                <w:u w:val="none"/>
              </w:rPr>
            </w:pPr>
          </w:p>
        </w:tc>
        <w:tc>
          <w:tcPr>
            <w:tcW w:w="1000" w:type="dxa"/>
            <w:tcBorders>
              <w:top w:val="nil"/>
              <w:left w:val="nil"/>
              <w:bottom w:val="single" w:color="000000" w:sz="4" w:space="0"/>
              <w:right w:val="single" w:color="000000" w:sz="4" w:space="0"/>
            </w:tcBorders>
            <w:shd w:val="clear" w:color="auto" w:fill="FFFFFF"/>
            <w:vAlign w:val="center"/>
          </w:tcPr>
          <w:p w14:paraId="762FA8AE">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7CCD2A1C">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1A162DAF">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56AAEA6D">
            <w:pPr>
              <w:jc w:val="right"/>
              <w:rPr>
                <w:rFonts w:hint="default" w:ascii="Arial Narrow" w:hAnsi="Arial Narrow" w:eastAsia="Arial Narrow" w:cs="Arial Narrow"/>
                <w:i w:val="0"/>
                <w:iCs w:val="0"/>
                <w:color w:val="auto"/>
                <w:sz w:val="18"/>
                <w:szCs w:val="18"/>
                <w:highlight w:val="none"/>
                <w:u w:val="none"/>
              </w:rPr>
            </w:pPr>
          </w:p>
        </w:tc>
      </w:tr>
      <w:tr w14:paraId="1713C7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9660" w:type="dxa"/>
            <w:gridSpan w:val="10"/>
            <w:tcBorders>
              <w:top w:val="nil"/>
              <w:left w:val="single" w:color="000000" w:sz="8" w:space="0"/>
              <w:bottom w:val="single" w:color="000000" w:sz="4" w:space="0"/>
              <w:right w:val="single" w:color="000000" w:sz="8" w:space="0"/>
            </w:tcBorders>
            <w:shd w:val="clear" w:color="auto" w:fill="FFFFFF"/>
            <w:vAlign w:val="center"/>
          </w:tcPr>
          <w:p w14:paraId="507F28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清单    第500章  合计                        元</w:t>
            </w:r>
          </w:p>
        </w:tc>
      </w:tr>
    </w:tbl>
    <w:p w14:paraId="30EE886B">
      <w:pPr>
        <w:rPr>
          <w:rFonts w:hint="eastAsia"/>
          <w:color w:val="auto"/>
          <w:highlight w:val="none"/>
          <w:lang w:val="en-US" w:eastAsia="zh-CN"/>
        </w:rPr>
      </w:pPr>
    </w:p>
    <w:p w14:paraId="1B837092">
      <w:pPr>
        <w:rPr>
          <w:rFonts w:hint="eastAsia"/>
          <w:color w:val="auto"/>
          <w:highlight w:val="none"/>
          <w:lang w:val="en-US" w:eastAsia="zh-CN"/>
        </w:rPr>
      </w:pPr>
      <w:r>
        <w:rPr>
          <w:rFonts w:hint="eastAsia"/>
          <w:color w:val="auto"/>
          <w:highlight w:val="none"/>
          <w:lang w:val="en-US" w:eastAsia="zh-CN"/>
        </w:rPr>
        <w:br w:type="page"/>
      </w:r>
    </w:p>
    <w:tbl>
      <w:tblPr>
        <w:tblStyle w:val="23"/>
        <w:tblW w:w="96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00"/>
        <w:gridCol w:w="2460"/>
        <w:gridCol w:w="1600"/>
        <w:gridCol w:w="1000"/>
        <w:gridCol w:w="800"/>
        <w:gridCol w:w="400"/>
        <w:gridCol w:w="600"/>
        <w:gridCol w:w="600"/>
        <w:gridCol w:w="400"/>
        <w:gridCol w:w="800"/>
      </w:tblGrid>
      <w:tr w14:paraId="28F551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9660" w:type="dxa"/>
            <w:gridSpan w:val="10"/>
            <w:tcBorders>
              <w:top w:val="nil"/>
              <w:left w:val="nil"/>
              <w:bottom w:val="nil"/>
              <w:right w:val="nil"/>
            </w:tcBorders>
            <w:shd w:val="clear" w:color="auto" w:fill="FFFFFF"/>
            <w:vAlign w:val="top"/>
          </w:tcPr>
          <w:p w14:paraId="79FFE5B3">
            <w:pPr>
              <w:keepNext w:val="0"/>
              <w:keepLines w:val="0"/>
              <w:widowControl/>
              <w:suppressLineNumbers w:val="0"/>
              <w:jc w:val="center"/>
              <w:textAlignment w:val="top"/>
              <w:rPr>
                <w:rFonts w:hint="eastAsia" w:ascii="宋体" w:hAnsi="宋体" w:eastAsia="宋体" w:cs="宋体"/>
                <w:b/>
                <w:bCs/>
                <w:i w:val="0"/>
                <w:iCs w:val="0"/>
                <w:color w:val="auto"/>
                <w:sz w:val="36"/>
                <w:szCs w:val="36"/>
                <w:highlight w:val="none"/>
                <w:u w:val="none"/>
              </w:rPr>
            </w:pPr>
            <w:r>
              <w:rPr>
                <w:rFonts w:hint="eastAsia" w:ascii="宋体" w:hAnsi="宋体" w:eastAsia="宋体" w:cs="宋体"/>
                <w:b/>
                <w:bCs/>
                <w:i w:val="0"/>
                <w:iCs w:val="0"/>
                <w:color w:val="auto"/>
                <w:kern w:val="0"/>
                <w:sz w:val="36"/>
                <w:szCs w:val="36"/>
                <w:highlight w:val="none"/>
                <w:u w:val="none"/>
                <w:lang w:val="en-US" w:eastAsia="zh-CN" w:bidi="ar"/>
              </w:rPr>
              <w:t>工程细目工程量清单</w:t>
            </w:r>
          </w:p>
        </w:tc>
      </w:tr>
      <w:tr w14:paraId="3650C3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9660" w:type="dxa"/>
            <w:gridSpan w:val="10"/>
            <w:tcBorders>
              <w:top w:val="nil"/>
              <w:left w:val="nil"/>
              <w:bottom w:val="nil"/>
              <w:right w:val="nil"/>
            </w:tcBorders>
            <w:shd w:val="clear" w:color="auto" w:fill="FFFFFF"/>
            <w:vAlign w:val="center"/>
          </w:tcPr>
          <w:p w14:paraId="1A994287">
            <w:pPr>
              <w:jc w:val="right"/>
              <w:rPr>
                <w:rFonts w:hint="eastAsia" w:ascii="宋体" w:hAnsi="宋体" w:eastAsia="宋体" w:cs="宋体"/>
                <w:i w:val="0"/>
                <w:iCs w:val="0"/>
                <w:color w:val="auto"/>
                <w:sz w:val="18"/>
                <w:szCs w:val="18"/>
                <w:highlight w:val="none"/>
                <w:u w:val="none"/>
              </w:rPr>
            </w:pPr>
          </w:p>
        </w:tc>
      </w:tr>
      <w:tr w14:paraId="27D228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00" w:hRule="atLeast"/>
          <w:jc w:val="center"/>
        </w:trPr>
        <w:tc>
          <w:tcPr>
            <w:tcW w:w="3460" w:type="dxa"/>
            <w:gridSpan w:val="2"/>
            <w:tcBorders>
              <w:top w:val="nil"/>
              <w:left w:val="nil"/>
              <w:bottom w:val="nil"/>
              <w:right w:val="nil"/>
            </w:tcBorders>
            <w:shd w:val="clear" w:color="auto" w:fill="FFFFFF"/>
            <w:vAlign w:val="center"/>
          </w:tcPr>
          <w:p w14:paraId="2A1C275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项目名称：2026年新昌县G104京岚线关岭隧道上行维修加固工程</w:t>
            </w:r>
          </w:p>
        </w:tc>
        <w:tc>
          <w:tcPr>
            <w:tcW w:w="3400" w:type="dxa"/>
            <w:gridSpan w:val="3"/>
            <w:tcBorders>
              <w:top w:val="nil"/>
              <w:left w:val="nil"/>
              <w:bottom w:val="nil"/>
              <w:right w:val="nil"/>
            </w:tcBorders>
            <w:shd w:val="clear" w:color="auto" w:fill="FFFFFF"/>
            <w:vAlign w:val="center"/>
          </w:tcPr>
          <w:p w14:paraId="5CFE65D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合同段：2026年新昌县G104京岚线关岭隧道上行维修加固工程</w:t>
            </w:r>
          </w:p>
        </w:tc>
        <w:tc>
          <w:tcPr>
            <w:tcW w:w="1000" w:type="dxa"/>
            <w:gridSpan w:val="2"/>
            <w:tcBorders>
              <w:top w:val="nil"/>
              <w:left w:val="nil"/>
              <w:bottom w:val="nil"/>
              <w:right w:val="nil"/>
            </w:tcBorders>
            <w:shd w:val="clear" w:color="auto" w:fill="FFFFFF"/>
            <w:vAlign w:val="center"/>
          </w:tcPr>
          <w:p w14:paraId="2DAFF759">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第 4 页</w:t>
            </w:r>
          </w:p>
        </w:tc>
        <w:tc>
          <w:tcPr>
            <w:tcW w:w="1000" w:type="dxa"/>
            <w:gridSpan w:val="2"/>
            <w:tcBorders>
              <w:top w:val="nil"/>
              <w:left w:val="nil"/>
              <w:bottom w:val="nil"/>
              <w:right w:val="nil"/>
            </w:tcBorders>
            <w:shd w:val="clear" w:color="auto" w:fill="FFFFFF"/>
            <w:vAlign w:val="center"/>
          </w:tcPr>
          <w:p w14:paraId="564510F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共 11 页</w:t>
            </w:r>
          </w:p>
        </w:tc>
        <w:tc>
          <w:tcPr>
            <w:tcW w:w="800" w:type="dxa"/>
            <w:tcBorders>
              <w:top w:val="nil"/>
              <w:left w:val="nil"/>
              <w:bottom w:val="nil"/>
              <w:right w:val="nil"/>
            </w:tcBorders>
            <w:shd w:val="clear" w:color="auto" w:fill="FFFFFF"/>
            <w:vAlign w:val="center"/>
          </w:tcPr>
          <w:p w14:paraId="0691EF2E">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表4</w:t>
            </w:r>
          </w:p>
        </w:tc>
      </w:tr>
      <w:tr w14:paraId="2FE3F0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9660" w:type="dxa"/>
            <w:gridSpan w:val="10"/>
            <w:tcBorders>
              <w:top w:val="single" w:color="000000" w:sz="8" w:space="0"/>
              <w:left w:val="single" w:color="000000" w:sz="8" w:space="0"/>
              <w:bottom w:val="single" w:color="000000" w:sz="4" w:space="0"/>
              <w:right w:val="single" w:color="000000" w:sz="8" w:space="0"/>
            </w:tcBorders>
            <w:shd w:val="clear" w:color="auto" w:fill="FFFFFF"/>
            <w:vAlign w:val="center"/>
          </w:tcPr>
          <w:p w14:paraId="60EC377E">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安全设施及预埋管线工程</w:t>
            </w:r>
          </w:p>
        </w:tc>
      </w:tr>
      <w:tr w14:paraId="7F4A58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6FEA28E2">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细目号</w:t>
            </w:r>
          </w:p>
        </w:tc>
        <w:tc>
          <w:tcPr>
            <w:tcW w:w="4060" w:type="dxa"/>
            <w:gridSpan w:val="2"/>
            <w:tcBorders>
              <w:top w:val="nil"/>
              <w:left w:val="nil"/>
              <w:bottom w:val="single" w:color="000000" w:sz="4" w:space="0"/>
              <w:right w:val="single" w:color="000000" w:sz="4" w:space="0"/>
            </w:tcBorders>
            <w:shd w:val="clear" w:color="auto" w:fill="FFFFFF"/>
            <w:vAlign w:val="center"/>
          </w:tcPr>
          <w:p w14:paraId="6F9E2F0B">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细目名称</w:t>
            </w:r>
          </w:p>
        </w:tc>
        <w:tc>
          <w:tcPr>
            <w:tcW w:w="1000" w:type="dxa"/>
            <w:tcBorders>
              <w:top w:val="nil"/>
              <w:left w:val="nil"/>
              <w:bottom w:val="single" w:color="000000" w:sz="4" w:space="0"/>
              <w:right w:val="single" w:color="000000" w:sz="4" w:space="0"/>
            </w:tcBorders>
            <w:shd w:val="clear" w:color="auto" w:fill="FFFFFF"/>
            <w:vAlign w:val="center"/>
          </w:tcPr>
          <w:p w14:paraId="60E3CC8B">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计量单位</w:t>
            </w:r>
          </w:p>
        </w:tc>
        <w:tc>
          <w:tcPr>
            <w:tcW w:w="1200" w:type="dxa"/>
            <w:gridSpan w:val="2"/>
            <w:tcBorders>
              <w:top w:val="nil"/>
              <w:left w:val="nil"/>
              <w:bottom w:val="single" w:color="000000" w:sz="4" w:space="0"/>
              <w:right w:val="single" w:color="000000" w:sz="4" w:space="0"/>
            </w:tcBorders>
            <w:shd w:val="clear" w:color="auto" w:fill="FFFFFF"/>
            <w:vAlign w:val="center"/>
          </w:tcPr>
          <w:p w14:paraId="4523E858">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工程数量</w:t>
            </w:r>
          </w:p>
        </w:tc>
        <w:tc>
          <w:tcPr>
            <w:tcW w:w="1200" w:type="dxa"/>
            <w:gridSpan w:val="2"/>
            <w:tcBorders>
              <w:top w:val="nil"/>
              <w:left w:val="nil"/>
              <w:bottom w:val="single" w:color="000000" w:sz="4" w:space="0"/>
              <w:right w:val="single" w:color="000000" w:sz="4" w:space="0"/>
            </w:tcBorders>
            <w:shd w:val="clear" w:color="auto" w:fill="FFFFFF"/>
            <w:vAlign w:val="center"/>
          </w:tcPr>
          <w:p w14:paraId="705762A4">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单价（元）</w:t>
            </w:r>
          </w:p>
        </w:tc>
        <w:tc>
          <w:tcPr>
            <w:tcW w:w="1200" w:type="dxa"/>
            <w:gridSpan w:val="2"/>
            <w:tcBorders>
              <w:top w:val="nil"/>
              <w:left w:val="nil"/>
              <w:bottom w:val="single" w:color="000000" w:sz="4" w:space="0"/>
              <w:right w:val="single" w:color="000000" w:sz="8" w:space="0"/>
            </w:tcBorders>
            <w:shd w:val="clear" w:color="auto" w:fill="FFFFFF"/>
            <w:vAlign w:val="center"/>
          </w:tcPr>
          <w:p w14:paraId="095B6AD3">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合价（元）</w:t>
            </w:r>
          </w:p>
        </w:tc>
      </w:tr>
      <w:tr w14:paraId="758E38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7D1CC1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602</w:t>
            </w:r>
          </w:p>
        </w:tc>
        <w:tc>
          <w:tcPr>
            <w:tcW w:w="4060" w:type="dxa"/>
            <w:gridSpan w:val="2"/>
            <w:tcBorders>
              <w:top w:val="nil"/>
              <w:left w:val="nil"/>
              <w:bottom w:val="single" w:color="000000" w:sz="4" w:space="0"/>
              <w:right w:val="single" w:color="000000" w:sz="4" w:space="0"/>
            </w:tcBorders>
            <w:shd w:val="clear" w:color="auto" w:fill="FFFFFF"/>
            <w:vAlign w:val="center"/>
          </w:tcPr>
          <w:p w14:paraId="4FB850B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护栏</w:t>
            </w:r>
          </w:p>
        </w:tc>
        <w:tc>
          <w:tcPr>
            <w:tcW w:w="1000" w:type="dxa"/>
            <w:tcBorders>
              <w:top w:val="nil"/>
              <w:left w:val="nil"/>
              <w:bottom w:val="single" w:color="000000" w:sz="4" w:space="0"/>
              <w:right w:val="single" w:color="000000" w:sz="4" w:space="0"/>
            </w:tcBorders>
            <w:shd w:val="clear" w:color="auto" w:fill="FFFFFF"/>
            <w:vAlign w:val="center"/>
          </w:tcPr>
          <w:p w14:paraId="3B78DB2E">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0953F98C">
            <w:pPr>
              <w:jc w:val="right"/>
              <w:rPr>
                <w:rFonts w:hint="eastAsia"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2D2B0807">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0E777359">
            <w:pPr>
              <w:jc w:val="right"/>
              <w:rPr>
                <w:rFonts w:hint="default" w:ascii="Arial Narrow" w:hAnsi="Arial Narrow" w:eastAsia="Arial Narrow" w:cs="Arial Narrow"/>
                <w:i w:val="0"/>
                <w:iCs w:val="0"/>
                <w:color w:val="auto"/>
                <w:sz w:val="18"/>
                <w:szCs w:val="18"/>
                <w:highlight w:val="none"/>
                <w:u w:val="none"/>
              </w:rPr>
            </w:pPr>
          </w:p>
        </w:tc>
      </w:tr>
      <w:tr w14:paraId="53B19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23357B1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602-4</w:t>
            </w:r>
          </w:p>
        </w:tc>
        <w:tc>
          <w:tcPr>
            <w:tcW w:w="4060" w:type="dxa"/>
            <w:gridSpan w:val="2"/>
            <w:tcBorders>
              <w:top w:val="nil"/>
              <w:left w:val="nil"/>
              <w:bottom w:val="single" w:color="000000" w:sz="4" w:space="0"/>
              <w:right w:val="single" w:color="000000" w:sz="4" w:space="0"/>
            </w:tcBorders>
            <w:shd w:val="clear" w:color="auto" w:fill="FFFFFF"/>
            <w:vAlign w:val="center"/>
          </w:tcPr>
          <w:p w14:paraId="2D6D1C2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活动式钢护栏</w:t>
            </w:r>
          </w:p>
        </w:tc>
        <w:tc>
          <w:tcPr>
            <w:tcW w:w="1000" w:type="dxa"/>
            <w:tcBorders>
              <w:top w:val="nil"/>
              <w:left w:val="nil"/>
              <w:bottom w:val="single" w:color="000000" w:sz="4" w:space="0"/>
              <w:right w:val="single" w:color="000000" w:sz="4" w:space="0"/>
            </w:tcBorders>
            <w:shd w:val="clear" w:color="auto" w:fill="FFFFFF"/>
            <w:vAlign w:val="center"/>
          </w:tcPr>
          <w:p w14:paraId="2FA8F7C2">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2A588C78">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710A429F">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0A6AF618">
            <w:pPr>
              <w:jc w:val="right"/>
              <w:rPr>
                <w:rFonts w:hint="default" w:ascii="Arial Narrow" w:hAnsi="Arial Narrow" w:eastAsia="Arial Narrow" w:cs="Arial Narrow"/>
                <w:i w:val="0"/>
                <w:iCs w:val="0"/>
                <w:color w:val="auto"/>
                <w:sz w:val="18"/>
                <w:szCs w:val="18"/>
                <w:highlight w:val="none"/>
                <w:u w:val="none"/>
              </w:rPr>
            </w:pPr>
          </w:p>
        </w:tc>
      </w:tr>
      <w:tr w14:paraId="411828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113DD52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602-4-a</w:t>
            </w:r>
          </w:p>
        </w:tc>
        <w:tc>
          <w:tcPr>
            <w:tcW w:w="4060" w:type="dxa"/>
            <w:gridSpan w:val="2"/>
            <w:tcBorders>
              <w:top w:val="nil"/>
              <w:left w:val="nil"/>
              <w:bottom w:val="single" w:color="000000" w:sz="4" w:space="0"/>
              <w:right w:val="single" w:color="000000" w:sz="4" w:space="0"/>
            </w:tcBorders>
            <w:shd w:val="clear" w:color="auto" w:fill="FFFFFF"/>
            <w:vAlign w:val="center"/>
          </w:tcPr>
          <w:p w14:paraId="4EF8C18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旋转式护栏</w:t>
            </w:r>
          </w:p>
        </w:tc>
        <w:tc>
          <w:tcPr>
            <w:tcW w:w="1000" w:type="dxa"/>
            <w:tcBorders>
              <w:top w:val="nil"/>
              <w:left w:val="nil"/>
              <w:bottom w:val="single" w:color="000000" w:sz="4" w:space="0"/>
              <w:right w:val="single" w:color="000000" w:sz="4" w:space="0"/>
            </w:tcBorders>
            <w:shd w:val="clear" w:color="auto" w:fill="FFFFFF"/>
            <w:vAlign w:val="center"/>
          </w:tcPr>
          <w:p w14:paraId="70E840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200" w:type="dxa"/>
            <w:gridSpan w:val="2"/>
            <w:tcBorders>
              <w:top w:val="nil"/>
              <w:left w:val="nil"/>
              <w:bottom w:val="single" w:color="000000" w:sz="4" w:space="0"/>
              <w:right w:val="single" w:color="000000" w:sz="4" w:space="0"/>
            </w:tcBorders>
            <w:shd w:val="clear" w:color="auto" w:fill="FFFFFF"/>
            <w:vAlign w:val="center"/>
          </w:tcPr>
          <w:p w14:paraId="5C723B48">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12</w:t>
            </w:r>
          </w:p>
        </w:tc>
        <w:tc>
          <w:tcPr>
            <w:tcW w:w="1200" w:type="dxa"/>
            <w:gridSpan w:val="2"/>
            <w:tcBorders>
              <w:top w:val="nil"/>
              <w:left w:val="nil"/>
              <w:bottom w:val="single" w:color="000000" w:sz="4" w:space="0"/>
              <w:right w:val="single" w:color="000000" w:sz="4" w:space="0"/>
            </w:tcBorders>
            <w:shd w:val="clear" w:color="auto" w:fill="FFFFFF"/>
            <w:vAlign w:val="center"/>
          </w:tcPr>
          <w:p w14:paraId="2BE86F71">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6D2EDE63">
            <w:pPr>
              <w:jc w:val="right"/>
              <w:rPr>
                <w:rFonts w:hint="default" w:ascii="Arial Narrow" w:hAnsi="Arial Narrow" w:eastAsia="Arial Narrow" w:cs="Arial Narrow"/>
                <w:i w:val="0"/>
                <w:iCs w:val="0"/>
                <w:color w:val="auto"/>
                <w:sz w:val="18"/>
                <w:szCs w:val="18"/>
                <w:highlight w:val="none"/>
                <w:u w:val="none"/>
              </w:rPr>
            </w:pPr>
          </w:p>
        </w:tc>
      </w:tr>
      <w:tr w14:paraId="477E09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427DE49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605</w:t>
            </w:r>
          </w:p>
        </w:tc>
        <w:tc>
          <w:tcPr>
            <w:tcW w:w="4060" w:type="dxa"/>
            <w:gridSpan w:val="2"/>
            <w:tcBorders>
              <w:top w:val="nil"/>
              <w:left w:val="nil"/>
              <w:bottom w:val="single" w:color="000000" w:sz="4" w:space="0"/>
              <w:right w:val="single" w:color="000000" w:sz="4" w:space="0"/>
            </w:tcBorders>
            <w:shd w:val="clear" w:color="auto" w:fill="FFFFFF"/>
            <w:vAlign w:val="center"/>
          </w:tcPr>
          <w:p w14:paraId="1124213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道路交通标线</w:t>
            </w:r>
          </w:p>
        </w:tc>
        <w:tc>
          <w:tcPr>
            <w:tcW w:w="1000" w:type="dxa"/>
            <w:tcBorders>
              <w:top w:val="nil"/>
              <w:left w:val="nil"/>
              <w:bottom w:val="single" w:color="000000" w:sz="4" w:space="0"/>
              <w:right w:val="single" w:color="000000" w:sz="4" w:space="0"/>
            </w:tcBorders>
            <w:shd w:val="clear" w:color="auto" w:fill="FFFFFF"/>
            <w:vAlign w:val="center"/>
          </w:tcPr>
          <w:p w14:paraId="7F149CAD">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2304F09A">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746B8DC0">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54128509">
            <w:pPr>
              <w:jc w:val="right"/>
              <w:rPr>
                <w:rFonts w:hint="default" w:ascii="Arial Narrow" w:hAnsi="Arial Narrow" w:eastAsia="Arial Narrow" w:cs="Arial Narrow"/>
                <w:i w:val="0"/>
                <w:iCs w:val="0"/>
                <w:color w:val="auto"/>
                <w:sz w:val="18"/>
                <w:szCs w:val="18"/>
                <w:highlight w:val="none"/>
                <w:u w:val="none"/>
              </w:rPr>
            </w:pPr>
          </w:p>
        </w:tc>
      </w:tr>
      <w:tr w14:paraId="2A0F85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7F23C22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605-1</w:t>
            </w:r>
          </w:p>
        </w:tc>
        <w:tc>
          <w:tcPr>
            <w:tcW w:w="4060" w:type="dxa"/>
            <w:gridSpan w:val="2"/>
            <w:tcBorders>
              <w:top w:val="nil"/>
              <w:left w:val="nil"/>
              <w:bottom w:val="single" w:color="000000" w:sz="4" w:space="0"/>
              <w:right w:val="single" w:color="000000" w:sz="4" w:space="0"/>
            </w:tcBorders>
            <w:shd w:val="clear" w:color="auto" w:fill="FFFFFF"/>
            <w:vAlign w:val="center"/>
          </w:tcPr>
          <w:p w14:paraId="5F0A2AA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热熔型涂料路面标线</w:t>
            </w:r>
          </w:p>
        </w:tc>
        <w:tc>
          <w:tcPr>
            <w:tcW w:w="1000" w:type="dxa"/>
            <w:tcBorders>
              <w:top w:val="nil"/>
              <w:left w:val="nil"/>
              <w:bottom w:val="single" w:color="000000" w:sz="4" w:space="0"/>
              <w:right w:val="single" w:color="000000" w:sz="4" w:space="0"/>
            </w:tcBorders>
            <w:shd w:val="clear" w:color="auto" w:fill="FFFFFF"/>
            <w:vAlign w:val="center"/>
          </w:tcPr>
          <w:p w14:paraId="1384F556">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08A91B8C">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3F0E442F">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478278E6">
            <w:pPr>
              <w:jc w:val="right"/>
              <w:rPr>
                <w:rFonts w:hint="default" w:ascii="Arial Narrow" w:hAnsi="Arial Narrow" w:eastAsia="Arial Narrow" w:cs="Arial Narrow"/>
                <w:i w:val="0"/>
                <w:iCs w:val="0"/>
                <w:color w:val="auto"/>
                <w:sz w:val="18"/>
                <w:szCs w:val="18"/>
                <w:highlight w:val="none"/>
                <w:u w:val="none"/>
              </w:rPr>
            </w:pPr>
          </w:p>
        </w:tc>
      </w:tr>
      <w:tr w14:paraId="72A309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6DCF00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605-1-a</w:t>
            </w:r>
          </w:p>
        </w:tc>
        <w:tc>
          <w:tcPr>
            <w:tcW w:w="4060" w:type="dxa"/>
            <w:gridSpan w:val="2"/>
            <w:tcBorders>
              <w:top w:val="nil"/>
              <w:left w:val="nil"/>
              <w:bottom w:val="single" w:color="000000" w:sz="4" w:space="0"/>
              <w:right w:val="single" w:color="000000" w:sz="4" w:space="0"/>
            </w:tcBorders>
            <w:shd w:val="clear" w:color="auto" w:fill="FFFFFF"/>
            <w:vAlign w:val="center"/>
          </w:tcPr>
          <w:p w14:paraId="66B2A97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双组分标线</w:t>
            </w:r>
          </w:p>
        </w:tc>
        <w:tc>
          <w:tcPr>
            <w:tcW w:w="1000" w:type="dxa"/>
            <w:tcBorders>
              <w:top w:val="nil"/>
              <w:left w:val="nil"/>
              <w:bottom w:val="single" w:color="000000" w:sz="4" w:space="0"/>
              <w:right w:val="single" w:color="000000" w:sz="4" w:space="0"/>
            </w:tcBorders>
            <w:shd w:val="clear" w:color="auto" w:fill="FFFFFF"/>
            <w:vAlign w:val="center"/>
          </w:tcPr>
          <w:p w14:paraId="1D50BAF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1200" w:type="dxa"/>
            <w:gridSpan w:val="2"/>
            <w:tcBorders>
              <w:top w:val="nil"/>
              <w:left w:val="nil"/>
              <w:bottom w:val="single" w:color="000000" w:sz="4" w:space="0"/>
              <w:right w:val="single" w:color="000000" w:sz="4" w:space="0"/>
            </w:tcBorders>
            <w:shd w:val="clear" w:color="auto" w:fill="FFFFFF"/>
            <w:vAlign w:val="center"/>
          </w:tcPr>
          <w:p w14:paraId="5104A0CE">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123</w:t>
            </w:r>
          </w:p>
        </w:tc>
        <w:tc>
          <w:tcPr>
            <w:tcW w:w="1200" w:type="dxa"/>
            <w:gridSpan w:val="2"/>
            <w:tcBorders>
              <w:top w:val="nil"/>
              <w:left w:val="nil"/>
              <w:bottom w:val="single" w:color="000000" w:sz="4" w:space="0"/>
              <w:right w:val="single" w:color="000000" w:sz="4" w:space="0"/>
            </w:tcBorders>
            <w:shd w:val="clear" w:color="auto" w:fill="FFFFFF"/>
            <w:vAlign w:val="center"/>
          </w:tcPr>
          <w:p w14:paraId="24F1F16C">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25B477DA">
            <w:pPr>
              <w:jc w:val="right"/>
              <w:rPr>
                <w:rFonts w:hint="default" w:ascii="Arial Narrow" w:hAnsi="Arial Narrow" w:eastAsia="Arial Narrow" w:cs="Arial Narrow"/>
                <w:i w:val="0"/>
                <w:iCs w:val="0"/>
                <w:color w:val="auto"/>
                <w:sz w:val="18"/>
                <w:szCs w:val="18"/>
                <w:highlight w:val="none"/>
                <w:u w:val="none"/>
              </w:rPr>
            </w:pPr>
          </w:p>
        </w:tc>
      </w:tr>
      <w:tr w14:paraId="6BF215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2A344A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605-4</w:t>
            </w:r>
          </w:p>
        </w:tc>
        <w:tc>
          <w:tcPr>
            <w:tcW w:w="4060" w:type="dxa"/>
            <w:gridSpan w:val="2"/>
            <w:tcBorders>
              <w:top w:val="nil"/>
              <w:left w:val="nil"/>
              <w:bottom w:val="single" w:color="000000" w:sz="4" w:space="0"/>
              <w:right w:val="single" w:color="000000" w:sz="4" w:space="0"/>
            </w:tcBorders>
            <w:shd w:val="clear" w:color="auto" w:fill="FFFFFF"/>
            <w:vAlign w:val="center"/>
          </w:tcPr>
          <w:p w14:paraId="1859DA1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特殊路面标线</w:t>
            </w:r>
          </w:p>
        </w:tc>
        <w:tc>
          <w:tcPr>
            <w:tcW w:w="1000" w:type="dxa"/>
            <w:tcBorders>
              <w:top w:val="nil"/>
              <w:left w:val="nil"/>
              <w:bottom w:val="single" w:color="000000" w:sz="4" w:space="0"/>
              <w:right w:val="single" w:color="000000" w:sz="4" w:space="0"/>
            </w:tcBorders>
            <w:shd w:val="clear" w:color="auto" w:fill="FFFFFF"/>
            <w:vAlign w:val="center"/>
          </w:tcPr>
          <w:p w14:paraId="3BB5077B">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5BE42792">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04A7A505">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1E8C5795">
            <w:pPr>
              <w:jc w:val="right"/>
              <w:rPr>
                <w:rFonts w:hint="default" w:ascii="Arial Narrow" w:hAnsi="Arial Narrow" w:eastAsia="Arial Narrow" w:cs="Arial Narrow"/>
                <w:i w:val="0"/>
                <w:iCs w:val="0"/>
                <w:color w:val="auto"/>
                <w:sz w:val="18"/>
                <w:szCs w:val="18"/>
                <w:highlight w:val="none"/>
                <w:u w:val="none"/>
              </w:rPr>
            </w:pPr>
          </w:p>
        </w:tc>
      </w:tr>
      <w:tr w14:paraId="6B89E8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0714D3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605-4-f</w:t>
            </w:r>
          </w:p>
        </w:tc>
        <w:tc>
          <w:tcPr>
            <w:tcW w:w="4060" w:type="dxa"/>
            <w:gridSpan w:val="2"/>
            <w:tcBorders>
              <w:top w:val="nil"/>
              <w:left w:val="nil"/>
              <w:bottom w:val="single" w:color="000000" w:sz="4" w:space="0"/>
              <w:right w:val="single" w:color="000000" w:sz="4" w:space="0"/>
            </w:tcBorders>
            <w:shd w:val="clear" w:color="auto" w:fill="FFFFFF"/>
            <w:vAlign w:val="center"/>
          </w:tcPr>
          <w:p w14:paraId="346B844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震颤标线</w:t>
            </w:r>
          </w:p>
        </w:tc>
        <w:tc>
          <w:tcPr>
            <w:tcW w:w="1000" w:type="dxa"/>
            <w:tcBorders>
              <w:top w:val="nil"/>
              <w:left w:val="nil"/>
              <w:bottom w:val="single" w:color="000000" w:sz="4" w:space="0"/>
              <w:right w:val="single" w:color="000000" w:sz="4" w:space="0"/>
            </w:tcBorders>
            <w:shd w:val="clear" w:color="auto" w:fill="FFFFFF"/>
            <w:vAlign w:val="center"/>
          </w:tcPr>
          <w:p w14:paraId="2D98A3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1200" w:type="dxa"/>
            <w:gridSpan w:val="2"/>
            <w:tcBorders>
              <w:top w:val="nil"/>
              <w:left w:val="nil"/>
              <w:bottom w:val="single" w:color="000000" w:sz="4" w:space="0"/>
              <w:right w:val="single" w:color="000000" w:sz="4" w:space="0"/>
            </w:tcBorders>
            <w:shd w:val="clear" w:color="auto" w:fill="FFFFFF"/>
            <w:vAlign w:val="center"/>
          </w:tcPr>
          <w:p w14:paraId="40DAB8C2">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822</w:t>
            </w:r>
          </w:p>
        </w:tc>
        <w:tc>
          <w:tcPr>
            <w:tcW w:w="1200" w:type="dxa"/>
            <w:gridSpan w:val="2"/>
            <w:tcBorders>
              <w:top w:val="nil"/>
              <w:left w:val="nil"/>
              <w:bottom w:val="single" w:color="000000" w:sz="4" w:space="0"/>
              <w:right w:val="single" w:color="000000" w:sz="4" w:space="0"/>
            </w:tcBorders>
            <w:shd w:val="clear" w:color="auto" w:fill="FFFFFF"/>
            <w:vAlign w:val="center"/>
          </w:tcPr>
          <w:p w14:paraId="6D419525">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4652A3E5">
            <w:pPr>
              <w:jc w:val="right"/>
              <w:rPr>
                <w:rFonts w:hint="default" w:ascii="Arial Narrow" w:hAnsi="Arial Narrow" w:eastAsia="Arial Narrow" w:cs="Arial Narrow"/>
                <w:i w:val="0"/>
                <w:iCs w:val="0"/>
                <w:color w:val="auto"/>
                <w:sz w:val="18"/>
                <w:szCs w:val="18"/>
                <w:highlight w:val="none"/>
                <w:u w:val="none"/>
              </w:rPr>
            </w:pPr>
          </w:p>
        </w:tc>
      </w:tr>
      <w:tr w14:paraId="7E71A0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42A1EC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605-5</w:t>
            </w:r>
          </w:p>
        </w:tc>
        <w:tc>
          <w:tcPr>
            <w:tcW w:w="4060" w:type="dxa"/>
            <w:gridSpan w:val="2"/>
            <w:tcBorders>
              <w:top w:val="nil"/>
              <w:left w:val="nil"/>
              <w:bottom w:val="single" w:color="000000" w:sz="4" w:space="0"/>
              <w:right w:val="single" w:color="000000" w:sz="4" w:space="0"/>
            </w:tcBorders>
            <w:shd w:val="clear" w:color="auto" w:fill="FFFFFF"/>
            <w:vAlign w:val="center"/>
          </w:tcPr>
          <w:p w14:paraId="5D5882A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突起路标</w:t>
            </w:r>
          </w:p>
        </w:tc>
        <w:tc>
          <w:tcPr>
            <w:tcW w:w="1000" w:type="dxa"/>
            <w:tcBorders>
              <w:top w:val="nil"/>
              <w:left w:val="nil"/>
              <w:bottom w:val="single" w:color="000000" w:sz="4" w:space="0"/>
              <w:right w:val="single" w:color="000000" w:sz="4" w:space="0"/>
            </w:tcBorders>
            <w:shd w:val="clear" w:color="auto" w:fill="FFFFFF"/>
            <w:vAlign w:val="center"/>
          </w:tcPr>
          <w:p w14:paraId="6F3BEFF5">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0666DB1D">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0CC2119C">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7DF85B1D">
            <w:pPr>
              <w:jc w:val="right"/>
              <w:rPr>
                <w:rFonts w:hint="default" w:ascii="Arial Narrow" w:hAnsi="Arial Narrow" w:eastAsia="Arial Narrow" w:cs="Arial Narrow"/>
                <w:i w:val="0"/>
                <w:iCs w:val="0"/>
                <w:color w:val="auto"/>
                <w:sz w:val="18"/>
                <w:szCs w:val="18"/>
                <w:highlight w:val="none"/>
                <w:u w:val="none"/>
              </w:rPr>
            </w:pPr>
          </w:p>
        </w:tc>
      </w:tr>
      <w:tr w14:paraId="41EE80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548721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605-5-a</w:t>
            </w:r>
          </w:p>
        </w:tc>
        <w:tc>
          <w:tcPr>
            <w:tcW w:w="4060" w:type="dxa"/>
            <w:gridSpan w:val="2"/>
            <w:tcBorders>
              <w:top w:val="nil"/>
              <w:left w:val="nil"/>
              <w:bottom w:val="single" w:color="000000" w:sz="4" w:space="0"/>
              <w:right w:val="single" w:color="000000" w:sz="4" w:space="0"/>
            </w:tcBorders>
            <w:shd w:val="clear" w:color="auto" w:fill="FFFFFF"/>
            <w:vAlign w:val="center"/>
          </w:tcPr>
          <w:p w14:paraId="3EB8AC9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突起路标</w:t>
            </w:r>
          </w:p>
        </w:tc>
        <w:tc>
          <w:tcPr>
            <w:tcW w:w="1000" w:type="dxa"/>
            <w:tcBorders>
              <w:top w:val="nil"/>
              <w:left w:val="nil"/>
              <w:bottom w:val="single" w:color="000000" w:sz="4" w:space="0"/>
              <w:right w:val="single" w:color="000000" w:sz="4" w:space="0"/>
            </w:tcBorders>
            <w:shd w:val="clear" w:color="auto" w:fill="FFFFFF"/>
            <w:vAlign w:val="center"/>
          </w:tcPr>
          <w:p w14:paraId="08BCC1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200" w:type="dxa"/>
            <w:gridSpan w:val="2"/>
            <w:tcBorders>
              <w:top w:val="nil"/>
              <w:left w:val="nil"/>
              <w:bottom w:val="single" w:color="000000" w:sz="4" w:space="0"/>
              <w:right w:val="single" w:color="000000" w:sz="4" w:space="0"/>
            </w:tcBorders>
            <w:shd w:val="clear" w:color="auto" w:fill="FFFFFF"/>
            <w:vAlign w:val="center"/>
          </w:tcPr>
          <w:p w14:paraId="4C3DAC95">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254</w:t>
            </w:r>
          </w:p>
        </w:tc>
        <w:tc>
          <w:tcPr>
            <w:tcW w:w="1200" w:type="dxa"/>
            <w:gridSpan w:val="2"/>
            <w:tcBorders>
              <w:top w:val="nil"/>
              <w:left w:val="nil"/>
              <w:bottom w:val="single" w:color="000000" w:sz="4" w:space="0"/>
              <w:right w:val="single" w:color="000000" w:sz="4" w:space="0"/>
            </w:tcBorders>
            <w:shd w:val="clear" w:color="auto" w:fill="FFFFFF"/>
            <w:vAlign w:val="center"/>
          </w:tcPr>
          <w:p w14:paraId="487CE708">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47C48482">
            <w:pPr>
              <w:jc w:val="right"/>
              <w:rPr>
                <w:rFonts w:hint="default" w:ascii="Arial Narrow" w:hAnsi="Arial Narrow" w:eastAsia="Arial Narrow" w:cs="Arial Narrow"/>
                <w:i w:val="0"/>
                <w:iCs w:val="0"/>
                <w:color w:val="auto"/>
                <w:sz w:val="18"/>
                <w:szCs w:val="18"/>
                <w:highlight w:val="none"/>
                <w:u w:val="none"/>
              </w:rPr>
            </w:pPr>
          </w:p>
        </w:tc>
      </w:tr>
      <w:tr w14:paraId="19039B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1176A169">
            <w:pPr>
              <w:jc w:val="center"/>
              <w:rPr>
                <w:rFonts w:hint="eastAsia" w:ascii="宋体" w:hAnsi="宋体" w:eastAsia="宋体" w:cs="宋体"/>
                <w:i w:val="0"/>
                <w:iCs w:val="0"/>
                <w:color w:val="auto"/>
                <w:sz w:val="18"/>
                <w:szCs w:val="18"/>
                <w:highlight w:val="none"/>
                <w:u w:val="none"/>
              </w:rPr>
            </w:pPr>
          </w:p>
        </w:tc>
        <w:tc>
          <w:tcPr>
            <w:tcW w:w="4060" w:type="dxa"/>
            <w:gridSpan w:val="2"/>
            <w:tcBorders>
              <w:top w:val="nil"/>
              <w:left w:val="nil"/>
              <w:bottom w:val="single" w:color="000000" w:sz="4" w:space="0"/>
              <w:right w:val="single" w:color="000000" w:sz="4" w:space="0"/>
            </w:tcBorders>
            <w:shd w:val="clear" w:color="auto" w:fill="FFFFFF"/>
            <w:vAlign w:val="center"/>
          </w:tcPr>
          <w:p w14:paraId="136AF65B">
            <w:pPr>
              <w:jc w:val="left"/>
              <w:rPr>
                <w:rFonts w:hint="eastAsia" w:ascii="宋体" w:hAnsi="宋体" w:eastAsia="宋体" w:cs="宋体"/>
                <w:i w:val="0"/>
                <w:iCs w:val="0"/>
                <w:color w:val="auto"/>
                <w:sz w:val="18"/>
                <w:szCs w:val="18"/>
                <w:highlight w:val="none"/>
                <w:u w:val="none"/>
              </w:rPr>
            </w:pPr>
          </w:p>
        </w:tc>
        <w:tc>
          <w:tcPr>
            <w:tcW w:w="1000" w:type="dxa"/>
            <w:tcBorders>
              <w:top w:val="nil"/>
              <w:left w:val="nil"/>
              <w:bottom w:val="single" w:color="000000" w:sz="4" w:space="0"/>
              <w:right w:val="single" w:color="000000" w:sz="4" w:space="0"/>
            </w:tcBorders>
            <w:shd w:val="clear" w:color="auto" w:fill="FFFFFF"/>
            <w:vAlign w:val="center"/>
          </w:tcPr>
          <w:p w14:paraId="2A463A44">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322057D4">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7139D176">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02E208C2">
            <w:pPr>
              <w:jc w:val="right"/>
              <w:rPr>
                <w:rFonts w:hint="default" w:ascii="Arial Narrow" w:hAnsi="Arial Narrow" w:eastAsia="Arial Narrow" w:cs="Arial Narrow"/>
                <w:i w:val="0"/>
                <w:iCs w:val="0"/>
                <w:color w:val="auto"/>
                <w:sz w:val="18"/>
                <w:szCs w:val="18"/>
                <w:highlight w:val="none"/>
                <w:u w:val="none"/>
              </w:rPr>
            </w:pPr>
          </w:p>
        </w:tc>
      </w:tr>
      <w:tr w14:paraId="38B81C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9660" w:type="dxa"/>
            <w:gridSpan w:val="10"/>
            <w:tcBorders>
              <w:top w:val="nil"/>
              <w:left w:val="single" w:color="000000" w:sz="8" w:space="0"/>
              <w:bottom w:val="single" w:color="000000" w:sz="4" w:space="0"/>
              <w:right w:val="single" w:color="000000" w:sz="8" w:space="0"/>
            </w:tcBorders>
            <w:shd w:val="clear" w:color="auto" w:fill="FFFFFF"/>
            <w:vAlign w:val="center"/>
          </w:tcPr>
          <w:p w14:paraId="60E2BFF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清单    第600章  合计                        元</w:t>
            </w:r>
          </w:p>
        </w:tc>
      </w:tr>
    </w:tbl>
    <w:p w14:paraId="5539E970">
      <w:pPr>
        <w:bidi w:val="0"/>
        <w:rPr>
          <w:rFonts w:hint="eastAsia"/>
          <w:color w:val="auto"/>
          <w:highlight w:val="none"/>
          <w:lang w:val="en-US" w:eastAsia="zh-CN"/>
        </w:rPr>
      </w:pPr>
    </w:p>
    <w:p w14:paraId="6E594827">
      <w:pPr>
        <w:rPr>
          <w:rFonts w:hint="eastAsia"/>
          <w:color w:val="auto"/>
          <w:highlight w:val="none"/>
          <w:lang w:val="en-US" w:eastAsia="zh-CN"/>
        </w:rPr>
      </w:pPr>
      <w:r>
        <w:rPr>
          <w:rFonts w:hint="eastAsia"/>
          <w:color w:val="auto"/>
          <w:highlight w:val="none"/>
          <w:lang w:val="en-US" w:eastAsia="zh-CN"/>
        </w:rPr>
        <w:br w:type="page"/>
      </w:r>
    </w:p>
    <w:tbl>
      <w:tblPr>
        <w:tblStyle w:val="23"/>
        <w:tblW w:w="96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00"/>
        <w:gridCol w:w="2460"/>
        <w:gridCol w:w="1600"/>
        <w:gridCol w:w="1000"/>
        <w:gridCol w:w="800"/>
        <w:gridCol w:w="400"/>
        <w:gridCol w:w="600"/>
        <w:gridCol w:w="600"/>
        <w:gridCol w:w="400"/>
        <w:gridCol w:w="800"/>
      </w:tblGrid>
      <w:tr w14:paraId="75E616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9660" w:type="dxa"/>
            <w:gridSpan w:val="10"/>
            <w:tcBorders>
              <w:top w:val="nil"/>
              <w:left w:val="nil"/>
              <w:bottom w:val="nil"/>
              <w:right w:val="nil"/>
            </w:tcBorders>
            <w:shd w:val="clear" w:color="auto" w:fill="FFFFFF"/>
            <w:vAlign w:val="top"/>
          </w:tcPr>
          <w:p w14:paraId="64091AC6">
            <w:pPr>
              <w:keepNext w:val="0"/>
              <w:keepLines w:val="0"/>
              <w:widowControl/>
              <w:suppressLineNumbers w:val="0"/>
              <w:jc w:val="center"/>
              <w:textAlignment w:val="top"/>
              <w:rPr>
                <w:rFonts w:hint="eastAsia" w:ascii="宋体" w:hAnsi="宋体" w:eastAsia="宋体" w:cs="宋体"/>
                <w:b/>
                <w:bCs/>
                <w:i w:val="0"/>
                <w:iCs w:val="0"/>
                <w:color w:val="auto"/>
                <w:sz w:val="36"/>
                <w:szCs w:val="36"/>
                <w:highlight w:val="none"/>
                <w:u w:val="none"/>
              </w:rPr>
            </w:pPr>
            <w:r>
              <w:rPr>
                <w:rFonts w:hint="eastAsia" w:ascii="宋体" w:hAnsi="宋体" w:eastAsia="宋体" w:cs="宋体"/>
                <w:b/>
                <w:bCs/>
                <w:i w:val="0"/>
                <w:iCs w:val="0"/>
                <w:color w:val="auto"/>
                <w:kern w:val="0"/>
                <w:sz w:val="36"/>
                <w:szCs w:val="36"/>
                <w:highlight w:val="none"/>
                <w:u w:val="none"/>
                <w:lang w:val="en-US" w:eastAsia="zh-CN" w:bidi="ar"/>
              </w:rPr>
              <w:t>工程细目工程量清单</w:t>
            </w:r>
          </w:p>
        </w:tc>
      </w:tr>
      <w:tr w14:paraId="61829A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9660" w:type="dxa"/>
            <w:gridSpan w:val="10"/>
            <w:tcBorders>
              <w:top w:val="nil"/>
              <w:left w:val="nil"/>
              <w:bottom w:val="nil"/>
              <w:right w:val="nil"/>
            </w:tcBorders>
            <w:shd w:val="clear" w:color="auto" w:fill="FFFFFF"/>
            <w:vAlign w:val="center"/>
          </w:tcPr>
          <w:p w14:paraId="42F5A54D">
            <w:pPr>
              <w:jc w:val="right"/>
              <w:rPr>
                <w:rFonts w:hint="eastAsia" w:ascii="宋体" w:hAnsi="宋体" w:eastAsia="宋体" w:cs="宋体"/>
                <w:i w:val="0"/>
                <w:iCs w:val="0"/>
                <w:color w:val="auto"/>
                <w:sz w:val="18"/>
                <w:szCs w:val="18"/>
                <w:highlight w:val="none"/>
                <w:u w:val="none"/>
              </w:rPr>
            </w:pPr>
          </w:p>
        </w:tc>
      </w:tr>
      <w:tr w14:paraId="23FA4A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3460" w:type="dxa"/>
            <w:gridSpan w:val="2"/>
            <w:tcBorders>
              <w:top w:val="nil"/>
              <w:left w:val="nil"/>
              <w:bottom w:val="nil"/>
              <w:right w:val="nil"/>
            </w:tcBorders>
            <w:shd w:val="clear" w:color="auto" w:fill="FFFFFF"/>
            <w:vAlign w:val="center"/>
          </w:tcPr>
          <w:p w14:paraId="077134D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项目名称：2026年新昌县G104京岚线关岭隧道上行维修加固工程</w:t>
            </w:r>
          </w:p>
        </w:tc>
        <w:tc>
          <w:tcPr>
            <w:tcW w:w="3400" w:type="dxa"/>
            <w:gridSpan w:val="3"/>
            <w:tcBorders>
              <w:top w:val="nil"/>
              <w:left w:val="nil"/>
              <w:bottom w:val="nil"/>
              <w:right w:val="nil"/>
            </w:tcBorders>
            <w:shd w:val="clear" w:color="auto" w:fill="FFFFFF"/>
            <w:vAlign w:val="center"/>
          </w:tcPr>
          <w:p w14:paraId="51C77ED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合同段：2026年新昌县G104京岚线关岭隧道上行维修加固工程</w:t>
            </w:r>
          </w:p>
        </w:tc>
        <w:tc>
          <w:tcPr>
            <w:tcW w:w="1000" w:type="dxa"/>
            <w:gridSpan w:val="2"/>
            <w:tcBorders>
              <w:top w:val="nil"/>
              <w:left w:val="nil"/>
              <w:bottom w:val="nil"/>
              <w:right w:val="nil"/>
            </w:tcBorders>
            <w:shd w:val="clear" w:color="auto" w:fill="FFFFFF"/>
            <w:vAlign w:val="center"/>
          </w:tcPr>
          <w:p w14:paraId="35A1BF60">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第 5 页</w:t>
            </w:r>
          </w:p>
        </w:tc>
        <w:tc>
          <w:tcPr>
            <w:tcW w:w="1000" w:type="dxa"/>
            <w:gridSpan w:val="2"/>
            <w:tcBorders>
              <w:top w:val="nil"/>
              <w:left w:val="nil"/>
              <w:bottom w:val="nil"/>
              <w:right w:val="nil"/>
            </w:tcBorders>
            <w:shd w:val="clear" w:color="auto" w:fill="FFFFFF"/>
            <w:vAlign w:val="center"/>
          </w:tcPr>
          <w:p w14:paraId="79596AE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共 11 页</w:t>
            </w:r>
          </w:p>
        </w:tc>
        <w:tc>
          <w:tcPr>
            <w:tcW w:w="800" w:type="dxa"/>
            <w:tcBorders>
              <w:top w:val="nil"/>
              <w:left w:val="nil"/>
              <w:bottom w:val="nil"/>
              <w:right w:val="nil"/>
            </w:tcBorders>
            <w:shd w:val="clear" w:color="auto" w:fill="FFFFFF"/>
            <w:vAlign w:val="center"/>
          </w:tcPr>
          <w:p w14:paraId="15F55CB1">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表4</w:t>
            </w:r>
          </w:p>
        </w:tc>
      </w:tr>
      <w:tr w14:paraId="2879F8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9660" w:type="dxa"/>
            <w:gridSpan w:val="10"/>
            <w:tcBorders>
              <w:top w:val="single" w:color="000000" w:sz="8" w:space="0"/>
              <w:left w:val="single" w:color="000000" w:sz="8" w:space="0"/>
              <w:bottom w:val="single" w:color="000000" w:sz="4" w:space="0"/>
              <w:right w:val="single" w:color="000000" w:sz="8" w:space="0"/>
            </w:tcBorders>
            <w:shd w:val="clear" w:color="auto" w:fill="FFFFFF"/>
            <w:vAlign w:val="center"/>
          </w:tcPr>
          <w:p w14:paraId="599F1A45">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房屋建筑工程</w:t>
            </w:r>
          </w:p>
        </w:tc>
      </w:tr>
      <w:tr w14:paraId="1A24EB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3023AAD8">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细目号</w:t>
            </w:r>
          </w:p>
        </w:tc>
        <w:tc>
          <w:tcPr>
            <w:tcW w:w="4060" w:type="dxa"/>
            <w:gridSpan w:val="2"/>
            <w:tcBorders>
              <w:top w:val="nil"/>
              <w:left w:val="nil"/>
              <w:bottom w:val="single" w:color="000000" w:sz="4" w:space="0"/>
              <w:right w:val="single" w:color="000000" w:sz="4" w:space="0"/>
            </w:tcBorders>
            <w:shd w:val="clear" w:color="auto" w:fill="FFFFFF"/>
            <w:vAlign w:val="center"/>
          </w:tcPr>
          <w:p w14:paraId="23B6DFFD">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细目名称</w:t>
            </w:r>
          </w:p>
        </w:tc>
        <w:tc>
          <w:tcPr>
            <w:tcW w:w="1000" w:type="dxa"/>
            <w:tcBorders>
              <w:top w:val="nil"/>
              <w:left w:val="nil"/>
              <w:bottom w:val="single" w:color="000000" w:sz="4" w:space="0"/>
              <w:right w:val="single" w:color="000000" w:sz="4" w:space="0"/>
            </w:tcBorders>
            <w:shd w:val="clear" w:color="auto" w:fill="FFFFFF"/>
            <w:vAlign w:val="center"/>
          </w:tcPr>
          <w:p w14:paraId="0687EAC7">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计量单位</w:t>
            </w:r>
          </w:p>
        </w:tc>
        <w:tc>
          <w:tcPr>
            <w:tcW w:w="1200" w:type="dxa"/>
            <w:gridSpan w:val="2"/>
            <w:tcBorders>
              <w:top w:val="nil"/>
              <w:left w:val="nil"/>
              <w:bottom w:val="single" w:color="000000" w:sz="4" w:space="0"/>
              <w:right w:val="single" w:color="000000" w:sz="4" w:space="0"/>
            </w:tcBorders>
            <w:shd w:val="clear" w:color="auto" w:fill="FFFFFF"/>
            <w:vAlign w:val="center"/>
          </w:tcPr>
          <w:p w14:paraId="174B9F10">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工程数量</w:t>
            </w:r>
          </w:p>
        </w:tc>
        <w:tc>
          <w:tcPr>
            <w:tcW w:w="1200" w:type="dxa"/>
            <w:gridSpan w:val="2"/>
            <w:tcBorders>
              <w:top w:val="nil"/>
              <w:left w:val="nil"/>
              <w:bottom w:val="single" w:color="000000" w:sz="4" w:space="0"/>
              <w:right w:val="single" w:color="000000" w:sz="4" w:space="0"/>
            </w:tcBorders>
            <w:shd w:val="clear" w:color="auto" w:fill="FFFFFF"/>
            <w:vAlign w:val="center"/>
          </w:tcPr>
          <w:p w14:paraId="17628FC7">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单价（元）</w:t>
            </w:r>
          </w:p>
        </w:tc>
        <w:tc>
          <w:tcPr>
            <w:tcW w:w="1200" w:type="dxa"/>
            <w:gridSpan w:val="2"/>
            <w:tcBorders>
              <w:top w:val="nil"/>
              <w:left w:val="nil"/>
              <w:bottom w:val="single" w:color="000000" w:sz="4" w:space="0"/>
              <w:right w:val="single" w:color="000000" w:sz="8" w:space="0"/>
            </w:tcBorders>
            <w:shd w:val="clear" w:color="auto" w:fill="FFFFFF"/>
            <w:vAlign w:val="center"/>
          </w:tcPr>
          <w:p w14:paraId="2C8A9885">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合价（元）</w:t>
            </w:r>
          </w:p>
        </w:tc>
      </w:tr>
      <w:tr w14:paraId="0BD547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6FC70CF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803</w:t>
            </w:r>
          </w:p>
        </w:tc>
        <w:tc>
          <w:tcPr>
            <w:tcW w:w="4060" w:type="dxa"/>
            <w:gridSpan w:val="2"/>
            <w:tcBorders>
              <w:top w:val="nil"/>
              <w:left w:val="nil"/>
              <w:bottom w:val="single" w:color="000000" w:sz="4" w:space="0"/>
              <w:right w:val="single" w:color="000000" w:sz="4" w:space="0"/>
            </w:tcBorders>
            <w:shd w:val="clear" w:color="auto" w:fill="FFFFFF"/>
            <w:vAlign w:val="center"/>
          </w:tcPr>
          <w:p w14:paraId="0C845FA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砌筑工程</w:t>
            </w:r>
          </w:p>
        </w:tc>
        <w:tc>
          <w:tcPr>
            <w:tcW w:w="1000" w:type="dxa"/>
            <w:tcBorders>
              <w:top w:val="nil"/>
              <w:left w:val="nil"/>
              <w:bottom w:val="single" w:color="000000" w:sz="4" w:space="0"/>
              <w:right w:val="single" w:color="000000" w:sz="4" w:space="0"/>
            </w:tcBorders>
            <w:shd w:val="clear" w:color="auto" w:fill="FFFFFF"/>
            <w:vAlign w:val="center"/>
          </w:tcPr>
          <w:p w14:paraId="3BBA0035">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414527BB">
            <w:pPr>
              <w:jc w:val="right"/>
              <w:rPr>
                <w:rFonts w:hint="eastAsia"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40E499C7">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4F6411FE">
            <w:pPr>
              <w:jc w:val="right"/>
              <w:rPr>
                <w:rFonts w:hint="default" w:ascii="Arial Narrow" w:hAnsi="Arial Narrow" w:eastAsia="Arial Narrow" w:cs="Arial Narrow"/>
                <w:i w:val="0"/>
                <w:iCs w:val="0"/>
                <w:color w:val="auto"/>
                <w:sz w:val="18"/>
                <w:szCs w:val="18"/>
                <w:highlight w:val="none"/>
                <w:u w:val="none"/>
              </w:rPr>
            </w:pPr>
          </w:p>
        </w:tc>
      </w:tr>
      <w:tr w14:paraId="662B55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5A8018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803-2</w:t>
            </w:r>
          </w:p>
        </w:tc>
        <w:tc>
          <w:tcPr>
            <w:tcW w:w="4060" w:type="dxa"/>
            <w:gridSpan w:val="2"/>
            <w:tcBorders>
              <w:top w:val="nil"/>
              <w:left w:val="nil"/>
              <w:bottom w:val="single" w:color="000000" w:sz="4" w:space="0"/>
              <w:right w:val="single" w:color="000000" w:sz="4" w:space="0"/>
            </w:tcBorders>
            <w:shd w:val="clear" w:color="auto" w:fill="FFFFFF"/>
            <w:vAlign w:val="center"/>
          </w:tcPr>
          <w:p w14:paraId="14C3616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砖砌体</w:t>
            </w:r>
          </w:p>
        </w:tc>
        <w:tc>
          <w:tcPr>
            <w:tcW w:w="1000" w:type="dxa"/>
            <w:tcBorders>
              <w:top w:val="nil"/>
              <w:left w:val="nil"/>
              <w:bottom w:val="single" w:color="000000" w:sz="4" w:space="0"/>
              <w:right w:val="single" w:color="000000" w:sz="4" w:space="0"/>
            </w:tcBorders>
            <w:shd w:val="clear" w:color="auto" w:fill="FFFFFF"/>
            <w:vAlign w:val="center"/>
          </w:tcPr>
          <w:p w14:paraId="08A08E8C">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7EC82CC2">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32215E9A">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1D2C4BB5">
            <w:pPr>
              <w:jc w:val="right"/>
              <w:rPr>
                <w:rFonts w:hint="default" w:ascii="Arial Narrow" w:hAnsi="Arial Narrow" w:eastAsia="Arial Narrow" w:cs="Arial Narrow"/>
                <w:i w:val="0"/>
                <w:iCs w:val="0"/>
                <w:color w:val="auto"/>
                <w:sz w:val="18"/>
                <w:szCs w:val="18"/>
                <w:highlight w:val="none"/>
                <w:u w:val="none"/>
              </w:rPr>
            </w:pPr>
          </w:p>
        </w:tc>
      </w:tr>
      <w:tr w14:paraId="1512FE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5586A54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803-2-a</w:t>
            </w:r>
          </w:p>
        </w:tc>
        <w:tc>
          <w:tcPr>
            <w:tcW w:w="4060" w:type="dxa"/>
            <w:gridSpan w:val="2"/>
            <w:tcBorders>
              <w:top w:val="nil"/>
              <w:left w:val="nil"/>
              <w:bottom w:val="single" w:color="000000" w:sz="4" w:space="0"/>
              <w:right w:val="single" w:color="000000" w:sz="4" w:space="0"/>
            </w:tcBorders>
            <w:shd w:val="clear" w:color="auto" w:fill="FFFFFF"/>
            <w:vAlign w:val="center"/>
          </w:tcPr>
          <w:p w14:paraId="6758F22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实心砖墙</w:t>
            </w:r>
          </w:p>
        </w:tc>
        <w:tc>
          <w:tcPr>
            <w:tcW w:w="1000" w:type="dxa"/>
            <w:tcBorders>
              <w:top w:val="nil"/>
              <w:left w:val="nil"/>
              <w:bottom w:val="single" w:color="000000" w:sz="4" w:space="0"/>
              <w:right w:val="single" w:color="000000" w:sz="4" w:space="0"/>
            </w:tcBorders>
            <w:shd w:val="clear" w:color="auto" w:fill="FFFFFF"/>
            <w:vAlign w:val="center"/>
          </w:tcPr>
          <w:p w14:paraId="1F84F9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m3</w:t>
            </w:r>
          </w:p>
        </w:tc>
        <w:tc>
          <w:tcPr>
            <w:tcW w:w="1200" w:type="dxa"/>
            <w:gridSpan w:val="2"/>
            <w:tcBorders>
              <w:top w:val="nil"/>
              <w:left w:val="nil"/>
              <w:bottom w:val="single" w:color="000000" w:sz="4" w:space="0"/>
              <w:right w:val="single" w:color="000000" w:sz="4" w:space="0"/>
            </w:tcBorders>
            <w:shd w:val="clear" w:color="auto" w:fill="FFFFFF"/>
            <w:vAlign w:val="center"/>
          </w:tcPr>
          <w:p w14:paraId="03B0EF3D">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5.04</w:t>
            </w:r>
          </w:p>
        </w:tc>
        <w:tc>
          <w:tcPr>
            <w:tcW w:w="1200" w:type="dxa"/>
            <w:gridSpan w:val="2"/>
            <w:tcBorders>
              <w:top w:val="nil"/>
              <w:left w:val="nil"/>
              <w:bottom w:val="single" w:color="000000" w:sz="4" w:space="0"/>
              <w:right w:val="single" w:color="000000" w:sz="4" w:space="0"/>
            </w:tcBorders>
            <w:shd w:val="clear" w:color="auto" w:fill="FFFFFF"/>
            <w:vAlign w:val="center"/>
          </w:tcPr>
          <w:p w14:paraId="1E98AC3C">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332A8F5A">
            <w:pPr>
              <w:jc w:val="right"/>
              <w:rPr>
                <w:rFonts w:hint="default" w:ascii="Arial Narrow" w:hAnsi="Arial Narrow" w:eastAsia="Arial Narrow" w:cs="Arial Narrow"/>
                <w:i w:val="0"/>
                <w:iCs w:val="0"/>
                <w:color w:val="auto"/>
                <w:sz w:val="18"/>
                <w:szCs w:val="18"/>
                <w:highlight w:val="none"/>
                <w:u w:val="none"/>
              </w:rPr>
            </w:pPr>
          </w:p>
        </w:tc>
      </w:tr>
      <w:tr w14:paraId="602096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368A508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805</w:t>
            </w:r>
          </w:p>
        </w:tc>
        <w:tc>
          <w:tcPr>
            <w:tcW w:w="4060" w:type="dxa"/>
            <w:gridSpan w:val="2"/>
            <w:tcBorders>
              <w:top w:val="nil"/>
              <w:left w:val="nil"/>
              <w:bottom w:val="single" w:color="000000" w:sz="4" w:space="0"/>
              <w:right w:val="single" w:color="000000" w:sz="4" w:space="0"/>
            </w:tcBorders>
            <w:shd w:val="clear" w:color="auto" w:fill="FFFFFF"/>
            <w:vAlign w:val="center"/>
          </w:tcPr>
          <w:p w14:paraId="009EBEB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门窗工程</w:t>
            </w:r>
          </w:p>
        </w:tc>
        <w:tc>
          <w:tcPr>
            <w:tcW w:w="1000" w:type="dxa"/>
            <w:tcBorders>
              <w:top w:val="nil"/>
              <w:left w:val="nil"/>
              <w:bottom w:val="single" w:color="000000" w:sz="4" w:space="0"/>
              <w:right w:val="single" w:color="000000" w:sz="4" w:space="0"/>
            </w:tcBorders>
            <w:shd w:val="clear" w:color="auto" w:fill="FFFFFF"/>
            <w:vAlign w:val="center"/>
          </w:tcPr>
          <w:p w14:paraId="161B53AC">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69B3A716">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5664C286">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2B3B23FA">
            <w:pPr>
              <w:jc w:val="right"/>
              <w:rPr>
                <w:rFonts w:hint="default" w:ascii="Arial Narrow" w:hAnsi="Arial Narrow" w:eastAsia="Arial Narrow" w:cs="Arial Narrow"/>
                <w:i w:val="0"/>
                <w:iCs w:val="0"/>
                <w:color w:val="auto"/>
                <w:sz w:val="18"/>
                <w:szCs w:val="18"/>
                <w:highlight w:val="none"/>
                <w:u w:val="none"/>
              </w:rPr>
            </w:pPr>
          </w:p>
        </w:tc>
      </w:tr>
      <w:tr w14:paraId="44645E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4B81D5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805-1</w:t>
            </w:r>
          </w:p>
        </w:tc>
        <w:tc>
          <w:tcPr>
            <w:tcW w:w="4060" w:type="dxa"/>
            <w:gridSpan w:val="2"/>
            <w:tcBorders>
              <w:top w:val="nil"/>
              <w:left w:val="nil"/>
              <w:bottom w:val="single" w:color="000000" w:sz="4" w:space="0"/>
              <w:right w:val="single" w:color="000000" w:sz="4" w:space="0"/>
            </w:tcBorders>
            <w:shd w:val="clear" w:color="auto" w:fill="FFFFFF"/>
            <w:vAlign w:val="center"/>
          </w:tcPr>
          <w:p w14:paraId="3024FCF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金属门</w:t>
            </w:r>
          </w:p>
        </w:tc>
        <w:tc>
          <w:tcPr>
            <w:tcW w:w="1000" w:type="dxa"/>
            <w:tcBorders>
              <w:top w:val="nil"/>
              <w:left w:val="nil"/>
              <w:bottom w:val="single" w:color="000000" w:sz="4" w:space="0"/>
              <w:right w:val="single" w:color="000000" w:sz="4" w:space="0"/>
            </w:tcBorders>
            <w:shd w:val="clear" w:color="auto" w:fill="FFFFFF"/>
            <w:vAlign w:val="center"/>
          </w:tcPr>
          <w:p w14:paraId="36FF0BEF">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2A387C1A">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218626E6">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3773B5D4">
            <w:pPr>
              <w:jc w:val="right"/>
              <w:rPr>
                <w:rFonts w:hint="default" w:ascii="Arial Narrow" w:hAnsi="Arial Narrow" w:eastAsia="Arial Narrow" w:cs="Arial Narrow"/>
                <w:i w:val="0"/>
                <w:iCs w:val="0"/>
                <w:color w:val="auto"/>
                <w:sz w:val="18"/>
                <w:szCs w:val="18"/>
                <w:highlight w:val="none"/>
                <w:u w:val="none"/>
              </w:rPr>
            </w:pPr>
          </w:p>
        </w:tc>
      </w:tr>
      <w:tr w14:paraId="274890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4EAA89F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805-1-g</w:t>
            </w:r>
          </w:p>
        </w:tc>
        <w:tc>
          <w:tcPr>
            <w:tcW w:w="4060" w:type="dxa"/>
            <w:gridSpan w:val="2"/>
            <w:tcBorders>
              <w:top w:val="nil"/>
              <w:left w:val="nil"/>
              <w:bottom w:val="single" w:color="000000" w:sz="4" w:space="0"/>
              <w:right w:val="single" w:color="000000" w:sz="4" w:space="0"/>
            </w:tcBorders>
            <w:shd w:val="clear" w:color="auto" w:fill="FFFFFF"/>
            <w:vAlign w:val="center"/>
          </w:tcPr>
          <w:p w14:paraId="108FA99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玻璃移门</w:t>
            </w:r>
          </w:p>
        </w:tc>
        <w:tc>
          <w:tcPr>
            <w:tcW w:w="1000" w:type="dxa"/>
            <w:tcBorders>
              <w:top w:val="nil"/>
              <w:left w:val="nil"/>
              <w:bottom w:val="single" w:color="000000" w:sz="4" w:space="0"/>
              <w:right w:val="single" w:color="000000" w:sz="4" w:space="0"/>
            </w:tcBorders>
            <w:shd w:val="clear" w:color="auto" w:fill="FFFFFF"/>
            <w:vAlign w:val="center"/>
          </w:tcPr>
          <w:p w14:paraId="0F5B82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1200" w:type="dxa"/>
            <w:gridSpan w:val="2"/>
            <w:tcBorders>
              <w:top w:val="nil"/>
              <w:left w:val="nil"/>
              <w:bottom w:val="single" w:color="000000" w:sz="4" w:space="0"/>
              <w:right w:val="single" w:color="000000" w:sz="4" w:space="0"/>
            </w:tcBorders>
            <w:shd w:val="clear" w:color="auto" w:fill="FFFFFF"/>
            <w:vAlign w:val="center"/>
          </w:tcPr>
          <w:p w14:paraId="7903BEF7">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9</w:t>
            </w:r>
          </w:p>
        </w:tc>
        <w:tc>
          <w:tcPr>
            <w:tcW w:w="1200" w:type="dxa"/>
            <w:gridSpan w:val="2"/>
            <w:tcBorders>
              <w:top w:val="nil"/>
              <w:left w:val="nil"/>
              <w:bottom w:val="single" w:color="000000" w:sz="4" w:space="0"/>
              <w:right w:val="single" w:color="000000" w:sz="4" w:space="0"/>
            </w:tcBorders>
            <w:shd w:val="clear" w:color="auto" w:fill="FFFFFF"/>
            <w:vAlign w:val="center"/>
          </w:tcPr>
          <w:p w14:paraId="2F853B8B">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66F1A1F4">
            <w:pPr>
              <w:jc w:val="right"/>
              <w:rPr>
                <w:rFonts w:hint="default" w:ascii="Arial Narrow" w:hAnsi="Arial Narrow" w:eastAsia="Arial Narrow" w:cs="Arial Narrow"/>
                <w:i w:val="0"/>
                <w:iCs w:val="0"/>
                <w:color w:val="auto"/>
                <w:sz w:val="18"/>
                <w:szCs w:val="18"/>
                <w:highlight w:val="none"/>
                <w:u w:val="none"/>
              </w:rPr>
            </w:pPr>
          </w:p>
        </w:tc>
      </w:tr>
      <w:tr w14:paraId="6466C3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78C5CB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809</w:t>
            </w:r>
          </w:p>
        </w:tc>
        <w:tc>
          <w:tcPr>
            <w:tcW w:w="4060" w:type="dxa"/>
            <w:gridSpan w:val="2"/>
            <w:tcBorders>
              <w:top w:val="nil"/>
              <w:left w:val="nil"/>
              <w:bottom w:val="single" w:color="000000" w:sz="4" w:space="0"/>
              <w:right w:val="single" w:color="000000" w:sz="4" w:space="0"/>
            </w:tcBorders>
            <w:shd w:val="clear" w:color="auto" w:fill="FFFFFF"/>
            <w:vAlign w:val="center"/>
          </w:tcPr>
          <w:p w14:paraId="1536AA3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墙面工程</w:t>
            </w:r>
          </w:p>
        </w:tc>
        <w:tc>
          <w:tcPr>
            <w:tcW w:w="1000" w:type="dxa"/>
            <w:tcBorders>
              <w:top w:val="nil"/>
              <w:left w:val="nil"/>
              <w:bottom w:val="single" w:color="000000" w:sz="4" w:space="0"/>
              <w:right w:val="single" w:color="000000" w:sz="4" w:space="0"/>
            </w:tcBorders>
            <w:shd w:val="clear" w:color="auto" w:fill="FFFFFF"/>
            <w:vAlign w:val="center"/>
          </w:tcPr>
          <w:p w14:paraId="17C76622">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03EB8F26">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707BE0A8">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31093BF6">
            <w:pPr>
              <w:jc w:val="right"/>
              <w:rPr>
                <w:rFonts w:hint="default" w:ascii="Arial Narrow" w:hAnsi="Arial Narrow" w:eastAsia="Arial Narrow" w:cs="Arial Narrow"/>
                <w:i w:val="0"/>
                <w:iCs w:val="0"/>
                <w:color w:val="auto"/>
                <w:sz w:val="18"/>
                <w:szCs w:val="18"/>
                <w:highlight w:val="none"/>
                <w:u w:val="none"/>
              </w:rPr>
            </w:pPr>
          </w:p>
        </w:tc>
      </w:tr>
      <w:tr w14:paraId="4AA258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6FF06A4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809-1</w:t>
            </w:r>
          </w:p>
        </w:tc>
        <w:tc>
          <w:tcPr>
            <w:tcW w:w="4060" w:type="dxa"/>
            <w:gridSpan w:val="2"/>
            <w:tcBorders>
              <w:top w:val="nil"/>
              <w:left w:val="nil"/>
              <w:bottom w:val="single" w:color="000000" w:sz="4" w:space="0"/>
              <w:right w:val="single" w:color="000000" w:sz="4" w:space="0"/>
            </w:tcBorders>
            <w:shd w:val="clear" w:color="auto" w:fill="FFFFFF"/>
            <w:vAlign w:val="center"/>
          </w:tcPr>
          <w:p w14:paraId="73475A1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墙、柱面抹灰、勾缝</w:t>
            </w:r>
          </w:p>
        </w:tc>
        <w:tc>
          <w:tcPr>
            <w:tcW w:w="1000" w:type="dxa"/>
            <w:tcBorders>
              <w:top w:val="nil"/>
              <w:left w:val="nil"/>
              <w:bottom w:val="single" w:color="000000" w:sz="4" w:space="0"/>
              <w:right w:val="single" w:color="000000" w:sz="4" w:space="0"/>
            </w:tcBorders>
            <w:shd w:val="clear" w:color="auto" w:fill="FFFFFF"/>
            <w:vAlign w:val="center"/>
          </w:tcPr>
          <w:p w14:paraId="4261024D">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2588A562">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0763061E">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55976830">
            <w:pPr>
              <w:jc w:val="right"/>
              <w:rPr>
                <w:rFonts w:hint="default" w:ascii="Arial Narrow" w:hAnsi="Arial Narrow" w:eastAsia="Arial Narrow" w:cs="Arial Narrow"/>
                <w:i w:val="0"/>
                <w:iCs w:val="0"/>
                <w:color w:val="auto"/>
                <w:sz w:val="18"/>
                <w:szCs w:val="18"/>
                <w:highlight w:val="none"/>
                <w:u w:val="none"/>
              </w:rPr>
            </w:pPr>
          </w:p>
        </w:tc>
      </w:tr>
      <w:tr w14:paraId="45F8C0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622C47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809-1-a</w:t>
            </w:r>
          </w:p>
        </w:tc>
        <w:tc>
          <w:tcPr>
            <w:tcW w:w="4060" w:type="dxa"/>
            <w:gridSpan w:val="2"/>
            <w:tcBorders>
              <w:top w:val="nil"/>
              <w:left w:val="nil"/>
              <w:bottom w:val="single" w:color="000000" w:sz="4" w:space="0"/>
              <w:right w:val="single" w:color="000000" w:sz="4" w:space="0"/>
            </w:tcBorders>
            <w:shd w:val="clear" w:color="auto" w:fill="FFFFFF"/>
            <w:vAlign w:val="center"/>
          </w:tcPr>
          <w:p w14:paraId="0CA6345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墙面一般抹灰</w:t>
            </w:r>
          </w:p>
        </w:tc>
        <w:tc>
          <w:tcPr>
            <w:tcW w:w="1000" w:type="dxa"/>
            <w:tcBorders>
              <w:top w:val="nil"/>
              <w:left w:val="nil"/>
              <w:bottom w:val="single" w:color="000000" w:sz="4" w:space="0"/>
              <w:right w:val="single" w:color="000000" w:sz="4" w:space="0"/>
            </w:tcBorders>
            <w:shd w:val="clear" w:color="auto" w:fill="FFFFFF"/>
            <w:vAlign w:val="center"/>
          </w:tcPr>
          <w:p w14:paraId="1E710C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1200" w:type="dxa"/>
            <w:gridSpan w:val="2"/>
            <w:tcBorders>
              <w:top w:val="nil"/>
              <w:left w:val="nil"/>
              <w:bottom w:val="single" w:color="000000" w:sz="4" w:space="0"/>
              <w:right w:val="single" w:color="000000" w:sz="4" w:space="0"/>
            </w:tcBorders>
            <w:shd w:val="clear" w:color="auto" w:fill="FFFFFF"/>
            <w:vAlign w:val="center"/>
          </w:tcPr>
          <w:p w14:paraId="29783CC9">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42</w:t>
            </w:r>
          </w:p>
        </w:tc>
        <w:tc>
          <w:tcPr>
            <w:tcW w:w="1200" w:type="dxa"/>
            <w:gridSpan w:val="2"/>
            <w:tcBorders>
              <w:top w:val="nil"/>
              <w:left w:val="nil"/>
              <w:bottom w:val="single" w:color="000000" w:sz="4" w:space="0"/>
              <w:right w:val="single" w:color="000000" w:sz="4" w:space="0"/>
            </w:tcBorders>
            <w:shd w:val="clear" w:color="auto" w:fill="FFFFFF"/>
            <w:vAlign w:val="center"/>
          </w:tcPr>
          <w:p w14:paraId="294A60A3">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5EFDA3ED">
            <w:pPr>
              <w:jc w:val="right"/>
              <w:rPr>
                <w:rFonts w:hint="default" w:ascii="Arial Narrow" w:hAnsi="Arial Narrow" w:eastAsia="Arial Narrow" w:cs="Arial Narrow"/>
                <w:i w:val="0"/>
                <w:iCs w:val="0"/>
                <w:color w:val="auto"/>
                <w:sz w:val="18"/>
                <w:szCs w:val="18"/>
                <w:highlight w:val="none"/>
                <w:u w:val="none"/>
              </w:rPr>
            </w:pPr>
          </w:p>
        </w:tc>
      </w:tr>
      <w:tr w14:paraId="5A1E9C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384ED52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809-8</w:t>
            </w:r>
          </w:p>
        </w:tc>
        <w:tc>
          <w:tcPr>
            <w:tcW w:w="4060" w:type="dxa"/>
            <w:gridSpan w:val="2"/>
            <w:tcBorders>
              <w:top w:val="nil"/>
              <w:left w:val="nil"/>
              <w:bottom w:val="single" w:color="000000" w:sz="4" w:space="0"/>
              <w:right w:val="single" w:color="000000" w:sz="4" w:space="0"/>
            </w:tcBorders>
            <w:shd w:val="clear" w:color="auto" w:fill="FFFFFF"/>
            <w:vAlign w:val="center"/>
          </w:tcPr>
          <w:p w14:paraId="1FAE7F1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装饰墙面</w:t>
            </w:r>
          </w:p>
        </w:tc>
        <w:tc>
          <w:tcPr>
            <w:tcW w:w="1000" w:type="dxa"/>
            <w:tcBorders>
              <w:top w:val="nil"/>
              <w:left w:val="nil"/>
              <w:bottom w:val="single" w:color="000000" w:sz="4" w:space="0"/>
              <w:right w:val="single" w:color="000000" w:sz="4" w:space="0"/>
            </w:tcBorders>
            <w:shd w:val="clear" w:color="auto" w:fill="FFFFFF"/>
            <w:vAlign w:val="center"/>
          </w:tcPr>
          <w:p w14:paraId="5B2372FB">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46940037">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07BA8555">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210F9DBF">
            <w:pPr>
              <w:jc w:val="right"/>
              <w:rPr>
                <w:rFonts w:hint="default" w:ascii="Arial Narrow" w:hAnsi="Arial Narrow" w:eastAsia="Arial Narrow" w:cs="Arial Narrow"/>
                <w:i w:val="0"/>
                <w:iCs w:val="0"/>
                <w:color w:val="auto"/>
                <w:sz w:val="18"/>
                <w:szCs w:val="18"/>
                <w:highlight w:val="none"/>
                <w:u w:val="none"/>
              </w:rPr>
            </w:pPr>
          </w:p>
        </w:tc>
      </w:tr>
      <w:tr w14:paraId="640065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5BDA2D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809-8-a</w:t>
            </w:r>
          </w:p>
        </w:tc>
        <w:tc>
          <w:tcPr>
            <w:tcW w:w="4060" w:type="dxa"/>
            <w:gridSpan w:val="2"/>
            <w:tcBorders>
              <w:top w:val="nil"/>
              <w:left w:val="nil"/>
              <w:bottom w:val="single" w:color="000000" w:sz="4" w:space="0"/>
              <w:right w:val="single" w:color="000000" w:sz="4" w:space="0"/>
            </w:tcBorders>
            <w:shd w:val="clear" w:color="auto" w:fill="FFFFFF"/>
            <w:vAlign w:val="center"/>
          </w:tcPr>
          <w:p w14:paraId="12D561D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墙面乳胶漆</w:t>
            </w:r>
          </w:p>
        </w:tc>
        <w:tc>
          <w:tcPr>
            <w:tcW w:w="1000" w:type="dxa"/>
            <w:tcBorders>
              <w:top w:val="nil"/>
              <w:left w:val="nil"/>
              <w:bottom w:val="single" w:color="000000" w:sz="4" w:space="0"/>
              <w:right w:val="single" w:color="000000" w:sz="4" w:space="0"/>
            </w:tcBorders>
            <w:shd w:val="clear" w:color="auto" w:fill="FFFFFF"/>
            <w:vAlign w:val="center"/>
          </w:tcPr>
          <w:p w14:paraId="4DD310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1200" w:type="dxa"/>
            <w:gridSpan w:val="2"/>
            <w:tcBorders>
              <w:top w:val="nil"/>
              <w:left w:val="nil"/>
              <w:bottom w:val="single" w:color="000000" w:sz="4" w:space="0"/>
              <w:right w:val="single" w:color="000000" w:sz="4" w:space="0"/>
            </w:tcBorders>
            <w:shd w:val="clear" w:color="auto" w:fill="FFFFFF"/>
            <w:vAlign w:val="center"/>
          </w:tcPr>
          <w:p w14:paraId="49F49F9C">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42</w:t>
            </w:r>
          </w:p>
        </w:tc>
        <w:tc>
          <w:tcPr>
            <w:tcW w:w="1200" w:type="dxa"/>
            <w:gridSpan w:val="2"/>
            <w:tcBorders>
              <w:top w:val="nil"/>
              <w:left w:val="nil"/>
              <w:bottom w:val="single" w:color="000000" w:sz="4" w:space="0"/>
              <w:right w:val="single" w:color="000000" w:sz="4" w:space="0"/>
            </w:tcBorders>
            <w:shd w:val="clear" w:color="auto" w:fill="FFFFFF"/>
            <w:vAlign w:val="center"/>
          </w:tcPr>
          <w:p w14:paraId="6EEDE0F7">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1692B9FC">
            <w:pPr>
              <w:jc w:val="right"/>
              <w:rPr>
                <w:rFonts w:hint="default" w:ascii="Arial Narrow" w:hAnsi="Arial Narrow" w:eastAsia="Arial Narrow" w:cs="Arial Narrow"/>
                <w:i w:val="0"/>
                <w:iCs w:val="0"/>
                <w:color w:val="auto"/>
                <w:sz w:val="18"/>
                <w:szCs w:val="18"/>
                <w:highlight w:val="none"/>
                <w:u w:val="none"/>
              </w:rPr>
            </w:pPr>
          </w:p>
        </w:tc>
      </w:tr>
      <w:tr w14:paraId="0AD4EC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79FE3DF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812</w:t>
            </w:r>
          </w:p>
        </w:tc>
        <w:tc>
          <w:tcPr>
            <w:tcW w:w="4060" w:type="dxa"/>
            <w:gridSpan w:val="2"/>
            <w:tcBorders>
              <w:top w:val="nil"/>
              <w:left w:val="nil"/>
              <w:bottom w:val="single" w:color="000000" w:sz="4" w:space="0"/>
              <w:right w:val="single" w:color="000000" w:sz="4" w:space="0"/>
            </w:tcBorders>
            <w:shd w:val="clear" w:color="auto" w:fill="FFFFFF"/>
            <w:vAlign w:val="center"/>
          </w:tcPr>
          <w:p w14:paraId="0692935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电气设备安装工程</w:t>
            </w:r>
          </w:p>
        </w:tc>
        <w:tc>
          <w:tcPr>
            <w:tcW w:w="1000" w:type="dxa"/>
            <w:tcBorders>
              <w:top w:val="nil"/>
              <w:left w:val="nil"/>
              <w:bottom w:val="single" w:color="000000" w:sz="4" w:space="0"/>
              <w:right w:val="single" w:color="000000" w:sz="4" w:space="0"/>
            </w:tcBorders>
            <w:shd w:val="clear" w:color="auto" w:fill="FFFFFF"/>
            <w:vAlign w:val="center"/>
          </w:tcPr>
          <w:p w14:paraId="048B783B">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3B02BE4C">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5F8A5639">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42241130">
            <w:pPr>
              <w:jc w:val="right"/>
              <w:rPr>
                <w:rFonts w:hint="default" w:ascii="Arial Narrow" w:hAnsi="Arial Narrow" w:eastAsia="Arial Narrow" w:cs="Arial Narrow"/>
                <w:i w:val="0"/>
                <w:iCs w:val="0"/>
                <w:color w:val="auto"/>
                <w:sz w:val="18"/>
                <w:szCs w:val="18"/>
                <w:highlight w:val="none"/>
                <w:u w:val="none"/>
              </w:rPr>
            </w:pPr>
          </w:p>
        </w:tc>
      </w:tr>
      <w:tr w14:paraId="77E350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54F490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812-9</w:t>
            </w:r>
          </w:p>
        </w:tc>
        <w:tc>
          <w:tcPr>
            <w:tcW w:w="4060" w:type="dxa"/>
            <w:gridSpan w:val="2"/>
            <w:tcBorders>
              <w:top w:val="nil"/>
              <w:left w:val="nil"/>
              <w:bottom w:val="single" w:color="000000" w:sz="4" w:space="0"/>
              <w:right w:val="single" w:color="000000" w:sz="4" w:space="0"/>
            </w:tcBorders>
            <w:shd w:val="clear" w:color="auto" w:fill="FFFFFF"/>
            <w:vAlign w:val="center"/>
          </w:tcPr>
          <w:p w14:paraId="15686CB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立式空调 3匹</w:t>
            </w:r>
          </w:p>
        </w:tc>
        <w:tc>
          <w:tcPr>
            <w:tcW w:w="1000" w:type="dxa"/>
            <w:tcBorders>
              <w:top w:val="nil"/>
              <w:left w:val="nil"/>
              <w:bottom w:val="single" w:color="000000" w:sz="4" w:space="0"/>
              <w:right w:val="single" w:color="000000" w:sz="4" w:space="0"/>
            </w:tcBorders>
            <w:shd w:val="clear" w:color="auto" w:fill="FFFFFF"/>
            <w:vAlign w:val="center"/>
          </w:tcPr>
          <w:p w14:paraId="6A3DDB8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3342F940">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5242DDD8">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72C2F2C6">
            <w:pPr>
              <w:jc w:val="right"/>
              <w:rPr>
                <w:rFonts w:hint="default" w:ascii="Arial Narrow" w:hAnsi="Arial Narrow" w:eastAsia="Arial Narrow" w:cs="Arial Narrow"/>
                <w:i w:val="0"/>
                <w:iCs w:val="0"/>
                <w:color w:val="auto"/>
                <w:sz w:val="18"/>
                <w:szCs w:val="18"/>
                <w:highlight w:val="none"/>
                <w:u w:val="none"/>
              </w:rPr>
            </w:pPr>
          </w:p>
        </w:tc>
      </w:tr>
      <w:tr w14:paraId="64B7D9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43082F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851</w:t>
            </w:r>
          </w:p>
        </w:tc>
        <w:tc>
          <w:tcPr>
            <w:tcW w:w="4060" w:type="dxa"/>
            <w:gridSpan w:val="2"/>
            <w:tcBorders>
              <w:top w:val="nil"/>
              <w:left w:val="nil"/>
              <w:bottom w:val="single" w:color="000000" w:sz="4" w:space="0"/>
              <w:right w:val="single" w:color="000000" w:sz="4" w:space="0"/>
            </w:tcBorders>
            <w:shd w:val="clear" w:color="auto" w:fill="FFFFFF"/>
            <w:vAlign w:val="center"/>
          </w:tcPr>
          <w:p w14:paraId="407281E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拆除</w:t>
            </w:r>
          </w:p>
        </w:tc>
        <w:tc>
          <w:tcPr>
            <w:tcW w:w="1000" w:type="dxa"/>
            <w:tcBorders>
              <w:top w:val="nil"/>
              <w:left w:val="nil"/>
              <w:bottom w:val="single" w:color="000000" w:sz="4" w:space="0"/>
              <w:right w:val="single" w:color="000000" w:sz="4" w:space="0"/>
            </w:tcBorders>
            <w:shd w:val="clear" w:color="auto" w:fill="FFFFFF"/>
            <w:vAlign w:val="center"/>
          </w:tcPr>
          <w:p w14:paraId="49934F58">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612E2E11">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5173B528">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1FCC66F3">
            <w:pPr>
              <w:jc w:val="right"/>
              <w:rPr>
                <w:rFonts w:hint="default" w:ascii="Arial Narrow" w:hAnsi="Arial Narrow" w:eastAsia="Arial Narrow" w:cs="Arial Narrow"/>
                <w:i w:val="0"/>
                <w:iCs w:val="0"/>
                <w:color w:val="auto"/>
                <w:sz w:val="18"/>
                <w:szCs w:val="18"/>
                <w:highlight w:val="none"/>
                <w:u w:val="none"/>
              </w:rPr>
            </w:pPr>
          </w:p>
        </w:tc>
      </w:tr>
      <w:tr w14:paraId="26CA0A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378068E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851-2</w:t>
            </w:r>
          </w:p>
        </w:tc>
        <w:tc>
          <w:tcPr>
            <w:tcW w:w="4060" w:type="dxa"/>
            <w:gridSpan w:val="2"/>
            <w:tcBorders>
              <w:top w:val="nil"/>
              <w:left w:val="nil"/>
              <w:bottom w:val="single" w:color="000000" w:sz="4" w:space="0"/>
              <w:right w:val="single" w:color="000000" w:sz="4" w:space="0"/>
            </w:tcBorders>
            <w:shd w:val="clear" w:color="auto" w:fill="FFFFFF"/>
            <w:vAlign w:val="center"/>
          </w:tcPr>
          <w:p w14:paraId="788727C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局部墙体拆除</w:t>
            </w:r>
          </w:p>
        </w:tc>
        <w:tc>
          <w:tcPr>
            <w:tcW w:w="1000" w:type="dxa"/>
            <w:tcBorders>
              <w:top w:val="nil"/>
              <w:left w:val="nil"/>
              <w:bottom w:val="single" w:color="000000" w:sz="4" w:space="0"/>
              <w:right w:val="single" w:color="000000" w:sz="4" w:space="0"/>
            </w:tcBorders>
            <w:shd w:val="clear" w:color="auto" w:fill="FFFFFF"/>
            <w:vAlign w:val="center"/>
          </w:tcPr>
          <w:p w14:paraId="502C17F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m3</w:t>
            </w:r>
          </w:p>
        </w:tc>
        <w:tc>
          <w:tcPr>
            <w:tcW w:w="1200" w:type="dxa"/>
            <w:gridSpan w:val="2"/>
            <w:tcBorders>
              <w:top w:val="nil"/>
              <w:left w:val="nil"/>
              <w:bottom w:val="single" w:color="000000" w:sz="4" w:space="0"/>
              <w:right w:val="single" w:color="000000" w:sz="4" w:space="0"/>
            </w:tcBorders>
            <w:shd w:val="clear" w:color="auto" w:fill="FFFFFF"/>
            <w:vAlign w:val="center"/>
          </w:tcPr>
          <w:p w14:paraId="3E53DE95">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5.4</w:t>
            </w:r>
          </w:p>
        </w:tc>
        <w:tc>
          <w:tcPr>
            <w:tcW w:w="1200" w:type="dxa"/>
            <w:gridSpan w:val="2"/>
            <w:tcBorders>
              <w:top w:val="nil"/>
              <w:left w:val="nil"/>
              <w:bottom w:val="single" w:color="000000" w:sz="4" w:space="0"/>
              <w:right w:val="single" w:color="000000" w:sz="4" w:space="0"/>
            </w:tcBorders>
            <w:shd w:val="clear" w:color="auto" w:fill="FFFFFF"/>
            <w:vAlign w:val="center"/>
          </w:tcPr>
          <w:p w14:paraId="159A78FD">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490B6F87">
            <w:pPr>
              <w:jc w:val="right"/>
              <w:rPr>
                <w:rFonts w:hint="default" w:ascii="Arial Narrow" w:hAnsi="Arial Narrow" w:eastAsia="Arial Narrow" w:cs="Arial Narrow"/>
                <w:i w:val="0"/>
                <w:iCs w:val="0"/>
                <w:color w:val="auto"/>
                <w:sz w:val="18"/>
                <w:szCs w:val="18"/>
                <w:highlight w:val="none"/>
                <w:u w:val="none"/>
              </w:rPr>
            </w:pPr>
          </w:p>
        </w:tc>
      </w:tr>
      <w:tr w14:paraId="354D0A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161BEC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863</w:t>
            </w:r>
          </w:p>
        </w:tc>
        <w:tc>
          <w:tcPr>
            <w:tcW w:w="4060" w:type="dxa"/>
            <w:gridSpan w:val="2"/>
            <w:tcBorders>
              <w:top w:val="nil"/>
              <w:left w:val="nil"/>
              <w:bottom w:val="single" w:color="000000" w:sz="4" w:space="0"/>
              <w:right w:val="single" w:color="000000" w:sz="4" w:space="0"/>
            </w:tcBorders>
            <w:shd w:val="clear" w:color="auto" w:fill="FFFFFF"/>
            <w:vAlign w:val="center"/>
          </w:tcPr>
          <w:p w14:paraId="2AFF5FA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配套用房建筑工程(清单附后)</w:t>
            </w:r>
          </w:p>
        </w:tc>
        <w:tc>
          <w:tcPr>
            <w:tcW w:w="1000" w:type="dxa"/>
            <w:tcBorders>
              <w:top w:val="nil"/>
              <w:left w:val="nil"/>
              <w:bottom w:val="single" w:color="000000" w:sz="4" w:space="0"/>
              <w:right w:val="single" w:color="000000" w:sz="4" w:space="0"/>
            </w:tcBorders>
            <w:shd w:val="clear" w:color="auto" w:fill="FFFFFF"/>
            <w:vAlign w:val="center"/>
          </w:tcPr>
          <w:p w14:paraId="37C7B8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w:t>
            </w:r>
          </w:p>
        </w:tc>
        <w:tc>
          <w:tcPr>
            <w:tcW w:w="1200" w:type="dxa"/>
            <w:gridSpan w:val="2"/>
            <w:tcBorders>
              <w:top w:val="nil"/>
              <w:left w:val="nil"/>
              <w:bottom w:val="single" w:color="000000" w:sz="4" w:space="0"/>
              <w:right w:val="single" w:color="000000" w:sz="4" w:space="0"/>
            </w:tcBorders>
            <w:shd w:val="clear" w:color="auto" w:fill="FFFFFF"/>
            <w:vAlign w:val="center"/>
          </w:tcPr>
          <w:p w14:paraId="4609A169">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18EBBA06">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739D3A9A">
            <w:pPr>
              <w:jc w:val="right"/>
              <w:rPr>
                <w:rFonts w:hint="default" w:ascii="Arial Narrow" w:hAnsi="Arial Narrow" w:eastAsia="Arial Narrow" w:cs="Arial Narrow"/>
                <w:i w:val="0"/>
                <w:iCs w:val="0"/>
                <w:color w:val="auto"/>
                <w:sz w:val="18"/>
                <w:szCs w:val="18"/>
                <w:highlight w:val="none"/>
                <w:u w:val="none"/>
              </w:rPr>
            </w:pPr>
          </w:p>
        </w:tc>
      </w:tr>
      <w:tr w14:paraId="54EB91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1A1BCF2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864</w:t>
            </w:r>
          </w:p>
        </w:tc>
        <w:tc>
          <w:tcPr>
            <w:tcW w:w="4060" w:type="dxa"/>
            <w:gridSpan w:val="2"/>
            <w:tcBorders>
              <w:top w:val="nil"/>
              <w:left w:val="nil"/>
              <w:bottom w:val="single" w:color="000000" w:sz="4" w:space="0"/>
              <w:right w:val="single" w:color="000000" w:sz="4" w:space="0"/>
            </w:tcBorders>
            <w:shd w:val="clear" w:color="auto" w:fill="FFFFFF"/>
            <w:vAlign w:val="center"/>
          </w:tcPr>
          <w:p w14:paraId="589C511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配套用房安装工程(清单附后)</w:t>
            </w:r>
          </w:p>
        </w:tc>
        <w:tc>
          <w:tcPr>
            <w:tcW w:w="1000" w:type="dxa"/>
            <w:tcBorders>
              <w:top w:val="nil"/>
              <w:left w:val="nil"/>
              <w:bottom w:val="single" w:color="000000" w:sz="4" w:space="0"/>
              <w:right w:val="single" w:color="000000" w:sz="4" w:space="0"/>
            </w:tcBorders>
            <w:shd w:val="clear" w:color="auto" w:fill="FFFFFF"/>
            <w:vAlign w:val="center"/>
          </w:tcPr>
          <w:p w14:paraId="761AE1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w:t>
            </w:r>
          </w:p>
        </w:tc>
        <w:tc>
          <w:tcPr>
            <w:tcW w:w="1200" w:type="dxa"/>
            <w:gridSpan w:val="2"/>
            <w:tcBorders>
              <w:top w:val="nil"/>
              <w:left w:val="nil"/>
              <w:bottom w:val="single" w:color="000000" w:sz="4" w:space="0"/>
              <w:right w:val="single" w:color="000000" w:sz="4" w:space="0"/>
            </w:tcBorders>
            <w:shd w:val="clear" w:color="auto" w:fill="FFFFFF"/>
            <w:vAlign w:val="center"/>
          </w:tcPr>
          <w:p w14:paraId="33DFEAC3">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6127F280">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089F5978">
            <w:pPr>
              <w:jc w:val="right"/>
              <w:rPr>
                <w:rFonts w:hint="default" w:ascii="Arial Narrow" w:hAnsi="Arial Narrow" w:eastAsia="Arial Narrow" w:cs="Arial Narrow"/>
                <w:i w:val="0"/>
                <w:iCs w:val="0"/>
                <w:color w:val="auto"/>
                <w:sz w:val="18"/>
                <w:szCs w:val="18"/>
                <w:highlight w:val="none"/>
                <w:u w:val="none"/>
              </w:rPr>
            </w:pPr>
          </w:p>
        </w:tc>
      </w:tr>
      <w:tr w14:paraId="163A7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7F929B14">
            <w:pPr>
              <w:jc w:val="center"/>
              <w:rPr>
                <w:rFonts w:hint="eastAsia" w:ascii="宋体" w:hAnsi="宋体" w:eastAsia="宋体" w:cs="宋体"/>
                <w:i w:val="0"/>
                <w:iCs w:val="0"/>
                <w:color w:val="auto"/>
                <w:sz w:val="18"/>
                <w:szCs w:val="18"/>
                <w:highlight w:val="none"/>
                <w:u w:val="none"/>
              </w:rPr>
            </w:pPr>
          </w:p>
        </w:tc>
        <w:tc>
          <w:tcPr>
            <w:tcW w:w="4060" w:type="dxa"/>
            <w:gridSpan w:val="2"/>
            <w:tcBorders>
              <w:top w:val="nil"/>
              <w:left w:val="nil"/>
              <w:bottom w:val="single" w:color="000000" w:sz="4" w:space="0"/>
              <w:right w:val="single" w:color="000000" w:sz="4" w:space="0"/>
            </w:tcBorders>
            <w:shd w:val="clear" w:color="auto" w:fill="FFFFFF"/>
            <w:vAlign w:val="center"/>
          </w:tcPr>
          <w:p w14:paraId="06662BAB">
            <w:pPr>
              <w:jc w:val="left"/>
              <w:rPr>
                <w:rFonts w:hint="eastAsia" w:ascii="宋体" w:hAnsi="宋体" w:eastAsia="宋体" w:cs="宋体"/>
                <w:i w:val="0"/>
                <w:iCs w:val="0"/>
                <w:color w:val="auto"/>
                <w:sz w:val="18"/>
                <w:szCs w:val="18"/>
                <w:highlight w:val="none"/>
                <w:u w:val="none"/>
              </w:rPr>
            </w:pPr>
          </w:p>
        </w:tc>
        <w:tc>
          <w:tcPr>
            <w:tcW w:w="1000" w:type="dxa"/>
            <w:tcBorders>
              <w:top w:val="nil"/>
              <w:left w:val="nil"/>
              <w:bottom w:val="single" w:color="000000" w:sz="4" w:space="0"/>
              <w:right w:val="single" w:color="000000" w:sz="4" w:space="0"/>
            </w:tcBorders>
            <w:shd w:val="clear" w:color="auto" w:fill="FFFFFF"/>
            <w:vAlign w:val="center"/>
          </w:tcPr>
          <w:p w14:paraId="62A8B883">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6D0D2931">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61FD4BB4">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0043F69C">
            <w:pPr>
              <w:jc w:val="right"/>
              <w:rPr>
                <w:rFonts w:hint="default" w:ascii="Arial Narrow" w:hAnsi="Arial Narrow" w:eastAsia="Arial Narrow" w:cs="Arial Narrow"/>
                <w:i w:val="0"/>
                <w:iCs w:val="0"/>
                <w:color w:val="auto"/>
                <w:sz w:val="18"/>
                <w:szCs w:val="18"/>
                <w:highlight w:val="none"/>
                <w:u w:val="none"/>
              </w:rPr>
            </w:pPr>
          </w:p>
        </w:tc>
      </w:tr>
      <w:tr w14:paraId="251176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9660" w:type="dxa"/>
            <w:gridSpan w:val="10"/>
            <w:tcBorders>
              <w:top w:val="nil"/>
              <w:left w:val="single" w:color="000000" w:sz="8" w:space="0"/>
              <w:bottom w:val="single" w:color="000000" w:sz="4" w:space="0"/>
              <w:right w:val="single" w:color="000000" w:sz="8" w:space="0"/>
            </w:tcBorders>
            <w:shd w:val="clear" w:color="auto" w:fill="FFFFFF"/>
            <w:vAlign w:val="center"/>
          </w:tcPr>
          <w:p w14:paraId="5CD6FAE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清单    第800章  合计                        元</w:t>
            </w:r>
          </w:p>
        </w:tc>
      </w:tr>
    </w:tbl>
    <w:p w14:paraId="33E02619">
      <w:pPr>
        <w:bidi w:val="0"/>
        <w:rPr>
          <w:rFonts w:hint="eastAsia"/>
          <w:color w:val="auto"/>
          <w:highlight w:val="none"/>
          <w:lang w:val="en-US" w:eastAsia="zh-CN"/>
        </w:rPr>
      </w:pPr>
    </w:p>
    <w:p w14:paraId="0C2B2C8B">
      <w:pPr>
        <w:rPr>
          <w:rFonts w:hint="eastAsia"/>
          <w:color w:val="auto"/>
          <w:highlight w:val="none"/>
          <w:lang w:val="en-US" w:eastAsia="zh-CN"/>
        </w:rPr>
      </w:pPr>
      <w:r>
        <w:rPr>
          <w:rFonts w:hint="eastAsia"/>
          <w:color w:val="auto"/>
          <w:highlight w:val="none"/>
          <w:lang w:val="en-US" w:eastAsia="zh-CN"/>
        </w:rPr>
        <w:br w:type="page"/>
      </w:r>
    </w:p>
    <w:tbl>
      <w:tblPr>
        <w:tblStyle w:val="23"/>
        <w:tblW w:w="96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26"/>
        <w:gridCol w:w="2451"/>
        <w:gridCol w:w="1594"/>
        <w:gridCol w:w="997"/>
        <w:gridCol w:w="797"/>
        <w:gridCol w:w="399"/>
        <w:gridCol w:w="599"/>
        <w:gridCol w:w="599"/>
        <w:gridCol w:w="399"/>
        <w:gridCol w:w="799"/>
      </w:tblGrid>
      <w:tr w14:paraId="1CFF8D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9660" w:type="dxa"/>
            <w:gridSpan w:val="10"/>
            <w:tcBorders>
              <w:top w:val="nil"/>
              <w:left w:val="nil"/>
              <w:bottom w:val="nil"/>
              <w:right w:val="nil"/>
            </w:tcBorders>
            <w:shd w:val="clear" w:color="auto" w:fill="FFFFFF"/>
            <w:vAlign w:val="top"/>
          </w:tcPr>
          <w:p w14:paraId="03100B88">
            <w:pPr>
              <w:keepNext w:val="0"/>
              <w:keepLines w:val="0"/>
              <w:widowControl/>
              <w:suppressLineNumbers w:val="0"/>
              <w:jc w:val="center"/>
              <w:textAlignment w:val="top"/>
              <w:rPr>
                <w:rFonts w:hint="eastAsia" w:ascii="宋体" w:hAnsi="宋体" w:eastAsia="宋体" w:cs="宋体"/>
                <w:b/>
                <w:bCs/>
                <w:i w:val="0"/>
                <w:iCs w:val="0"/>
                <w:color w:val="auto"/>
                <w:sz w:val="36"/>
                <w:szCs w:val="36"/>
                <w:highlight w:val="none"/>
                <w:u w:val="none"/>
              </w:rPr>
            </w:pPr>
            <w:r>
              <w:rPr>
                <w:rFonts w:hint="eastAsia" w:ascii="宋体" w:hAnsi="宋体" w:eastAsia="宋体" w:cs="宋体"/>
                <w:b/>
                <w:bCs/>
                <w:i w:val="0"/>
                <w:iCs w:val="0"/>
                <w:color w:val="auto"/>
                <w:kern w:val="0"/>
                <w:sz w:val="36"/>
                <w:szCs w:val="36"/>
                <w:highlight w:val="none"/>
                <w:u w:val="none"/>
                <w:lang w:val="en-US" w:eastAsia="zh-CN" w:bidi="ar"/>
              </w:rPr>
              <w:t>工程细目工程量清单</w:t>
            </w:r>
          </w:p>
        </w:tc>
      </w:tr>
      <w:tr w14:paraId="1C77DB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9660" w:type="dxa"/>
            <w:gridSpan w:val="10"/>
            <w:tcBorders>
              <w:top w:val="nil"/>
              <w:left w:val="nil"/>
              <w:bottom w:val="nil"/>
              <w:right w:val="nil"/>
            </w:tcBorders>
            <w:shd w:val="clear" w:color="auto" w:fill="FFFFFF"/>
            <w:vAlign w:val="center"/>
          </w:tcPr>
          <w:p w14:paraId="596AF0A9">
            <w:pPr>
              <w:jc w:val="right"/>
              <w:rPr>
                <w:rFonts w:hint="eastAsia" w:ascii="宋体" w:hAnsi="宋体" w:eastAsia="宋体" w:cs="宋体"/>
                <w:i w:val="0"/>
                <w:iCs w:val="0"/>
                <w:color w:val="auto"/>
                <w:sz w:val="18"/>
                <w:szCs w:val="18"/>
                <w:highlight w:val="none"/>
                <w:u w:val="none"/>
              </w:rPr>
            </w:pPr>
          </w:p>
        </w:tc>
      </w:tr>
      <w:tr w14:paraId="1CBBC2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3460" w:type="dxa"/>
            <w:gridSpan w:val="2"/>
            <w:tcBorders>
              <w:top w:val="nil"/>
              <w:left w:val="nil"/>
              <w:bottom w:val="nil"/>
              <w:right w:val="nil"/>
            </w:tcBorders>
            <w:shd w:val="clear" w:color="auto" w:fill="FFFFFF"/>
            <w:vAlign w:val="center"/>
          </w:tcPr>
          <w:p w14:paraId="018C7D4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项目名称：2026年新昌县G104京岚线关岭隧道上行维修加固工程</w:t>
            </w:r>
          </w:p>
        </w:tc>
        <w:tc>
          <w:tcPr>
            <w:tcW w:w="3400" w:type="dxa"/>
            <w:gridSpan w:val="3"/>
            <w:tcBorders>
              <w:top w:val="nil"/>
              <w:left w:val="nil"/>
              <w:bottom w:val="nil"/>
              <w:right w:val="nil"/>
            </w:tcBorders>
            <w:shd w:val="clear" w:color="auto" w:fill="FFFFFF"/>
            <w:vAlign w:val="center"/>
          </w:tcPr>
          <w:p w14:paraId="719A256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合同段：2026年新昌县G104京岚线关岭隧道上行维修加固工程</w:t>
            </w:r>
          </w:p>
        </w:tc>
        <w:tc>
          <w:tcPr>
            <w:tcW w:w="1000" w:type="dxa"/>
            <w:gridSpan w:val="2"/>
            <w:tcBorders>
              <w:top w:val="nil"/>
              <w:left w:val="nil"/>
              <w:bottom w:val="nil"/>
              <w:right w:val="nil"/>
            </w:tcBorders>
            <w:shd w:val="clear" w:color="auto" w:fill="FFFFFF"/>
            <w:vAlign w:val="center"/>
          </w:tcPr>
          <w:p w14:paraId="7766CD06">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第 6 页</w:t>
            </w:r>
          </w:p>
        </w:tc>
        <w:tc>
          <w:tcPr>
            <w:tcW w:w="1000" w:type="dxa"/>
            <w:gridSpan w:val="2"/>
            <w:tcBorders>
              <w:top w:val="nil"/>
              <w:left w:val="nil"/>
              <w:bottom w:val="nil"/>
              <w:right w:val="nil"/>
            </w:tcBorders>
            <w:shd w:val="clear" w:color="auto" w:fill="FFFFFF"/>
            <w:vAlign w:val="center"/>
          </w:tcPr>
          <w:p w14:paraId="40964D4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共 11 页</w:t>
            </w:r>
          </w:p>
        </w:tc>
        <w:tc>
          <w:tcPr>
            <w:tcW w:w="800" w:type="dxa"/>
            <w:tcBorders>
              <w:top w:val="nil"/>
              <w:left w:val="nil"/>
              <w:bottom w:val="nil"/>
              <w:right w:val="nil"/>
            </w:tcBorders>
            <w:shd w:val="clear" w:color="auto" w:fill="FFFFFF"/>
            <w:vAlign w:val="center"/>
          </w:tcPr>
          <w:p w14:paraId="7AFC9275">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表4</w:t>
            </w:r>
          </w:p>
        </w:tc>
      </w:tr>
      <w:tr w14:paraId="4E15D2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9660" w:type="dxa"/>
            <w:gridSpan w:val="10"/>
            <w:tcBorders>
              <w:top w:val="single" w:color="000000" w:sz="8" w:space="0"/>
              <w:left w:val="single" w:color="000000" w:sz="8" w:space="0"/>
              <w:bottom w:val="single" w:color="000000" w:sz="4" w:space="0"/>
              <w:right w:val="single" w:color="000000" w:sz="8" w:space="0"/>
            </w:tcBorders>
            <w:shd w:val="clear" w:color="auto" w:fill="FFFFFF"/>
            <w:vAlign w:val="center"/>
          </w:tcPr>
          <w:p w14:paraId="43161531">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机电工程</w:t>
            </w:r>
          </w:p>
        </w:tc>
      </w:tr>
      <w:tr w14:paraId="38B6CC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26F9E5C7">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细目号</w:t>
            </w:r>
          </w:p>
        </w:tc>
        <w:tc>
          <w:tcPr>
            <w:tcW w:w="4060" w:type="dxa"/>
            <w:gridSpan w:val="2"/>
            <w:tcBorders>
              <w:top w:val="nil"/>
              <w:left w:val="nil"/>
              <w:bottom w:val="single" w:color="000000" w:sz="4" w:space="0"/>
              <w:right w:val="single" w:color="000000" w:sz="4" w:space="0"/>
            </w:tcBorders>
            <w:shd w:val="clear" w:color="auto" w:fill="FFFFFF"/>
            <w:vAlign w:val="center"/>
          </w:tcPr>
          <w:p w14:paraId="7738B606">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细目名称</w:t>
            </w:r>
          </w:p>
        </w:tc>
        <w:tc>
          <w:tcPr>
            <w:tcW w:w="1000" w:type="dxa"/>
            <w:tcBorders>
              <w:top w:val="nil"/>
              <w:left w:val="nil"/>
              <w:bottom w:val="single" w:color="000000" w:sz="4" w:space="0"/>
              <w:right w:val="single" w:color="000000" w:sz="4" w:space="0"/>
            </w:tcBorders>
            <w:shd w:val="clear" w:color="auto" w:fill="FFFFFF"/>
            <w:vAlign w:val="center"/>
          </w:tcPr>
          <w:p w14:paraId="3DC04CE3">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计量单位</w:t>
            </w:r>
          </w:p>
        </w:tc>
        <w:tc>
          <w:tcPr>
            <w:tcW w:w="1200" w:type="dxa"/>
            <w:gridSpan w:val="2"/>
            <w:tcBorders>
              <w:top w:val="nil"/>
              <w:left w:val="nil"/>
              <w:bottom w:val="single" w:color="000000" w:sz="4" w:space="0"/>
              <w:right w:val="single" w:color="000000" w:sz="4" w:space="0"/>
            </w:tcBorders>
            <w:shd w:val="clear" w:color="auto" w:fill="FFFFFF"/>
            <w:vAlign w:val="center"/>
          </w:tcPr>
          <w:p w14:paraId="44730CC6">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工程数量</w:t>
            </w:r>
          </w:p>
        </w:tc>
        <w:tc>
          <w:tcPr>
            <w:tcW w:w="1200" w:type="dxa"/>
            <w:gridSpan w:val="2"/>
            <w:tcBorders>
              <w:top w:val="nil"/>
              <w:left w:val="nil"/>
              <w:bottom w:val="single" w:color="000000" w:sz="4" w:space="0"/>
              <w:right w:val="single" w:color="000000" w:sz="4" w:space="0"/>
            </w:tcBorders>
            <w:shd w:val="clear" w:color="auto" w:fill="FFFFFF"/>
            <w:vAlign w:val="center"/>
          </w:tcPr>
          <w:p w14:paraId="5C3C4CEA">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单价（元）</w:t>
            </w:r>
          </w:p>
        </w:tc>
        <w:tc>
          <w:tcPr>
            <w:tcW w:w="1200" w:type="dxa"/>
            <w:gridSpan w:val="2"/>
            <w:tcBorders>
              <w:top w:val="nil"/>
              <w:left w:val="nil"/>
              <w:bottom w:val="single" w:color="000000" w:sz="4" w:space="0"/>
              <w:right w:val="single" w:color="000000" w:sz="8" w:space="0"/>
            </w:tcBorders>
            <w:shd w:val="clear" w:color="auto" w:fill="FFFFFF"/>
            <w:vAlign w:val="center"/>
          </w:tcPr>
          <w:p w14:paraId="57241ADC">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合价（元）</w:t>
            </w:r>
          </w:p>
        </w:tc>
      </w:tr>
      <w:tr w14:paraId="06FB51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6E75D5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TS209</w:t>
            </w:r>
          </w:p>
        </w:tc>
        <w:tc>
          <w:tcPr>
            <w:tcW w:w="4060" w:type="dxa"/>
            <w:gridSpan w:val="2"/>
            <w:tcBorders>
              <w:top w:val="nil"/>
              <w:left w:val="nil"/>
              <w:bottom w:val="single" w:color="000000" w:sz="4" w:space="0"/>
              <w:right w:val="single" w:color="000000" w:sz="4" w:space="0"/>
            </w:tcBorders>
            <w:shd w:val="clear" w:color="auto" w:fill="FFFFFF"/>
            <w:vAlign w:val="center"/>
          </w:tcPr>
          <w:p w14:paraId="0332F4F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综合控制台</w:t>
            </w:r>
          </w:p>
        </w:tc>
        <w:tc>
          <w:tcPr>
            <w:tcW w:w="1000" w:type="dxa"/>
            <w:tcBorders>
              <w:top w:val="nil"/>
              <w:left w:val="nil"/>
              <w:bottom w:val="single" w:color="000000" w:sz="4" w:space="0"/>
              <w:right w:val="single" w:color="000000" w:sz="4" w:space="0"/>
            </w:tcBorders>
            <w:shd w:val="clear" w:color="auto" w:fill="FFFFFF"/>
            <w:vAlign w:val="center"/>
          </w:tcPr>
          <w:p w14:paraId="63DBCD16">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2A214020">
            <w:pPr>
              <w:jc w:val="right"/>
              <w:rPr>
                <w:rFonts w:hint="eastAsia"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0091E9E3">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1EE3132D">
            <w:pPr>
              <w:jc w:val="right"/>
              <w:rPr>
                <w:rFonts w:hint="default" w:ascii="Arial Narrow" w:hAnsi="Arial Narrow" w:eastAsia="Arial Narrow" w:cs="Arial Narrow"/>
                <w:i w:val="0"/>
                <w:iCs w:val="0"/>
                <w:color w:val="auto"/>
                <w:sz w:val="18"/>
                <w:szCs w:val="18"/>
                <w:highlight w:val="none"/>
                <w:u w:val="none"/>
              </w:rPr>
            </w:pPr>
          </w:p>
        </w:tc>
      </w:tr>
      <w:tr w14:paraId="36C8C7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6DE366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TS209-1</w:t>
            </w:r>
          </w:p>
        </w:tc>
        <w:tc>
          <w:tcPr>
            <w:tcW w:w="4060" w:type="dxa"/>
            <w:gridSpan w:val="2"/>
            <w:tcBorders>
              <w:top w:val="nil"/>
              <w:left w:val="nil"/>
              <w:bottom w:val="single" w:color="000000" w:sz="4" w:space="0"/>
              <w:right w:val="single" w:color="000000" w:sz="4" w:space="0"/>
            </w:tcBorders>
            <w:shd w:val="clear" w:color="auto" w:fill="FFFFFF"/>
            <w:vAlign w:val="center"/>
          </w:tcPr>
          <w:p w14:paraId="2786B08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综合控制台</w:t>
            </w:r>
          </w:p>
        </w:tc>
        <w:tc>
          <w:tcPr>
            <w:tcW w:w="1000" w:type="dxa"/>
            <w:tcBorders>
              <w:top w:val="nil"/>
              <w:left w:val="nil"/>
              <w:bottom w:val="single" w:color="000000" w:sz="4" w:space="0"/>
              <w:right w:val="single" w:color="000000" w:sz="4" w:space="0"/>
            </w:tcBorders>
            <w:shd w:val="clear" w:color="auto" w:fill="FFFFFF"/>
            <w:vAlign w:val="center"/>
          </w:tcPr>
          <w:p w14:paraId="474E70A8">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7DB36D5E">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32DA34F4">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6280937E">
            <w:pPr>
              <w:jc w:val="right"/>
              <w:rPr>
                <w:rFonts w:hint="default" w:ascii="Arial Narrow" w:hAnsi="Arial Narrow" w:eastAsia="Arial Narrow" w:cs="Arial Narrow"/>
                <w:i w:val="0"/>
                <w:iCs w:val="0"/>
                <w:color w:val="auto"/>
                <w:sz w:val="18"/>
                <w:szCs w:val="18"/>
                <w:highlight w:val="none"/>
                <w:u w:val="none"/>
              </w:rPr>
            </w:pPr>
          </w:p>
        </w:tc>
      </w:tr>
      <w:tr w14:paraId="424562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49AC1BB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TS209-1-a</w:t>
            </w:r>
          </w:p>
        </w:tc>
        <w:tc>
          <w:tcPr>
            <w:tcW w:w="4060" w:type="dxa"/>
            <w:gridSpan w:val="2"/>
            <w:tcBorders>
              <w:top w:val="nil"/>
              <w:left w:val="nil"/>
              <w:bottom w:val="single" w:color="000000" w:sz="4" w:space="0"/>
              <w:right w:val="single" w:color="000000" w:sz="4" w:space="0"/>
            </w:tcBorders>
            <w:shd w:val="clear" w:color="auto" w:fill="FFFFFF"/>
            <w:vAlign w:val="center"/>
          </w:tcPr>
          <w:p w14:paraId="12D51B9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隧道前置数据汇聚工作站</w:t>
            </w:r>
          </w:p>
        </w:tc>
        <w:tc>
          <w:tcPr>
            <w:tcW w:w="1000" w:type="dxa"/>
            <w:tcBorders>
              <w:top w:val="nil"/>
              <w:left w:val="nil"/>
              <w:bottom w:val="single" w:color="000000" w:sz="4" w:space="0"/>
              <w:right w:val="single" w:color="000000" w:sz="4" w:space="0"/>
            </w:tcBorders>
            <w:shd w:val="clear" w:color="auto" w:fill="FFFFFF"/>
            <w:vAlign w:val="center"/>
          </w:tcPr>
          <w:p w14:paraId="46F4F4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200" w:type="dxa"/>
            <w:gridSpan w:val="2"/>
            <w:tcBorders>
              <w:top w:val="nil"/>
              <w:left w:val="nil"/>
              <w:bottom w:val="single" w:color="000000" w:sz="4" w:space="0"/>
              <w:right w:val="single" w:color="000000" w:sz="4" w:space="0"/>
            </w:tcBorders>
            <w:shd w:val="clear" w:color="auto" w:fill="FFFFFF"/>
            <w:vAlign w:val="center"/>
          </w:tcPr>
          <w:p w14:paraId="5914446D">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3</w:t>
            </w:r>
          </w:p>
        </w:tc>
        <w:tc>
          <w:tcPr>
            <w:tcW w:w="1200" w:type="dxa"/>
            <w:gridSpan w:val="2"/>
            <w:tcBorders>
              <w:top w:val="nil"/>
              <w:left w:val="nil"/>
              <w:bottom w:val="single" w:color="000000" w:sz="4" w:space="0"/>
              <w:right w:val="single" w:color="000000" w:sz="4" w:space="0"/>
            </w:tcBorders>
            <w:shd w:val="clear" w:color="auto" w:fill="FFFFFF"/>
            <w:vAlign w:val="center"/>
          </w:tcPr>
          <w:p w14:paraId="098D68BD">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3922F474">
            <w:pPr>
              <w:jc w:val="right"/>
              <w:rPr>
                <w:rFonts w:hint="default" w:ascii="Arial Narrow" w:hAnsi="Arial Narrow" w:eastAsia="Arial Narrow" w:cs="Arial Narrow"/>
                <w:i w:val="0"/>
                <w:iCs w:val="0"/>
                <w:color w:val="auto"/>
                <w:sz w:val="18"/>
                <w:szCs w:val="18"/>
                <w:highlight w:val="none"/>
                <w:u w:val="none"/>
              </w:rPr>
            </w:pPr>
          </w:p>
        </w:tc>
      </w:tr>
      <w:tr w14:paraId="20E3BC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559406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TS209-1-b</w:t>
            </w:r>
          </w:p>
        </w:tc>
        <w:tc>
          <w:tcPr>
            <w:tcW w:w="4060" w:type="dxa"/>
            <w:gridSpan w:val="2"/>
            <w:tcBorders>
              <w:top w:val="nil"/>
              <w:left w:val="nil"/>
              <w:bottom w:val="single" w:color="000000" w:sz="4" w:space="0"/>
              <w:right w:val="single" w:color="000000" w:sz="4" w:space="0"/>
            </w:tcBorders>
            <w:shd w:val="clear" w:color="auto" w:fill="FFFFFF"/>
            <w:vAlign w:val="center"/>
          </w:tcPr>
          <w:p w14:paraId="2F8AA53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隧道管控工作站</w:t>
            </w:r>
          </w:p>
        </w:tc>
        <w:tc>
          <w:tcPr>
            <w:tcW w:w="1000" w:type="dxa"/>
            <w:tcBorders>
              <w:top w:val="nil"/>
              <w:left w:val="nil"/>
              <w:bottom w:val="single" w:color="000000" w:sz="4" w:space="0"/>
              <w:right w:val="single" w:color="000000" w:sz="4" w:space="0"/>
            </w:tcBorders>
            <w:shd w:val="clear" w:color="auto" w:fill="FFFFFF"/>
            <w:vAlign w:val="center"/>
          </w:tcPr>
          <w:p w14:paraId="11142F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200" w:type="dxa"/>
            <w:gridSpan w:val="2"/>
            <w:tcBorders>
              <w:top w:val="nil"/>
              <w:left w:val="nil"/>
              <w:bottom w:val="single" w:color="000000" w:sz="4" w:space="0"/>
              <w:right w:val="single" w:color="000000" w:sz="4" w:space="0"/>
            </w:tcBorders>
            <w:shd w:val="clear" w:color="auto" w:fill="FFFFFF"/>
            <w:vAlign w:val="center"/>
          </w:tcPr>
          <w:p w14:paraId="466F94E0">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4B689A76">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3C5C5532">
            <w:pPr>
              <w:jc w:val="right"/>
              <w:rPr>
                <w:rFonts w:hint="default" w:ascii="Arial Narrow" w:hAnsi="Arial Narrow" w:eastAsia="Arial Narrow" w:cs="Arial Narrow"/>
                <w:i w:val="0"/>
                <w:iCs w:val="0"/>
                <w:color w:val="auto"/>
                <w:sz w:val="18"/>
                <w:szCs w:val="18"/>
                <w:highlight w:val="none"/>
                <w:u w:val="none"/>
              </w:rPr>
            </w:pPr>
          </w:p>
        </w:tc>
      </w:tr>
      <w:tr w14:paraId="77F6DA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38C518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TS215</w:t>
            </w:r>
          </w:p>
        </w:tc>
        <w:tc>
          <w:tcPr>
            <w:tcW w:w="4060" w:type="dxa"/>
            <w:gridSpan w:val="2"/>
            <w:tcBorders>
              <w:top w:val="nil"/>
              <w:left w:val="nil"/>
              <w:bottom w:val="single" w:color="000000" w:sz="4" w:space="0"/>
              <w:right w:val="single" w:color="000000" w:sz="4" w:space="0"/>
            </w:tcBorders>
            <w:shd w:val="clear" w:color="auto" w:fill="FFFFFF"/>
            <w:vAlign w:val="center"/>
          </w:tcPr>
          <w:p w14:paraId="58BD883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称重检测系统</w:t>
            </w:r>
          </w:p>
        </w:tc>
        <w:tc>
          <w:tcPr>
            <w:tcW w:w="1000" w:type="dxa"/>
            <w:tcBorders>
              <w:top w:val="nil"/>
              <w:left w:val="nil"/>
              <w:bottom w:val="single" w:color="000000" w:sz="4" w:space="0"/>
              <w:right w:val="single" w:color="000000" w:sz="4" w:space="0"/>
            </w:tcBorders>
            <w:shd w:val="clear" w:color="auto" w:fill="FFFFFF"/>
            <w:vAlign w:val="center"/>
          </w:tcPr>
          <w:p w14:paraId="0B1E3871">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5A7092DA">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188F60C1">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1578D3A4">
            <w:pPr>
              <w:jc w:val="right"/>
              <w:rPr>
                <w:rFonts w:hint="default" w:ascii="Arial Narrow" w:hAnsi="Arial Narrow" w:eastAsia="Arial Narrow" w:cs="Arial Narrow"/>
                <w:i w:val="0"/>
                <w:iCs w:val="0"/>
                <w:color w:val="auto"/>
                <w:sz w:val="18"/>
                <w:szCs w:val="18"/>
                <w:highlight w:val="none"/>
                <w:u w:val="none"/>
              </w:rPr>
            </w:pPr>
          </w:p>
        </w:tc>
      </w:tr>
      <w:tr w14:paraId="7C52CE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7669F68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TS215-3</w:t>
            </w:r>
          </w:p>
        </w:tc>
        <w:tc>
          <w:tcPr>
            <w:tcW w:w="4060" w:type="dxa"/>
            <w:gridSpan w:val="2"/>
            <w:tcBorders>
              <w:top w:val="nil"/>
              <w:left w:val="nil"/>
              <w:bottom w:val="single" w:color="000000" w:sz="4" w:space="0"/>
              <w:right w:val="single" w:color="000000" w:sz="4" w:space="0"/>
            </w:tcBorders>
            <w:shd w:val="clear" w:color="auto" w:fill="FFFFFF"/>
            <w:vAlign w:val="center"/>
          </w:tcPr>
          <w:p w14:paraId="193FF92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计算机系统</w:t>
            </w:r>
          </w:p>
        </w:tc>
        <w:tc>
          <w:tcPr>
            <w:tcW w:w="1000" w:type="dxa"/>
            <w:tcBorders>
              <w:top w:val="nil"/>
              <w:left w:val="nil"/>
              <w:bottom w:val="single" w:color="000000" w:sz="4" w:space="0"/>
              <w:right w:val="single" w:color="000000" w:sz="4" w:space="0"/>
            </w:tcBorders>
            <w:shd w:val="clear" w:color="auto" w:fill="FFFFFF"/>
            <w:vAlign w:val="center"/>
          </w:tcPr>
          <w:p w14:paraId="4E0CF4CD">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65205B27">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7A3210CC">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07201A9F">
            <w:pPr>
              <w:jc w:val="right"/>
              <w:rPr>
                <w:rFonts w:hint="default" w:ascii="Arial Narrow" w:hAnsi="Arial Narrow" w:eastAsia="Arial Narrow" w:cs="Arial Narrow"/>
                <w:i w:val="0"/>
                <w:iCs w:val="0"/>
                <w:color w:val="auto"/>
                <w:sz w:val="18"/>
                <w:szCs w:val="18"/>
                <w:highlight w:val="none"/>
                <w:u w:val="none"/>
              </w:rPr>
            </w:pPr>
          </w:p>
        </w:tc>
      </w:tr>
      <w:tr w14:paraId="15D457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7111AD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TS215-3-a</w:t>
            </w:r>
          </w:p>
        </w:tc>
        <w:tc>
          <w:tcPr>
            <w:tcW w:w="4060" w:type="dxa"/>
            <w:gridSpan w:val="2"/>
            <w:tcBorders>
              <w:top w:val="nil"/>
              <w:left w:val="nil"/>
              <w:bottom w:val="single" w:color="000000" w:sz="4" w:space="0"/>
              <w:right w:val="single" w:color="000000" w:sz="4" w:space="0"/>
            </w:tcBorders>
            <w:shd w:val="clear" w:color="auto" w:fill="FFFFFF"/>
            <w:vAlign w:val="center"/>
          </w:tcPr>
          <w:p w14:paraId="5036948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通用计算机</w:t>
            </w:r>
          </w:p>
        </w:tc>
        <w:tc>
          <w:tcPr>
            <w:tcW w:w="1000" w:type="dxa"/>
            <w:tcBorders>
              <w:top w:val="nil"/>
              <w:left w:val="nil"/>
              <w:bottom w:val="single" w:color="000000" w:sz="4" w:space="0"/>
              <w:right w:val="single" w:color="000000" w:sz="4" w:space="0"/>
            </w:tcBorders>
            <w:shd w:val="clear" w:color="auto" w:fill="FFFFFF"/>
            <w:vAlign w:val="center"/>
          </w:tcPr>
          <w:p w14:paraId="725859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6D81149F">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4</w:t>
            </w:r>
          </w:p>
        </w:tc>
        <w:tc>
          <w:tcPr>
            <w:tcW w:w="1200" w:type="dxa"/>
            <w:gridSpan w:val="2"/>
            <w:tcBorders>
              <w:top w:val="nil"/>
              <w:left w:val="nil"/>
              <w:bottom w:val="single" w:color="000000" w:sz="4" w:space="0"/>
              <w:right w:val="single" w:color="000000" w:sz="4" w:space="0"/>
            </w:tcBorders>
            <w:shd w:val="clear" w:color="auto" w:fill="FFFFFF"/>
            <w:vAlign w:val="center"/>
          </w:tcPr>
          <w:p w14:paraId="0E136A94">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561BECEF">
            <w:pPr>
              <w:jc w:val="right"/>
              <w:rPr>
                <w:rFonts w:hint="default" w:ascii="Arial Narrow" w:hAnsi="Arial Narrow" w:eastAsia="Arial Narrow" w:cs="Arial Narrow"/>
                <w:i w:val="0"/>
                <w:iCs w:val="0"/>
                <w:color w:val="auto"/>
                <w:sz w:val="18"/>
                <w:szCs w:val="18"/>
                <w:highlight w:val="none"/>
                <w:u w:val="none"/>
              </w:rPr>
            </w:pPr>
          </w:p>
        </w:tc>
      </w:tr>
      <w:tr w14:paraId="738352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14FB692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TS502</w:t>
            </w:r>
          </w:p>
        </w:tc>
        <w:tc>
          <w:tcPr>
            <w:tcW w:w="4060" w:type="dxa"/>
            <w:gridSpan w:val="2"/>
            <w:tcBorders>
              <w:top w:val="nil"/>
              <w:left w:val="nil"/>
              <w:bottom w:val="single" w:color="000000" w:sz="4" w:space="0"/>
              <w:right w:val="single" w:color="000000" w:sz="4" w:space="0"/>
            </w:tcBorders>
            <w:shd w:val="clear" w:color="auto" w:fill="FFFFFF"/>
            <w:vAlign w:val="center"/>
          </w:tcPr>
          <w:p w14:paraId="5864CDA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照明子系统</w:t>
            </w:r>
          </w:p>
        </w:tc>
        <w:tc>
          <w:tcPr>
            <w:tcW w:w="1000" w:type="dxa"/>
            <w:tcBorders>
              <w:top w:val="nil"/>
              <w:left w:val="nil"/>
              <w:bottom w:val="single" w:color="000000" w:sz="4" w:space="0"/>
              <w:right w:val="single" w:color="000000" w:sz="4" w:space="0"/>
            </w:tcBorders>
            <w:shd w:val="clear" w:color="auto" w:fill="FFFFFF"/>
            <w:vAlign w:val="center"/>
          </w:tcPr>
          <w:p w14:paraId="6F026DA4">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1F4A7544">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3D1A0BAA">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1D2280BC">
            <w:pPr>
              <w:jc w:val="right"/>
              <w:rPr>
                <w:rFonts w:hint="default" w:ascii="Arial Narrow" w:hAnsi="Arial Narrow" w:eastAsia="Arial Narrow" w:cs="Arial Narrow"/>
                <w:i w:val="0"/>
                <w:iCs w:val="0"/>
                <w:color w:val="auto"/>
                <w:sz w:val="18"/>
                <w:szCs w:val="18"/>
                <w:highlight w:val="none"/>
                <w:u w:val="none"/>
              </w:rPr>
            </w:pPr>
          </w:p>
        </w:tc>
      </w:tr>
      <w:tr w14:paraId="39AF27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017D18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TS502-1</w:t>
            </w:r>
          </w:p>
        </w:tc>
        <w:tc>
          <w:tcPr>
            <w:tcW w:w="4060" w:type="dxa"/>
            <w:gridSpan w:val="2"/>
            <w:tcBorders>
              <w:top w:val="nil"/>
              <w:left w:val="nil"/>
              <w:bottom w:val="single" w:color="000000" w:sz="4" w:space="0"/>
              <w:right w:val="single" w:color="000000" w:sz="4" w:space="0"/>
            </w:tcBorders>
            <w:shd w:val="clear" w:color="auto" w:fill="FFFFFF"/>
            <w:vAlign w:val="center"/>
          </w:tcPr>
          <w:p w14:paraId="24BCC64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洞内照明灯</w:t>
            </w:r>
          </w:p>
        </w:tc>
        <w:tc>
          <w:tcPr>
            <w:tcW w:w="1000" w:type="dxa"/>
            <w:tcBorders>
              <w:top w:val="nil"/>
              <w:left w:val="nil"/>
              <w:bottom w:val="single" w:color="000000" w:sz="4" w:space="0"/>
              <w:right w:val="single" w:color="000000" w:sz="4" w:space="0"/>
            </w:tcBorders>
            <w:shd w:val="clear" w:color="auto" w:fill="FFFFFF"/>
            <w:vAlign w:val="center"/>
          </w:tcPr>
          <w:p w14:paraId="709409EF">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2663D0C7">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321AC269">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78405083">
            <w:pPr>
              <w:jc w:val="right"/>
              <w:rPr>
                <w:rFonts w:hint="default" w:ascii="Arial Narrow" w:hAnsi="Arial Narrow" w:eastAsia="Arial Narrow" w:cs="Arial Narrow"/>
                <w:i w:val="0"/>
                <w:iCs w:val="0"/>
                <w:color w:val="auto"/>
                <w:sz w:val="18"/>
                <w:szCs w:val="18"/>
                <w:highlight w:val="none"/>
                <w:u w:val="none"/>
              </w:rPr>
            </w:pPr>
          </w:p>
        </w:tc>
      </w:tr>
      <w:tr w14:paraId="637B2F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3F6D580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TS502-1-a</w:t>
            </w:r>
          </w:p>
        </w:tc>
        <w:tc>
          <w:tcPr>
            <w:tcW w:w="4060" w:type="dxa"/>
            <w:gridSpan w:val="2"/>
            <w:tcBorders>
              <w:top w:val="nil"/>
              <w:left w:val="nil"/>
              <w:bottom w:val="single" w:color="000000" w:sz="4" w:space="0"/>
              <w:right w:val="single" w:color="000000" w:sz="4" w:space="0"/>
            </w:tcBorders>
            <w:shd w:val="clear" w:color="auto" w:fill="FFFFFF"/>
            <w:vAlign w:val="center"/>
          </w:tcPr>
          <w:p w14:paraId="570B65E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240+12wLED  一体化隧道灯（含智慧母线、控制电缆、电缆桥架、灯具、调光电源、供电电源一体化）</w:t>
            </w:r>
          </w:p>
        </w:tc>
        <w:tc>
          <w:tcPr>
            <w:tcW w:w="1000" w:type="dxa"/>
            <w:tcBorders>
              <w:top w:val="nil"/>
              <w:left w:val="nil"/>
              <w:bottom w:val="single" w:color="000000" w:sz="4" w:space="0"/>
              <w:right w:val="single" w:color="000000" w:sz="4" w:space="0"/>
            </w:tcBorders>
            <w:shd w:val="clear" w:color="auto" w:fill="FFFFFF"/>
            <w:vAlign w:val="center"/>
          </w:tcPr>
          <w:p w14:paraId="47CC2DD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229F1CFC">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48</w:t>
            </w:r>
          </w:p>
        </w:tc>
        <w:tc>
          <w:tcPr>
            <w:tcW w:w="1200" w:type="dxa"/>
            <w:gridSpan w:val="2"/>
            <w:tcBorders>
              <w:top w:val="nil"/>
              <w:left w:val="nil"/>
              <w:bottom w:val="single" w:color="000000" w:sz="4" w:space="0"/>
              <w:right w:val="single" w:color="000000" w:sz="4" w:space="0"/>
            </w:tcBorders>
            <w:shd w:val="clear" w:color="auto" w:fill="FFFFFF"/>
            <w:vAlign w:val="center"/>
          </w:tcPr>
          <w:p w14:paraId="5B938DBA">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21B184BA">
            <w:pPr>
              <w:jc w:val="right"/>
              <w:rPr>
                <w:rFonts w:hint="default" w:ascii="Arial Narrow" w:hAnsi="Arial Narrow" w:eastAsia="Arial Narrow" w:cs="Arial Narrow"/>
                <w:i w:val="0"/>
                <w:iCs w:val="0"/>
                <w:color w:val="auto"/>
                <w:sz w:val="18"/>
                <w:szCs w:val="18"/>
                <w:highlight w:val="none"/>
                <w:u w:val="none"/>
              </w:rPr>
            </w:pPr>
          </w:p>
        </w:tc>
      </w:tr>
      <w:tr w14:paraId="04C411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5ED067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TS502-1-b</w:t>
            </w:r>
          </w:p>
        </w:tc>
        <w:tc>
          <w:tcPr>
            <w:tcW w:w="4060" w:type="dxa"/>
            <w:gridSpan w:val="2"/>
            <w:tcBorders>
              <w:top w:val="nil"/>
              <w:left w:val="nil"/>
              <w:bottom w:val="single" w:color="000000" w:sz="4" w:space="0"/>
              <w:right w:val="single" w:color="000000" w:sz="4" w:space="0"/>
            </w:tcBorders>
            <w:shd w:val="clear" w:color="auto" w:fill="FFFFFF"/>
            <w:vAlign w:val="center"/>
          </w:tcPr>
          <w:p w14:paraId="172ED4B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120+12wLED  一体化隧道灯（含智慧母线、控制电缆、电缆桥架、灯具、调光电源、供电电源一体化）</w:t>
            </w:r>
          </w:p>
        </w:tc>
        <w:tc>
          <w:tcPr>
            <w:tcW w:w="1000" w:type="dxa"/>
            <w:tcBorders>
              <w:top w:val="nil"/>
              <w:left w:val="nil"/>
              <w:bottom w:val="single" w:color="000000" w:sz="4" w:space="0"/>
              <w:right w:val="single" w:color="000000" w:sz="4" w:space="0"/>
            </w:tcBorders>
            <w:shd w:val="clear" w:color="auto" w:fill="FFFFFF"/>
            <w:vAlign w:val="center"/>
          </w:tcPr>
          <w:p w14:paraId="570A717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6A581A1A">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48</w:t>
            </w:r>
          </w:p>
        </w:tc>
        <w:tc>
          <w:tcPr>
            <w:tcW w:w="1200" w:type="dxa"/>
            <w:gridSpan w:val="2"/>
            <w:tcBorders>
              <w:top w:val="nil"/>
              <w:left w:val="nil"/>
              <w:bottom w:val="single" w:color="000000" w:sz="4" w:space="0"/>
              <w:right w:val="single" w:color="000000" w:sz="4" w:space="0"/>
            </w:tcBorders>
            <w:shd w:val="clear" w:color="auto" w:fill="FFFFFF"/>
            <w:vAlign w:val="center"/>
          </w:tcPr>
          <w:p w14:paraId="645D771A">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116171BC">
            <w:pPr>
              <w:jc w:val="right"/>
              <w:rPr>
                <w:rFonts w:hint="default" w:ascii="Arial Narrow" w:hAnsi="Arial Narrow" w:eastAsia="Arial Narrow" w:cs="Arial Narrow"/>
                <w:i w:val="0"/>
                <w:iCs w:val="0"/>
                <w:color w:val="auto"/>
                <w:sz w:val="18"/>
                <w:szCs w:val="18"/>
                <w:highlight w:val="none"/>
                <w:u w:val="none"/>
              </w:rPr>
            </w:pPr>
          </w:p>
        </w:tc>
      </w:tr>
      <w:tr w14:paraId="59C55D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55B9A3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TS502-1-c</w:t>
            </w:r>
          </w:p>
        </w:tc>
        <w:tc>
          <w:tcPr>
            <w:tcW w:w="4060" w:type="dxa"/>
            <w:gridSpan w:val="2"/>
            <w:tcBorders>
              <w:top w:val="nil"/>
              <w:left w:val="nil"/>
              <w:bottom w:val="single" w:color="000000" w:sz="4" w:space="0"/>
              <w:right w:val="single" w:color="000000" w:sz="4" w:space="0"/>
            </w:tcBorders>
            <w:shd w:val="clear" w:color="auto" w:fill="FFFFFF"/>
            <w:vAlign w:val="center"/>
          </w:tcPr>
          <w:p w14:paraId="70BA53C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35+12wLED  一体化隧道灯（含智慧母线、控制电缆、电缆桥架、灯具、调光电源、供电电源一体化）</w:t>
            </w:r>
          </w:p>
        </w:tc>
        <w:tc>
          <w:tcPr>
            <w:tcW w:w="1000" w:type="dxa"/>
            <w:tcBorders>
              <w:top w:val="nil"/>
              <w:left w:val="nil"/>
              <w:bottom w:val="single" w:color="000000" w:sz="4" w:space="0"/>
              <w:right w:val="single" w:color="000000" w:sz="4" w:space="0"/>
            </w:tcBorders>
            <w:shd w:val="clear" w:color="auto" w:fill="FFFFFF"/>
            <w:vAlign w:val="center"/>
          </w:tcPr>
          <w:p w14:paraId="493D1B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5D12DD3B">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102</w:t>
            </w:r>
          </w:p>
        </w:tc>
        <w:tc>
          <w:tcPr>
            <w:tcW w:w="1200" w:type="dxa"/>
            <w:gridSpan w:val="2"/>
            <w:tcBorders>
              <w:top w:val="nil"/>
              <w:left w:val="nil"/>
              <w:bottom w:val="single" w:color="000000" w:sz="4" w:space="0"/>
              <w:right w:val="single" w:color="000000" w:sz="4" w:space="0"/>
            </w:tcBorders>
            <w:shd w:val="clear" w:color="auto" w:fill="FFFFFF"/>
            <w:vAlign w:val="center"/>
          </w:tcPr>
          <w:p w14:paraId="3F618394">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4051A07F">
            <w:pPr>
              <w:jc w:val="right"/>
              <w:rPr>
                <w:rFonts w:hint="default" w:ascii="Arial Narrow" w:hAnsi="Arial Narrow" w:eastAsia="Arial Narrow" w:cs="Arial Narrow"/>
                <w:i w:val="0"/>
                <w:iCs w:val="0"/>
                <w:color w:val="auto"/>
                <w:sz w:val="18"/>
                <w:szCs w:val="18"/>
                <w:highlight w:val="none"/>
                <w:u w:val="none"/>
              </w:rPr>
            </w:pPr>
          </w:p>
        </w:tc>
      </w:tr>
      <w:tr w14:paraId="26B1D5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372019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TS502-1-d</w:t>
            </w:r>
          </w:p>
        </w:tc>
        <w:tc>
          <w:tcPr>
            <w:tcW w:w="4060" w:type="dxa"/>
            <w:gridSpan w:val="2"/>
            <w:tcBorders>
              <w:top w:val="nil"/>
              <w:left w:val="nil"/>
              <w:bottom w:val="single" w:color="000000" w:sz="4" w:space="0"/>
              <w:right w:val="single" w:color="000000" w:sz="4" w:space="0"/>
            </w:tcBorders>
            <w:shd w:val="clear" w:color="auto" w:fill="FFFFFF"/>
            <w:vAlign w:val="center"/>
          </w:tcPr>
          <w:p w14:paraId="39B54C9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18+12wLED  一体化隧道灯（含智慧母线、控制电缆、电缆桥架、灯具、调光电源、供电电源一体化）</w:t>
            </w:r>
          </w:p>
        </w:tc>
        <w:tc>
          <w:tcPr>
            <w:tcW w:w="1000" w:type="dxa"/>
            <w:tcBorders>
              <w:top w:val="nil"/>
              <w:left w:val="nil"/>
              <w:bottom w:val="single" w:color="000000" w:sz="4" w:space="0"/>
              <w:right w:val="single" w:color="000000" w:sz="4" w:space="0"/>
            </w:tcBorders>
            <w:shd w:val="clear" w:color="auto" w:fill="FFFFFF"/>
            <w:vAlign w:val="center"/>
          </w:tcPr>
          <w:p w14:paraId="7C81A1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386DAD8B">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96</w:t>
            </w:r>
          </w:p>
        </w:tc>
        <w:tc>
          <w:tcPr>
            <w:tcW w:w="1200" w:type="dxa"/>
            <w:gridSpan w:val="2"/>
            <w:tcBorders>
              <w:top w:val="nil"/>
              <w:left w:val="nil"/>
              <w:bottom w:val="single" w:color="000000" w:sz="4" w:space="0"/>
              <w:right w:val="single" w:color="000000" w:sz="4" w:space="0"/>
            </w:tcBorders>
            <w:shd w:val="clear" w:color="auto" w:fill="FFFFFF"/>
            <w:vAlign w:val="center"/>
          </w:tcPr>
          <w:p w14:paraId="1906544A">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2826C145">
            <w:pPr>
              <w:jc w:val="right"/>
              <w:rPr>
                <w:rFonts w:hint="default" w:ascii="Arial Narrow" w:hAnsi="Arial Narrow" w:eastAsia="Arial Narrow" w:cs="Arial Narrow"/>
                <w:i w:val="0"/>
                <w:iCs w:val="0"/>
                <w:color w:val="auto"/>
                <w:sz w:val="18"/>
                <w:szCs w:val="18"/>
                <w:highlight w:val="none"/>
                <w:u w:val="none"/>
              </w:rPr>
            </w:pPr>
          </w:p>
        </w:tc>
      </w:tr>
      <w:tr w14:paraId="1D7A17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28DFDA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TS502-1-e</w:t>
            </w:r>
          </w:p>
        </w:tc>
        <w:tc>
          <w:tcPr>
            <w:tcW w:w="4060" w:type="dxa"/>
            <w:gridSpan w:val="2"/>
            <w:tcBorders>
              <w:top w:val="nil"/>
              <w:left w:val="nil"/>
              <w:bottom w:val="single" w:color="000000" w:sz="4" w:space="0"/>
              <w:right w:val="single" w:color="000000" w:sz="4" w:space="0"/>
            </w:tcBorders>
            <w:shd w:val="clear" w:color="auto" w:fill="FFFFFF"/>
            <w:vAlign w:val="center"/>
          </w:tcPr>
          <w:p w14:paraId="1765B2F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30+12wLED  一体化隧道灯（含智慧母线、控制电缆、电缆桥架、灯具、调光电源、供电电源一体化）</w:t>
            </w:r>
          </w:p>
        </w:tc>
        <w:tc>
          <w:tcPr>
            <w:tcW w:w="1000" w:type="dxa"/>
            <w:tcBorders>
              <w:top w:val="nil"/>
              <w:left w:val="nil"/>
              <w:bottom w:val="single" w:color="000000" w:sz="4" w:space="0"/>
              <w:right w:val="single" w:color="000000" w:sz="4" w:space="0"/>
            </w:tcBorders>
            <w:shd w:val="clear" w:color="auto" w:fill="FFFFFF"/>
            <w:vAlign w:val="center"/>
          </w:tcPr>
          <w:p w14:paraId="2F8800E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1A26A108">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30</w:t>
            </w:r>
          </w:p>
        </w:tc>
        <w:tc>
          <w:tcPr>
            <w:tcW w:w="1200" w:type="dxa"/>
            <w:gridSpan w:val="2"/>
            <w:tcBorders>
              <w:top w:val="nil"/>
              <w:left w:val="nil"/>
              <w:bottom w:val="single" w:color="000000" w:sz="4" w:space="0"/>
              <w:right w:val="single" w:color="000000" w:sz="4" w:space="0"/>
            </w:tcBorders>
            <w:shd w:val="clear" w:color="auto" w:fill="FFFFFF"/>
            <w:vAlign w:val="center"/>
          </w:tcPr>
          <w:p w14:paraId="4895320A">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3AAA55B3">
            <w:pPr>
              <w:jc w:val="right"/>
              <w:rPr>
                <w:rFonts w:hint="default" w:ascii="Arial Narrow" w:hAnsi="Arial Narrow" w:eastAsia="Arial Narrow" w:cs="Arial Narrow"/>
                <w:i w:val="0"/>
                <w:iCs w:val="0"/>
                <w:color w:val="auto"/>
                <w:sz w:val="18"/>
                <w:szCs w:val="18"/>
                <w:highlight w:val="none"/>
                <w:u w:val="none"/>
              </w:rPr>
            </w:pPr>
          </w:p>
        </w:tc>
      </w:tr>
      <w:tr w14:paraId="305101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5F6625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TS502-1-f</w:t>
            </w:r>
          </w:p>
        </w:tc>
        <w:tc>
          <w:tcPr>
            <w:tcW w:w="4060" w:type="dxa"/>
            <w:gridSpan w:val="2"/>
            <w:tcBorders>
              <w:top w:val="nil"/>
              <w:left w:val="nil"/>
              <w:bottom w:val="single" w:color="000000" w:sz="4" w:space="0"/>
              <w:right w:val="single" w:color="000000" w:sz="4" w:space="0"/>
            </w:tcBorders>
            <w:shd w:val="clear" w:color="auto" w:fill="FFFFFF"/>
            <w:vAlign w:val="center"/>
          </w:tcPr>
          <w:p w14:paraId="70A2C11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30wLED  智慧条形灯具（含智慧母线、控制电缆、电缆桥架、灯具、调光电源、供电电源一体化）</w:t>
            </w:r>
          </w:p>
        </w:tc>
        <w:tc>
          <w:tcPr>
            <w:tcW w:w="1000" w:type="dxa"/>
            <w:tcBorders>
              <w:top w:val="nil"/>
              <w:left w:val="nil"/>
              <w:bottom w:val="single" w:color="000000" w:sz="4" w:space="0"/>
              <w:right w:val="single" w:color="000000" w:sz="4" w:space="0"/>
            </w:tcBorders>
            <w:shd w:val="clear" w:color="auto" w:fill="FFFFFF"/>
            <w:vAlign w:val="center"/>
          </w:tcPr>
          <w:p w14:paraId="689E08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3931A5FD">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554</w:t>
            </w:r>
          </w:p>
        </w:tc>
        <w:tc>
          <w:tcPr>
            <w:tcW w:w="1200" w:type="dxa"/>
            <w:gridSpan w:val="2"/>
            <w:tcBorders>
              <w:top w:val="nil"/>
              <w:left w:val="nil"/>
              <w:bottom w:val="single" w:color="000000" w:sz="4" w:space="0"/>
              <w:right w:val="single" w:color="000000" w:sz="4" w:space="0"/>
            </w:tcBorders>
            <w:shd w:val="clear" w:color="auto" w:fill="FFFFFF"/>
            <w:vAlign w:val="center"/>
          </w:tcPr>
          <w:p w14:paraId="1BFD9DF5">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037460CE">
            <w:pPr>
              <w:jc w:val="right"/>
              <w:rPr>
                <w:rFonts w:hint="default" w:ascii="Arial Narrow" w:hAnsi="Arial Narrow" w:eastAsia="Arial Narrow" w:cs="Arial Narrow"/>
                <w:i w:val="0"/>
                <w:iCs w:val="0"/>
                <w:color w:val="auto"/>
                <w:sz w:val="18"/>
                <w:szCs w:val="18"/>
                <w:highlight w:val="none"/>
                <w:u w:val="none"/>
              </w:rPr>
            </w:pPr>
          </w:p>
        </w:tc>
      </w:tr>
      <w:tr w14:paraId="2AC84F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206F85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TS502-1-g</w:t>
            </w:r>
          </w:p>
        </w:tc>
        <w:tc>
          <w:tcPr>
            <w:tcW w:w="4060" w:type="dxa"/>
            <w:gridSpan w:val="2"/>
            <w:tcBorders>
              <w:top w:val="nil"/>
              <w:left w:val="nil"/>
              <w:bottom w:val="single" w:color="000000" w:sz="4" w:space="0"/>
              <w:right w:val="single" w:color="000000" w:sz="4" w:space="0"/>
            </w:tcBorders>
            <w:shd w:val="clear" w:color="auto" w:fill="FFFFFF"/>
            <w:vAlign w:val="center"/>
          </w:tcPr>
          <w:p w14:paraId="21BDE31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隧道灯 30W LED灯</w:t>
            </w:r>
          </w:p>
        </w:tc>
        <w:tc>
          <w:tcPr>
            <w:tcW w:w="1000" w:type="dxa"/>
            <w:tcBorders>
              <w:top w:val="nil"/>
              <w:left w:val="nil"/>
              <w:bottom w:val="single" w:color="000000" w:sz="4" w:space="0"/>
              <w:right w:val="single" w:color="000000" w:sz="4" w:space="0"/>
            </w:tcBorders>
            <w:shd w:val="clear" w:color="auto" w:fill="FFFFFF"/>
            <w:vAlign w:val="center"/>
          </w:tcPr>
          <w:p w14:paraId="09465F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37FC2D3F">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23</w:t>
            </w:r>
          </w:p>
        </w:tc>
        <w:tc>
          <w:tcPr>
            <w:tcW w:w="1200" w:type="dxa"/>
            <w:gridSpan w:val="2"/>
            <w:tcBorders>
              <w:top w:val="nil"/>
              <w:left w:val="nil"/>
              <w:bottom w:val="single" w:color="000000" w:sz="4" w:space="0"/>
              <w:right w:val="single" w:color="000000" w:sz="4" w:space="0"/>
            </w:tcBorders>
            <w:shd w:val="clear" w:color="auto" w:fill="FFFFFF"/>
            <w:vAlign w:val="center"/>
          </w:tcPr>
          <w:p w14:paraId="32A99381">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377EDCAA">
            <w:pPr>
              <w:jc w:val="right"/>
              <w:rPr>
                <w:rFonts w:hint="default" w:ascii="Arial Narrow" w:hAnsi="Arial Narrow" w:eastAsia="Arial Narrow" w:cs="Arial Narrow"/>
                <w:i w:val="0"/>
                <w:iCs w:val="0"/>
                <w:color w:val="auto"/>
                <w:sz w:val="18"/>
                <w:szCs w:val="18"/>
                <w:highlight w:val="none"/>
                <w:u w:val="none"/>
              </w:rPr>
            </w:pPr>
          </w:p>
        </w:tc>
      </w:tr>
      <w:tr w14:paraId="788185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15E7A8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TS502-1-h</w:t>
            </w:r>
          </w:p>
        </w:tc>
        <w:tc>
          <w:tcPr>
            <w:tcW w:w="4060" w:type="dxa"/>
            <w:gridSpan w:val="2"/>
            <w:tcBorders>
              <w:top w:val="nil"/>
              <w:left w:val="nil"/>
              <w:bottom w:val="single" w:color="000000" w:sz="4" w:space="0"/>
              <w:right w:val="single" w:color="000000" w:sz="4" w:space="0"/>
            </w:tcBorders>
            <w:shd w:val="clear" w:color="auto" w:fill="FFFFFF"/>
            <w:vAlign w:val="center"/>
          </w:tcPr>
          <w:p w14:paraId="4C17116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隧道灯 10W LED灯</w:t>
            </w:r>
          </w:p>
        </w:tc>
        <w:tc>
          <w:tcPr>
            <w:tcW w:w="1000" w:type="dxa"/>
            <w:tcBorders>
              <w:top w:val="nil"/>
              <w:left w:val="nil"/>
              <w:bottom w:val="single" w:color="000000" w:sz="4" w:space="0"/>
              <w:right w:val="single" w:color="000000" w:sz="4" w:space="0"/>
            </w:tcBorders>
            <w:shd w:val="clear" w:color="auto" w:fill="FFFFFF"/>
            <w:vAlign w:val="center"/>
          </w:tcPr>
          <w:p w14:paraId="37B3DC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2C9C1A9D">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12</w:t>
            </w:r>
          </w:p>
        </w:tc>
        <w:tc>
          <w:tcPr>
            <w:tcW w:w="1200" w:type="dxa"/>
            <w:gridSpan w:val="2"/>
            <w:tcBorders>
              <w:top w:val="nil"/>
              <w:left w:val="nil"/>
              <w:bottom w:val="single" w:color="000000" w:sz="4" w:space="0"/>
              <w:right w:val="single" w:color="000000" w:sz="4" w:space="0"/>
            </w:tcBorders>
            <w:shd w:val="clear" w:color="auto" w:fill="FFFFFF"/>
            <w:vAlign w:val="center"/>
          </w:tcPr>
          <w:p w14:paraId="65765479">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0D5872C5">
            <w:pPr>
              <w:jc w:val="right"/>
              <w:rPr>
                <w:rFonts w:hint="default" w:ascii="Arial Narrow" w:hAnsi="Arial Narrow" w:eastAsia="Arial Narrow" w:cs="Arial Narrow"/>
                <w:i w:val="0"/>
                <w:iCs w:val="0"/>
                <w:color w:val="auto"/>
                <w:sz w:val="18"/>
                <w:szCs w:val="18"/>
                <w:highlight w:val="none"/>
                <w:u w:val="none"/>
              </w:rPr>
            </w:pPr>
          </w:p>
        </w:tc>
      </w:tr>
      <w:tr w14:paraId="7533D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646919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TS502-1-g</w:t>
            </w:r>
          </w:p>
        </w:tc>
        <w:tc>
          <w:tcPr>
            <w:tcW w:w="4060" w:type="dxa"/>
            <w:gridSpan w:val="2"/>
            <w:tcBorders>
              <w:top w:val="nil"/>
              <w:left w:val="nil"/>
              <w:bottom w:val="single" w:color="000000" w:sz="4" w:space="0"/>
              <w:right w:val="single" w:color="000000" w:sz="4" w:space="0"/>
            </w:tcBorders>
            <w:shd w:val="clear" w:color="auto" w:fill="FFFFFF"/>
            <w:vAlign w:val="center"/>
          </w:tcPr>
          <w:p w14:paraId="3993BF8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拆除清理关岭隧道（上行）洞内照明灯具（加强灯和基本灯）</w:t>
            </w:r>
          </w:p>
        </w:tc>
        <w:tc>
          <w:tcPr>
            <w:tcW w:w="1000" w:type="dxa"/>
            <w:tcBorders>
              <w:top w:val="nil"/>
              <w:left w:val="nil"/>
              <w:bottom w:val="single" w:color="000000" w:sz="4" w:space="0"/>
              <w:right w:val="single" w:color="000000" w:sz="4" w:space="0"/>
            </w:tcBorders>
            <w:shd w:val="clear" w:color="auto" w:fill="FFFFFF"/>
            <w:vAlign w:val="center"/>
          </w:tcPr>
          <w:p w14:paraId="031ED8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15F320A8">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940</w:t>
            </w:r>
          </w:p>
        </w:tc>
        <w:tc>
          <w:tcPr>
            <w:tcW w:w="1200" w:type="dxa"/>
            <w:gridSpan w:val="2"/>
            <w:tcBorders>
              <w:top w:val="nil"/>
              <w:left w:val="nil"/>
              <w:bottom w:val="single" w:color="000000" w:sz="4" w:space="0"/>
              <w:right w:val="single" w:color="000000" w:sz="4" w:space="0"/>
            </w:tcBorders>
            <w:shd w:val="clear" w:color="auto" w:fill="FFFFFF"/>
            <w:vAlign w:val="center"/>
          </w:tcPr>
          <w:p w14:paraId="5E9E0312">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7D60129C">
            <w:pPr>
              <w:jc w:val="right"/>
              <w:rPr>
                <w:rFonts w:hint="default" w:ascii="Arial Narrow" w:hAnsi="Arial Narrow" w:eastAsia="Arial Narrow" w:cs="Arial Narrow"/>
                <w:i w:val="0"/>
                <w:iCs w:val="0"/>
                <w:color w:val="auto"/>
                <w:sz w:val="18"/>
                <w:szCs w:val="18"/>
                <w:highlight w:val="none"/>
                <w:u w:val="none"/>
              </w:rPr>
            </w:pPr>
          </w:p>
        </w:tc>
      </w:tr>
      <w:tr w14:paraId="17B23B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4334CB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TS502-1-h</w:t>
            </w:r>
          </w:p>
        </w:tc>
        <w:tc>
          <w:tcPr>
            <w:tcW w:w="4060" w:type="dxa"/>
            <w:gridSpan w:val="2"/>
            <w:tcBorders>
              <w:top w:val="nil"/>
              <w:left w:val="nil"/>
              <w:bottom w:val="single" w:color="000000" w:sz="4" w:space="0"/>
              <w:right w:val="single" w:color="000000" w:sz="4" w:space="0"/>
            </w:tcBorders>
            <w:shd w:val="clear" w:color="auto" w:fill="FFFFFF"/>
            <w:vAlign w:val="center"/>
          </w:tcPr>
          <w:p w14:paraId="7C44906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隧道人通门轮廓灯条 500*70*30mm 20W/m,24V DC </w:t>
            </w:r>
          </w:p>
        </w:tc>
        <w:tc>
          <w:tcPr>
            <w:tcW w:w="1000" w:type="dxa"/>
            <w:tcBorders>
              <w:top w:val="nil"/>
              <w:left w:val="nil"/>
              <w:bottom w:val="single" w:color="000000" w:sz="4" w:space="0"/>
              <w:right w:val="single" w:color="000000" w:sz="4" w:space="0"/>
            </w:tcBorders>
            <w:shd w:val="clear" w:color="auto" w:fill="FFFFFF"/>
            <w:vAlign w:val="center"/>
          </w:tcPr>
          <w:p w14:paraId="64850D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3AD0259F">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42</w:t>
            </w:r>
          </w:p>
        </w:tc>
        <w:tc>
          <w:tcPr>
            <w:tcW w:w="1200" w:type="dxa"/>
            <w:gridSpan w:val="2"/>
            <w:tcBorders>
              <w:top w:val="nil"/>
              <w:left w:val="nil"/>
              <w:bottom w:val="single" w:color="000000" w:sz="4" w:space="0"/>
              <w:right w:val="single" w:color="000000" w:sz="4" w:space="0"/>
            </w:tcBorders>
            <w:shd w:val="clear" w:color="auto" w:fill="FFFFFF"/>
            <w:vAlign w:val="center"/>
          </w:tcPr>
          <w:p w14:paraId="77D0FA8B">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280A042E">
            <w:pPr>
              <w:jc w:val="right"/>
              <w:rPr>
                <w:rFonts w:hint="default" w:ascii="Arial Narrow" w:hAnsi="Arial Narrow" w:eastAsia="Arial Narrow" w:cs="Arial Narrow"/>
                <w:i w:val="0"/>
                <w:iCs w:val="0"/>
                <w:color w:val="auto"/>
                <w:sz w:val="18"/>
                <w:szCs w:val="18"/>
                <w:highlight w:val="none"/>
                <w:u w:val="none"/>
              </w:rPr>
            </w:pPr>
          </w:p>
        </w:tc>
      </w:tr>
      <w:tr w14:paraId="7CA3E3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49A5273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TS502-2</w:t>
            </w:r>
          </w:p>
        </w:tc>
        <w:tc>
          <w:tcPr>
            <w:tcW w:w="4060" w:type="dxa"/>
            <w:gridSpan w:val="2"/>
            <w:tcBorders>
              <w:top w:val="nil"/>
              <w:left w:val="nil"/>
              <w:bottom w:val="single" w:color="000000" w:sz="4" w:space="0"/>
              <w:right w:val="single" w:color="000000" w:sz="4" w:space="0"/>
            </w:tcBorders>
            <w:shd w:val="clear" w:color="auto" w:fill="FFFFFF"/>
            <w:vAlign w:val="center"/>
          </w:tcPr>
          <w:p w14:paraId="653448C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应急诱导灯</w:t>
            </w:r>
          </w:p>
        </w:tc>
        <w:tc>
          <w:tcPr>
            <w:tcW w:w="1000" w:type="dxa"/>
            <w:tcBorders>
              <w:top w:val="nil"/>
              <w:left w:val="nil"/>
              <w:bottom w:val="single" w:color="000000" w:sz="4" w:space="0"/>
              <w:right w:val="single" w:color="000000" w:sz="4" w:space="0"/>
            </w:tcBorders>
            <w:shd w:val="clear" w:color="auto" w:fill="FFFFFF"/>
            <w:vAlign w:val="center"/>
          </w:tcPr>
          <w:p w14:paraId="656830C5">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15DD1C89">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57377F77">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6D1D7FE7">
            <w:pPr>
              <w:jc w:val="right"/>
              <w:rPr>
                <w:rFonts w:hint="default" w:ascii="Arial Narrow" w:hAnsi="Arial Narrow" w:eastAsia="Arial Narrow" w:cs="Arial Narrow"/>
                <w:i w:val="0"/>
                <w:iCs w:val="0"/>
                <w:color w:val="auto"/>
                <w:sz w:val="18"/>
                <w:szCs w:val="18"/>
                <w:highlight w:val="none"/>
                <w:u w:val="none"/>
              </w:rPr>
            </w:pPr>
          </w:p>
        </w:tc>
      </w:tr>
      <w:tr w14:paraId="76F213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1DA8B5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TS502-2-a</w:t>
            </w:r>
          </w:p>
        </w:tc>
        <w:tc>
          <w:tcPr>
            <w:tcW w:w="4060" w:type="dxa"/>
            <w:gridSpan w:val="2"/>
            <w:tcBorders>
              <w:top w:val="nil"/>
              <w:left w:val="nil"/>
              <w:bottom w:val="single" w:color="000000" w:sz="4" w:space="0"/>
              <w:right w:val="single" w:color="000000" w:sz="4" w:space="0"/>
            </w:tcBorders>
            <w:shd w:val="clear" w:color="auto" w:fill="FFFFFF"/>
            <w:vAlign w:val="center"/>
          </w:tcPr>
          <w:p w14:paraId="41C3802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智慧事件诱导单元 联动型</w:t>
            </w:r>
          </w:p>
        </w:tc>
        <w:tc>
          <w:tcPr>
            <w:tcW w:w="1000" w:type="dxa"/>
            <w:tcBorders>
              <w:top w:val="nil"/>
              <w:left w:val="nil"/>
              <w:bottom w:val="single" w:color="000000" w:sz="4" w:space="0"/>
              <w:right w:val="single" w:color="000000" w:sz="4" w:space="0"/>
            </w:tcBorders>
            <w:shd w:val="clear" w:color="auto" w:fill="FFFFFF"/>
            <w:vAlign w:val="center"/>
          </w:tcPr>
          <w:p w14:paraId="5E3306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042D3095">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1890</w:t>
            </w:r>
          </w:p>
        </w:tc>
        <w:tc>
          <w:tcPr>
            <w:tcW w:w="1200" w:type="dxa"/>
            <w:gridSpan w:val="2"/>
            <w:tcBorders>
              <w:top w:val="nil"/>
              <w:left w:val="nil"/>
              <w:bottom w:val="single" w:color="000000" w:sz="4" w:space="0"/>
              <w:right w:val="single" w:color="000000" w:sz="4" w:space="0"/>
            </w:tcBorders>
            <w:shd w:val="clear" w:color="auto" w:fill="FFFFFF"/>
            <w:vAlign w:val="center"/>
          </w:tcPr>
          <w:p w14:paraId="77833976">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1A7D0410">
            <w:pPr>
              <w:jc w:val="right"/>
              <w:rPr>
                <w:rFonts w:hint="default" w:ascii="Arial Narrow" w:hAnsi="Arial Narrow" w:eastAsia="Arial Narrow" w:cs="Arial Narrow"/>
                <w:i w:val="0"/>
                <w:iCs w:val="0"/>
                <w:color w:val="auto"/>
                <w:sz w:val="18"/>
                <w:szCs w:val="18"/>
                <w:highlight w:val="none"/>
                <w:u w:val="none"/>
              </w:rPr>
            </w:pPr>
          </w:p>
        </w:tc>
      </w:tr>
      <w:tr w14:paraId="203CC6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5A1568F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TS502-2-b</w:t>
            </w:r>
          </w:p>
        </w:tc>
        <w:tc>
          <w:tcPr>
            <w:tcW w:w="4060" w:type="dxa"/>
            <w:gridSpan w:val="2"/>
            <w:tcBorders>
              <w:top w:val="nil"/>
              <w:left w:val="nil"/>
              <w:bottom w:val="single" w:color="000000" w:sz="4" w:space="0"/>
              <w:right w:val="single" w:color="000000" w:sz="4" w:space="0"/>
            </w:tcBorders>
            <w:shd w:val="clear" w:color="auto" w:fill="FFFFFF"/>
            <w:vAlign w:val="center"/>
          </w:tcPr>
          <w:p w14:paraId="2188E8C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隧道内车道指示器 增设 红叉绿箭，双面式，600mm×600mm</w:t>
            </w:r>
          </w:p>
        </w:tc>
        <w:tc>
          <w:tcPr>
            <w:tcW w:w="1000" w:type="dxa"/>
            <w:tcBorders>
              <w:top w:val="nil"/>
              <w:left w:val="nil"/>
              <w:bottom w:val="single" w:color="000000" w:sz="4" w:space="0"/>
              <w:right w:val="single" w:color="000000" w:sz="4" w:space="0"/>
            </w:tcBorders>
            <w:shd w:val="clear" w:color="auto" w:fill="FFFFFF"/>
            <w:vAlign w:val="center"/>
          </w:tcPr>
          <w:p w14:paraId="7B44D7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0C04740D">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6</w:t>
            </w:r>
          </w:p>
        </w:tc>
        <w:tc>
          <w:tcPr>
            <w:tcW w:w="1200" w:type="dxa"/>
            <w:gridSpan w:val="2"/>
            <w:tcBorders>
              <w:top w:val="nil"/>
              <w:left w:val="nil"/>
              <w:bottom w:val="single" w:color="000000" w:sz="4" w:space="0"/>
              <w:right w:val="single" w:color="000000" w:sz="4" w:space="0"/>
            </w:tcBorders>
            <w:shd w:val="clear" w:color="auto" w:fill="FFFFFF"/>
            <w:vAlign w:val="center"/>
          </w:tcPr>
          <w:p w14:paraId="6EE1BC5C">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678AB82B">
            <w:pPr>
              <w:jc w:val="right"/>
              <w:rPr>
                <w:rFonts w:hint="default" w:ascii="Arial Narrow" w:hAnsi="Arial Narrow" w:eastAsia="Arial Narrow" w:cs="Arial Narrow"/>
                <w:i w:val="0"/>
                <w:iCs w:val="0"/>
                <w:color w:val="auto"/>
                <w:sz w:val="18"/>
                <w:szCs w:val="18"/>
                <w:highlight w:val="none"/>
                <w:u w:val="none"/>
              </w:rPr>
            </w:pPr>
          </w:p>
        </w:tc>
      </w:tr>
      <w:tr w14:paraId="63A201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23194F2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TS502-2-c</w:t>
            </w:r>
          </w:p>
        </w:tc>
        <w:tc>
          <w:tcPr>
            <w:tcW w:w="4060" w:type="dxa"/>
            <w:gridSpan w:val="2"/>
            <w:tcBorders>
              <w:top w:val="nil"/>
              <w:left w:val="nil"/>
              <w:bottom w:val="single" w:color="000000" w:sz="4" w:space="0"/>
              <w:right w:val="single" w:color="000000" w:sz="4" w:space="0"/>
            </w:tcBorders>
            <w:shd w:val="clear" w:color="auto" w:fill="FFFFFF"/>
            <w:vAlign w:val="center"/>
          </w:tcPr>
          <w:p w14:paraId="700F982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原应急诱导灯拆除、清理</w:t>
            </w:r>
          </w:p>
        </w:tc>
        <w:tc>
          <w:tcPr>
            <w:tcW w:w="1000" w:type="dxa"/>
            <w:tcBorders>
              <w:top w:val="nil"/>
              <w:left w:val="nil"/>
              <w:bottom w:val="single" w:color="000000" w:sz="4" w:space="0"/>
              <w:right w:val="single" w:color="000000" w:sz="4" w:space="0"/>
            </w:tcBorders>
            <w:shd w:val="clear" w:color="auto" w:fill="FFFFFF"/>
            <w:vAlign w:val="center"/>
          </w:tcPr>
          <w:p w14:paraId="1CE188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6269DE46">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150</w:t>
            </w:r>
          </w:p>
        </w:tc>
        <w:tc>
          <w:tcPr>
            <w:tcW w:w="1200" w:type="dxa"/>
            <w:gridSpan w:val="2"/>
            <w:tcBorders>
              <w:top w:val="nil"/>
              <w:left w:val="nil"/>
              <w:bottom w:val="single" w:color="000000" w:sz="4" w:space="0"/>
              <w:right w:val="single" w:color="000000" w:sz="4" w:space="0"/>
            </w:tcBorders>
            <w:shd w:val="clear" w:color="auto" w:fill="FFFFFF"/>
            <w:vAlign w:val="center"/>
          </w:tcPr>
          <w:p w14:paraId="5487D6AF">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2DDA4382">
            <w:pPr>
              <w:jc w:val="right"/>
              <w:rPr>
                <w:rFonts w:hint="default" w:ascii="Arial Narrow" w:hAnsi="Arial Narrow" w:eastAsia="Arial Narrow" w:cs="Arial Narrow"/>
                <w:i w:val="0"/>
                <w:iCs w:val="0"/>
                <w:color w:val="auto"/>
                <w:sz w:val="18"/>
                <w:szCs w:val="18"/>
                <w:highlight w:val="none"/>
                <w:u w:val="none"/>
              </w:rPr>
            </w:pPr>
          </w:p>
        </w:tc>
      </w:tr>
      <w:tr w14:paraId="0A2563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593896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TS502-2-d</w:t>
            </w:r>
          </w:p>
        </w:tc>
        <w:tc>
          <w:tcPr>
            <w:tcW w:w="4060" w:type="dxa"/>
            <w:gridSpan w:val="2"/>
            <w:tcBorders>
              <w:top w:val="nil"/>
              <w:left w:val="nil"/>
              <w:bottom w:val="single" w:color="000000" w:sz="4" w:space="0"/>
              <w:right w:val="single" w:color="000000" w:sz="4" w:space="0"/>
            </w:tcBorders>
            <w:shd w:val="clear" w:color="auto" w:fill="FFFFFF"/>
            <w:vAlign w:val="center"/>
          </w:tcPr>
          <w:p w14:paraId="5FEF01B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安全出口指示灯箱 LED-5W，75cm×25cm</w:t>
            </w:r>
          </w:p>
        </w:tc>
        <w:tc>
          <w:tcPr>
            <w:tcW w:w="1000" w:type="dxa"/>
            <w:tcBorders>
              <w:top w:val="nil"/>
              <w:left w:val="nil"/>
              <w:bottom w:val="single" w:color="000000" w:sz="4" w:space="0"/>
              <w:right w:val="single" w:color="000000" w:sz="4" w:space="0"/>
            </w:tcBorders>
            <w:shd w:val="clear" w:color="auto" w:fill="FFFFFF"/>
            <w:vAlign w:val="center"/>
          </w:tcPr>
          <w:p w14:paraId="1C152D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304BEA00">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3</w:t>
            </w:r>
          </w:p>
        </w:tc>
        <w:tc>
          <w:tcPr>
            <w:tcW w:w="1200" w:type="dxa"/>
            <w:gridSpan w:val="2"/>
            <w:tcBorders>
              <w:top w:val="nil"/>
              <w:left w:val="nil"/>
              <w:bottom w:val="single" w:color="000000" w:sz="4" w:space="0"/>
              <w:right w:val="single" w:color="000000" w:sz="4" w:space="0"/>
            </w:tcBorders>
            <w:shd w:val="clear" w:color="auto" w:fill="FFFFFF"/>
            <w:vAlign w:val="center"/>
          </w:tcPr>
          <w:p w14:paraId="2CAC8BB8">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396E3779">
            <w:pPr>
              <w:jc w:val="right"/>
              <w:rPr>
                <w:rFonts w:hint="default" w:ascii="Arial Narrow" w:hAnsi="Arial Narrow" w:eastAsia="Arial Narrow" w:cs="Arial Narrow"/>
                <w:i w:val="0"/>
                <w:iCs w:val="0"/>
                <w:color w:val="auto"/>
                <w:sz w:val="18"/>
                <w:szCs w:val="18"/>
                <w:highlight w:val="none"/>
                <w:u w:val="none"/>
              </w:rPr>
            </w:pPr>
          </w:p>
        </w:tc>
      </w:tr>
      <w:tr w14:paraId="2EFC3C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0EED93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TS502-2-e</w:t>
            </w:r>
          </w:p>
        </w:tc>
        <w:tc>
          <w:tcPr>
            <w:tcW w:w="4060" w:type="dxa"/>
            <w:gridSpan w:val="2"/>
            <w:tcBorders>
              <w:top w:val="nil"/>
              <w:left w:val="nil"/>
              <w:bottom w:val="single" w:color="000000" w:sz="4" w:space="0"/>
              <w:right w:val="single" w:color="000000" w:sz="4" w:space="0"/>
            </w:tcBorders>
            <w:shd w:val="clear" w:color="auto" w:fill="FFFFFF"/>
            <w:vAlign w:val="center"/>
          </w:tcPr>
          <w:p w14:paraId="285EB12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电光诱导标</w:t>
            </w:r>
          </w:p>
        </w:tc>
        <w:tc>
          <w:tcPr>
            <w:tcW w:w="1000" w:type="dxa"/>
            <w:tcBorders>
              <w:top w:val="nil"/>
              <w:left w:val="nil"/>
              <w:bottom w:val="single" w:color="000000" w:sz="4" w:space="0"/>
              <w:right w:val="single" w:color="000000" w:sz="4" w:space="0"/>
            </w:tcBorders>
            <w:shd w:val="clear" w:color="auto" w:fill="FFFFFF"/>
            <w:vAlign w:val="center"/>
          </w:tcPr>
          <w:p w14:paraId="096A7F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44BDC55C">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256</w:t>
            </w:r>
          </w:p>
        </w:tc>
        <w:tc>
          <w:tcPr>
            <w:tcW w:w="1200" w:type="dxa"/>
            <w:gridSpan w:val="2"/>
            <w:tcBorders>
              <w:top w:val="nil"/>
              <w:left w:val="nil"/>
              <w:bottom w:val="single" w:color="000000" w:sz="4" w:space="0"/>
              <w:right w:val="single" w:color="000000" w:sz="4" w:space="0"/>
            </w:tcBorders>
            <w:shd w:val="clear" w:color="auto" w:fill="FFFFFF"/>
            <w:vAlign w:val="center"/>
          </w:tcPr>
          <w:p w14:paraId="03D5B028">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7BD774D1">
            <w:pPr>
              <w:jc w:val="right"/>
              <w:rPr>
                <w:rFonts w:hint="default" w:ascii="Arial Narrow" w:hAnsi="Arial Narrow" w:eastAsia="Arial Narrow" w:cs="Arial Narrow"/>
                <w:i w:val="0"/>
                <w:iCs w:val="0"/>
                <w:color w:val="auto"/>
                <w:sz w:val="18"/>
                <w:szCs w:val="18"/>
                <w:highlight w:val="none"/>
                <w:u w:val="none"/>
              </w:rPr>
            </w:pPr>
          </w:p>
        </w:tc>
      </w:tr>
      <w:tr w14:paraId="40899C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15C99C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TS502-2-f</w:t>
            </w:r>
          </w:p>
        </w:tc>
        <w:tc>
          <w:tcPr>
            <w:tcW w:w="4060" w:type="dxa"/>
            <w:gridSpan w:val="2"/>
            <w:tcBorders>
              <w:top w:val="nil"/>
              <w:left w:val="nil"/>
              <w:bottom w:val="single" w:color="000000" w:sz="4" w:space="0"/>
              <w:right w:val="single" w:color="000000" w:sz="4" w:space="0"/>
            </w:tcBorders>
            <w:shd w:val="clear" w:color="auto" w:fill="FFFFFF"/>
            <w:vAlign w:val="center"/>
          </w:tcPr>
          <w:p w14:paraId="038C610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轮廓标(电光)</w:t>
            </w:r>
          </w:p>
        </w:tc>
        <w:tc>
          <w:tcPr>
            <w:tcW w:w="1000" w:type="dxa"/>
            <w:tcBorders>
              <w:top w:val="nil"/>
              <w:left w:val="nil"/>
              <w:bottom w:val="single" w:color="000000" w:sz="4" w:space="0"/>
              <w:right w:val="single" w:color="000000" w:sz="4" w:space="0"/>
            </w:tcBorders>
            <w:shd w:val="clear" w:color="auto" w:fill="FFFFFF"/>
            <w:vAlign w:val="center"/>
          </w:tcPr>
          <w:p w14:paraId="072ABD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200" w:type="dxa"/>
            <w:gridSpan w:val="2"/>
            <w:tcBorders>
              <w:top w:val="nil"/>
              <w:left w:val="nil"/>
              <w:bottom w:val="single" w:color="000000" w:sz="4" w:space="0"/>
              <w:right w:val="single" w:color="000000" w:sz="4" w:space="0"/>
            </w:tcBorders>
            <w:shd w:val="clear" w:color="auto" w:fill="FFFFFF"/>
            <w:vAlign w:val="center"/>
          </w:tcPr>
          <w:p w14:paraId="490E1AFA">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256</w:t>
            </w:r>
          </w:p>
        </w:tc>
        <w:tc>
          <w:tcPr>
            <w:tcW w:w="1200" w:type="dxa"/>
            <w:gridSpan w:val="2"/>
            <w:tcBorders>
              <w:top w:val="nil"/>
              <w:left w:val="nil"/>
              <w:bottom w:val="single" w:color="000000" w:sz="4" w:space="0"/>
              <w:right w:val="single" w:color="000000" w:sz="4" w:space="0"/>
            </w:tcBorders>
            <w:shd w:val="clear" w:color="auto" w:fill="FFFFFF"/>
            <w:vAlign w:val="center"/>
          </w:tcPr>
          <w:p w14:paraId="29E47052">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4B7F3742">
            <w:pPr>
              <w:jc w:val="right"/>
              <w:rPr>
                <w:rFonts w:hint="default" w:ascii="Arial Narrow" w:hAnsi="Arial Narrow" w:eastAsia="Arial Narrow" w:cs="Arial Narrow"/>
                <w:i w:val="0"/>
                <w:iCs w:val="0"/>
                <w:color w:val="auto"/>
                <w:sz w:val="18"/>
                <w:szCs w:val="18"/>
                <w:highlight w:val="none"/>
                <w:u w:val="none"/>
              </w:rPr>
            </w:pPr>
          </w:p>
        </w:tc>
      </w:tr>
      <w:tr w14:paraId="61253F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6E215B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TS502-3</w:t>
            </w:r>
          </w:p>
        </w:tc>
        <w:tc>
          <w:tcPr>
            <w:tcW w:w="4060" w:type="dxa"/>
            <w:gridSpan w:val="2"/>
            <w:tcBorders>
              <w:top w:val="nil"/>
              <w:left w:val="nil"/>
              <w:bottom w:val="single" w:color="000000" w:sz="4" w:space="0"/>
              <w:right w:val="single" w:color="000000" w:sz="4" w:space="0"/>
            </w:tcBorders>
            <w:shd w:val="clear" w:color="auto" w:fill="FFFFFF"/>
            <w:vAlign w:val="center"/>
          </w:tcPr>
          <w:p w14:paraId="4023CFA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标志灯</w:t>
            </w:r>
          </w:p>
        </w:tc>
        <w:tc>
          <w:tcPr>
            <w:tcW w:w="1000" w:type="dxa"/>
            <w:tcBorders>
              <w:top w:val="nil"/>
              <w:left w:val="nil"/>
              <w:bottom w:val="single" w:color="000000" w:sz="4" w:space="0"/>
              <w:right w:val="single" w:color="000000" w:sz="4" w:space="0"/>
            </w:tcBorders>
            <w:shd w:val="clear" w:color="auto" w:fill="FFFFFF"/>
            <w:vAlign w:val="center"/>
          </w:tcPr>
          <w:p w14:paraId="7CC9EE71">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78F5F9C0">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4F2CEE39">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04450B6B">
            <w:pPr>
              <w:jc w:val="right"/>
              <w:rPr>
                <w:rFonts w:hint="default" w:ascii="Arial Narrow" w:hAnsi="Arial Narrow" w:eastAsia="Arial Narrow" w:cs="Arial Narrow"/>
                <w:i w:val="0"/>
                <w:iCs w:val="0"/>
                <w:color w:val="auto"/>
                <w:sz w:val="18"/>
                <w:szCs w:val="18"/>
                <w:highlight w:val="none"/>
                <w:u w:val="none"/>
              </w:rPr>
            </w:pPr>
          </w:p>
        </w:tc>
      </w:tr>
      <w:tr w14:paraId="4140E8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181BB5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TS502-3-a</w:t>
            </w:r>
          </w:p>
        </w:tc>
        <w:tc>
          <w:tcPr>
            <w:tcW w:w="4060" w:type="dxa"/>
            <w:gridSpan w:val="2"/>
            <w:tcBorders>
              <w:top w:val="nil"/>
              <w:left w:val="nil"/>
              <w:bottom w:val="single" w:color="000000" w:sz="4" w:space="0"/>
              <w:right w:val="single" w:color="000000" w:sz="4" w:space="0"/>
            </w:tcBorders>
            <w:shd w:val="clear" w:color="auto" w:fill="FFFFFF"/>
            <w:vAlign w:val="center"/>
          </w:tcPr>
          <w:p w14:paraId="35530BD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紧急停车带标志灯（LED 15W） 增设</w:t>
            </w:r>
          </w:p>
        </w:tc>
        <w:tc>
          <w:tcPr>
            <w:tcW w:w="1000" w:type="dxa"/>
            <w:tcBorders>
              <w:top w:val="nil"/>
              <w:left w:val="nil"/>
              <w:bottom w:val="single" w:color="000000" w:sz="4" w:space="0"/>
              <w:right w:val="single" w:color="000000" w:sz="4" w:space="0"/>
            </w:tcBorders>
            <w:shd w:val="clear" w:color="auto" w:fill="FFFFFF"/>
            <w:vAlign w:val="center"/>
          </w:tcPr>
          <w:p w14:paraId="667713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32F22DFE">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2</w:t>
            </w:r>
          </w:p>
        </w:tc>
        <w:tc>
          <w:tcPr>
            <w:tcW w:w="1200" w:type="dxa"/>
            <w:gridSpan w:val="2"/>
            <w:tcBorders>
              <w:top w:val="nil"/>
              <w:left w:val="nil"/>
              <w:bottom w:val="single" w:color="000000" w:sz="4" w:space="0"/>
              <w:right w:val="single" w:color="000000" w:sz="4" w:space="0"/>
            </w:tcBorders>
            <w:shd w:val="clear" w:color="auto" w:fill="FFFFFF"/>
            <w:vAlign w:val="center"/>
          </w:tcPr>
          <w:p w14:paraId="0AC31291">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579DF707">
            <w:pPr>
              <w:jc w:val="right"/>
              <w:rPr>
                <w:rFonts w:hint="default" w:ascii="Arial Narrow" w:hAnsi="Arial Narrow" w:eastAsia="Arial Narrow" w:cs="Arial Narrow"/>
                <w:i w:val="0"/>
                <w:iCs w:val="0"/>
                <w:color w:val="auto"/>
                <w:sz w:val="18"/>
                <w:szCs w:val="18"/>
                <w:highlight w:val="none"/>
                <w:u w:val="none"/>
              </w:rPr>
            </w:pPr>
          </w:p>
        </w:tc>
      </w:tr>
      <w:tr w14:paraId="38604F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789D6F2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TS502-3-b</w:t>
            </w:r>
          </w:p>
        </w:tc>
        <w:tc>
          <w:tcPr>
            <w:tcW w:w="4060" w:type="dxa"/>
            <w:gridSpan w:val="2"/>
            <w:tcBorders>
              <w:top w:val="nil"/>
              <w:left w:val="nil"/>
              <w:bottom w:val="single" w:color="000000" w:sz="4" w:space="0"/>
              <w:right w:val="single" w:color="000000" w:sz="4" w:space="0"/>
            </w:tcBorders>
            <w:shd w:val="clear" w:color="auto" w:fill="FFFFFF"/>
            <w:vAlign w:val="center"/>
          </w:tcPr>
          <w:p w14:paraId="612B501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推拉标识 无源反光膜，带自发光，白底绿字</w:t>
            </w:r>
          </w:p>
        </w:tc>
        <w:tc>
          <w:tcPr>
            <w:tcW w:w="1000" w:type="dxa"/>
            <w:tcBorders>
              <w:top w:val="nil"/>
              <w:left w:val="nil"/>
              <w:bottom w:val="single" w:color="000000" w:sz="4" w:space="0"/>
              <w:right w:val="single" w:color="000000" w:sz="4" w:space="0"/>
            </w:tcBorders>
            <w:shd w:val="clear" w:color="auto" w:fill="FFFFFF"/>
            <w:vAlign w:val="center"/>
          </w:tcPr>
          <w:p w14:paraId="070F11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面</w:t>
            </w:r>
          </w:p>
        </w:tc>
        <w:tc>
          <w:tcPr>
            <w:tcW w:w="1200" w:type="dxa"/>
            <w:gridSpan w:val="2"/>
            <w:tcBorders>
              <w:top w:val="nil"/>
              <w:left w:val="nil"/>
              <w:bottom w:val="single" w:color="000000" w:sz="4" w:space="0"/>
              <w:right w:val="single" w:color="000000" w:sz="4" w:space="0"/>
            </w:tcBorders>
            <w:shd w:val="clear" w:color="auto" w:fill="FFFFFF"/>
            <w:vAlign w:val="center"/>
          </w:tcPr>
          <w:p w14:paraId="73E2E0B2">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12</w:t>
            </w:r>
          </w:p>
        </w:tc>
        <w:tc>
          <w:tcPr>
            <w:tcW w:w="1200" w:type="dxa"/>
            <w:gridSpan w:val="2"/>
            <w:tcBorders>
              <w:top w:val="nil"/>
              <w:left w:val="nil"/>
              <w:bottom w:val="single" w:color="000000" w:sz="4" w:space="0"/>
              <w:right w:val="single" w:color="000000" w:sz="4" w:space="0"/>
            </w:tcBorders>
            <w:shd w:val="clear" w:color="auto" w:fill="FFFFFF"/>
            <w:vAlign w:val="center"/>
          </w:tcPr>
          <w:p w14:paraId="1658C978">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4A446F03">
            <w:pPr>
              <w:jc w:val="right"/>
              <w:rPr>
                <w:rFonts w:hint="default" w:ascii="Arial Narrow" w:hAnsi="Arial Narrow" w:eastAsia="Arial Narrow" w:cs="Arial Narrow"/>
                <w:i w:val="0"/>
                <w:iCs w:val="0"/>
                <w:color w:val="auto"/>
                <w:sz w:val="18"/>
                <w:szCs w:val="18"/>
                <w:highlight w:val="none"/>
                <w:u w:val="none"/>
              </w:rPr>
            </w:pPr>
          </w:p>
        </w:tc>
      </w:tr>
      <w:tr w14:paraId="0EEAA6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23AF14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TS502-3-c</w:t>
            </w:r>
          </w:p>
        </w:tc>
        <w:tc>
          <w:tcPr>
            <w:tcW w:w="4060" w:type="dxa"/>
            <w:gridSpan w:val="2"/>
            <w:tcBorders>
              <w:top w:val="nil"/>
              <w:left w:val="nil"/>
              <w:bottom w:val="single" w:color="000000" w:sz="4" w:space="0"/>
              <w:right w:val="single" w:color="000000" w:sz="4" w:space="0"/>
            </w:tcBorders>
            <w:shd w:val="clear" w:color="auto" w:fill="FFFFFF"/>
            <w:vAlign w:val="center"/>
          </w:tcPr>
          <w:p w14:paraId="64E0792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行人紧急疏散逃生标志 无源，非反光膜</w:t>
            </w:r>
          </w:p>
        </w:tc>
        <w:tc>
          <w:tcPr>
            <w:tcW w:w="1000" w:type="dxa"/>
            <w:tcBorders>
              <w:top w:val="nil"/>
              <w:left w:val="nil"/>
              <w:bottom w:val="single" w:color="000000" w:sz="4" w:space="0"/>
              <w:right w:val="single" w:color="000000" w:sz="4" w:space="0"/>
            </w:tcBorders>
            <w:shd w:val="clear" w:color="auto" w:fill="FFFFFF"/>
            <w:vAlign w:val="center"/>
          </w:tcPr>
          <w:p w14:paraId="3C9B03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面</w:t>
            </w:r>
          </w:p>
        </w:tc>
        <w:tc>
          <w:tcPr>
            <w:tcW w:w="1200" w:type="dxa"/>
            <w:gridSpan w:val="2"/>
            <w:tcBorders>
              <w:top w:val="nil"/>
              <w:left w:val="nil"/>
              <w:bottom w:val="single" w:color="000000" w:sz="4" w:space="0"/>
              <w:right w:val="single" w:color="000000" w:sz="4" w:space="0"/>
            </w:tcBorders>
            <w:shd w:val="clear" w:color="auto" w:fill="FFFFFF"/>
            <w:vAlign w:val="center"/>
          </w:tcPr>
          <w:p w14:paraId="78B418F4">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6</w:t>
            </w:r>
          </w:p>
        </w:tc>
        <w:tc>
          <w:tcPr>
            <w:tcW w:w="1200" w:type="dxa"/>
            <w:gridSpan w:val="2"/>
            <w:tcBorders>
              <w:top w:val="nil"/>
              <w:left w:val="nil"/>
              <w:bottom w:val="single" w:color="000000" w:sz="4" w:space="0"/>
              <w:right w:val="single" w:color="000000" w:sz="4" w:space="0"/>
            </w:tcBorders>
            <w:shd w:val="clear" w:color="auto" w:fill="FFFFFF"/>
            <w:vAlign w:val="center"/>
          </w:tcPr>
          <w:p w14:paraId="2B589DA8">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25825EF3">
            <w:pPr>
              <w:jc w:val="right"/>
              <w:rPr>
                <w:rFonts w:hint="default" w:ascii="Arial Narrow" w:hAnsi="Arial Narrow" w:eastAsia="Arial Narrow" w:cs="Arial Narrow"/>
                <w:i w:val="0"/>
                <w:iCs w:val="0"/>
                <w:color w:val="auto"/>
                <w:sz w:val="18"/>
                <w:szCs w:val="18"/>
                <w:highlight w:val="none"/>
                <w:u w:val="none"/>
              </w:rPr>
            </w:pPr>
          </w:p>
        </w:tc>
      </w:tr>
      <w:tr w14:paraId="64F941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4FBFF1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TS502-3-d</w:t>
            </w:r>
          </w:p>
        </w:tc>
        <w:tc>
          <w:tcPr>
            <w:tcW w:w="4060" w:type="dxa"/>
            <w:gridSpan w:val="2"/>
            <w:tcBorders>
              <w:top w:val="nil"/>
              <w:left w:val="nil"/>
              <w:bottom w:val="single" w:color="000000" w:sz="4" w:space="0"/>
              <w:right w:val="single" w:color="000000" w:sz="4" w:space="0"/>
            </w:tcBorders>
            <w:shd w:val="clear" w:color="auto" w:fill="FFFFFF"/>
            <w:vAlign w:val="center"/>
          </w:tcPr>
          <w:p w14:paraId="1749A13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绿色防火油漆</w:t>
            </w:r>
          </w:p>
        </w:tc>
        <w:tc>
          <w:tcPr>
            <w:tcW w:w="1000" w:type="dxa"/>
            <w:tcBorders>
              <w:top w:val="nil"/>
              <w:left w:val="nil"/>
              <w:bottom w:val="single" w:color="000000" w:sz="4" w:space="0"/>
              <w:right w:val="single" w:color="000000" w:sz="4" w:space="0"/>
            </w:tcBorders>
            <w:shd w:val="clear" w:color="auto" w:fill="FFFFFF"/>
            <w:vAlign w:val="center"/>
          </w:tcPr>
          <w:p w14:paraId="79A9E1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1200" w:type="dxa"/>
            <w:gridSpan w:val="2"/>
            <w:tcBorders>
              <w:top w:val="nil"/>
              <w:left w:val="nil"/>
              <w:bottom w:val="single" w:color="000000" w:sz="4" w:space="0"/>
              <w:right w:val="single" w:color="000000" w:sz="4" w:space="0"/>
            </w:tcBorders>
            <w:shd w:val="clear" w:color="auto" w:fill="FFFFFF"/>
            <w:vAlign w:val="center"/>
          </w:tcPr>
          <w:p w14:paraId="6E088FAC">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36</w:t>
            </w:r>
          </w:p>
        </w:tc>
        <w:tc>
          <w:tcPr>
            <w:tcW w:w="1200" w:type="dxa"/>
            <w:gridSpan w:val="2"/>
            <w:tcBorders>
              <w:top w:val="nil"/>
              <w:left w:val="nil"/>
              <w:bottom w:val="single" w:color="000000" w:sz="4" w:space="0"/>
              <w:right w:val="single" w:color="000000" w:sz="4" w:space="0"/>
            </w:tcBorders>
            <w:shd w:val="clear" w:color="auto" w:fill="FFFFFF"/>
            <w:vAlign w:val="center"/>
          </w:tcPr>
          <w:p w14:paraId="68A3F886">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1AAF0BA4">
            <w:pPr>
              <w:jc w:val="right"/>
              <w:rPr>
                <w:rFonts w:hint="default" w:ascii="Arial Narrow" w:hAnsi="Arial Narrow" w:eastAsia="Arial Narrow" w:cs="Arial Narrow"/>
                <w:i w:val="0"/>
                <w:iCs w:val="0"/>
                <w:color w:val="auto"/>
                <w:sz w:val="18"/>
                <w:szCs w:val="18"/>
                <w:highlight w:val="none"/>
                <w:u w:val="none"/>
              </w:rPr>
            </w:pPr>
          </w:p>
        </w:tc>
      </w:tr>
      <w:tr w14:paraId="5F2CEF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7CE03B8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TS502-4</w:t>
            </w:r>
          </w:p>
        </w:tc>
        <w:tc>
          <w:tcPr>
            <w:tcW w:w="4060" w:type="dxa"/>
            <w:gridSpan w:val="2"/>
            <w:tcBorders>
              <w:top w:val="nil"/>
              <w:left w:val="nil"/>
              <w:bottom w:val="single" w:color="000000" w:sz="4" w:space="0"/>
              <w:right w:val="single" w:color="000000" w:sz="4" w:space="0"/>
            </w:tcBorders>
            <w:shd w:val="clear" w:color="auto" w:fill="FFFFFF"/>
            <w:vAlign w:val="center"/>
          </w:tcPr>
          <w:p w14:paraId="43D78F0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照明配电箱</w:t>
            </w:r>
          </w:p>
        </w:tc>
        <w:tc>
          <w:tcPr>
            <w:tcW w:w="1000" w:type="dxa"/>
            <w:tcBorders>
              <w:top w:val="nil"/>
              <w:left w:val="nil"/>
              <w:bottom w:val="single" w:color="000000" w:sz="4" w:space="0"/>
              <w:right w:val="single" w:color="000000" w:sz="4" w:space="0"/>
            </w:tcBorders>
            <w:shd w:val="clear" w:color="auto" w:fill="FFFFFF"/>
            <w:vAlign w:val="center"/>
          </w:tcPr>
          <w:p w14:paraId="7E66B1E4">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5DF1B182">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0ABD98D3">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54B189E0">
            <w:pPr>
              <w:jc w:val="right"/>
              <w:rPr>
                <w:rFonts w:hint="default" w:ascii="Arial Narrow" w:hAnsi="Arial Narrow" w:eastAsia="Arial Narrow" w:cs="Arial Narrow"/>
                <w:i w:val="0"/>
                <w:iCs w:val="0"/>
                <w:color w:val="auto"/>
                <w:sz w:val="18"/>
                <w:szCs w:val="18"/>
                <w:highlight w:val="none"/>
                <w:u w:val="none"/>
              </w:rPr>
            </w:pPr>
          </w:p>
        </w:tc>
      </w:tr>
      <w:tr w14:paraId="1710E7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41DFFB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TS502-4-a</w:t>
            </w:r>
          </w:p>
        </w:tc>
        <w:tc>
          <w:tcPr>
            <w:tcW w:w="4060" w:type="dxa"/>
            <w:gridSpan w:val="2"/>
            <w:tcBorders>
              <w:top w:val="nil"/>
              <w:left w:val="nil"/>
              <w:bottom w:val="single" w:color="000000" w:sz="4" w:space="0"/>
              <w:right w:val="single" w:color="000000" w:sz="4" w:space="0"/>
            </w:tcBorders>
            <w:shd w:val="clear" w:color="auto" w:fill="FFFFFF"/>
            <w:vAlign w:val="center"/>
          </w:tcPr>
          <w:p w14:paraId="48CA74B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照明数据屏</w:t>
            </w:r>
          </w:p>
        </w:tc>
        <w:tc>
          <w:tcPr>
            <w:tcW w:w="1000" w:type="dxa"/>
            <w:tcBorders>
              <w:top w:val="nil"/>
              <w:left w:val="nil"/>
              <w:bottom w:val="single" w:color="000000" w:sz="4" w:space="0"/>
              <w:right w:val="single" w:color="000000" w:sz="4" w:space="0"/>
            </w:tcBorders>
            <w:shd w:val="clear" w:color="auto" w:fill="FFFFFF"/>
            <w:vAlign w:val="center"/>
          </w:tcPr>
          <w:p w14:paraId="54844A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200" w:type="dxa"/>
            <w:gridSpan w:val="2"/>
            <w:tcBorders>
              <w:top w:val="nil"/>
              <w:left w:val="nil"/>
              <w:bottom w:val="single" w:color="000000" w:sz="4" w:space="0"/>
              <w:right w:val="single" w:color="000000" w:sz="4" w:space="0"/>
            </w:tcBorders>
            <w:shd w:val="clear" w:color="auto" w:fill="FFFFFF"/>
            <w:vAlign w:val="center"/>
          </w:tcPr>
          <w:p w14:paraId="1CFE5295">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5417A938">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76F8F282">
            <w:pPr>
              <w:jc w:val="right"/>
              <w:rPr>
                <w:rFonts w:hint="default" w:ascii="Arial Narrow" w:hAnsi="Arial Narrow" w:eastAsia="Arial Narrow" w:cs="Arial Narrow"/>
                <w:i w:val="0"/>
                <w:iCs w:val="0"/>
                <w:color w:val="auto"/>
                <w:sz w:val="18"/>
                <w:szCs w:val="18"/>
                <w:highlight w:val="none"/>
                <w:u w:val="none"/>
              </w:rPr>
            </w:pPr>
          </w:p>
        </w:tc>
      </w:tr>
      <w:tr w14:paraId="358C3B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4B122C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TS502-4-b</w:t>
            </w:r>
          </w:p>
        </w:tc>
        <w:tc>
          <w:tcPr>
            <w:tcW w:w="4060" w:type="dxa"/>
            <w:gridSpan w:val="2"/>
            <w:tcBorders>
              <w:top w:val="nil"/>
              <w:left w:val="nil"/>
              <w:bottom w:val="single" w:color="000000" w:sz="4" w:space="0"/>
              <w:right w:val="single" w:color="000000" w:sz="4" w:space="0"/>
            </w:tcBorders>
            <w:shd w:val="clear" w:color="auto" w:fill="FFFFFF"/>
            <w:vAlign w:val="center"/>
          </w:tcPr>
          <w:p w14:paraId="180D025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横洞照明控制箱</w:t>
            </w:r>
          </w:p>
        </w:tc>
        <w:tc>
          <w:tcPr>
            <w:tcW w:w="1000" w:type="dxa"/>
            <w:tcBorders>
              <w:top w:val="nil"/>
              <w:left w:val="nil"/>
              <w:bottom w:val="single" w:color="000000" w:sz="4" w:space="0"/>
              <w:right w:val="single" w:color="000000" w:sz="4" w:space="0"/>
            </w:tcBorders>
            <w:shd w:val="clear" w:color="auto" w:fill="FFFFFF"/>
            <w:vAlign w:val="center"/>
          </w:tcPr>
          <w:p w14:paraId="3AAC529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200" w:type="dxa"/>
            <w:gridSpan w:val="2"/>
            <w:tcBorders>
              <w:top w:val="nil"/>
              <w:left w:val="nil"/>
              <w:bottom w:val="single" w:color="000000" w:sz="4" w:space="0"/>
              <w:right w:val="single" w:color="000000" w:sz="4" w:space="0"/>
            </w:tcBorders>
            <w:shd w:val="clear" w:color="auto" w:fill="FFFFFF"/>
            <w:vAlign w:val="center"/>
          </w:tcPr>
          <w:p w14:paraId="41555916">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4</w:t>
            </w:r>
          </w:p>
        </w:tc>
        <w:tc>
          <w:tcPr>
            <w:tcW w:w="1200" w:type="dxa"/>
            <w:gridSpan w:val="2"/>
            <w:tcBorders>
              <w:top w:val="nil"/>
              <w:left w:val="nil"/>
              <w:bottom w:val="single" w:color="000000" w:sz="4" w:space="0"/>
              <w:right w:val="single" w:color="000000" w:sz="4" w:space="0"/>
            </w:tcBorders>
            <w:shd w:val="clear" w:color="auto" w:fill="FFFFFF"/>
            <w:vAlign w:val="center"/>
          </w:tcPr>
          <w:p w14:paraId="37B89DA9">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3216985E">
            <w:pPr>
              <w:jc w:val="right"/>
              <w:rPr>
                <w:rFonts w:hint="default" w:ascii="Arial Narrow" w:hAnsi="Arial Narrow" w:eastAsia="Arial Narrow" w:cs="Arial Narrow"/>
                <w:i w:val="0"/>
                <w:iCs w:val="0"/>
                <w:color w:val="auto"/>
                <w:sz w:val="18"/>
                <w:szCs w:val="18"/>
                <w:highlight w:val="none"/>
                <w:u w:val="none"/>
              </w:rPr>
            </w:pPr>
          </w:p>
        </w:tc>
      </w:tr>
      <w:tr w14:paraId="724794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62054FC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TS502-4-c</w:t>
            </w:r>
          </w:p>
        </w:tc>
        <w:tc>
          <w:tcPr>
            <w:tcW w:w="4060" w:type="dxa"/>
            <w:gridSpan w:val="2"/>
            <w:tcBorders>
              <w:top w:val="nil"/>
              <w:left w:val="nil"/>
              <w:bottom w:val="single" w:color="000000" w:sz="4" w:space="0"/>
              <w:right w:val="single" w:color="000000" w:sz="4" w:space="0"/>
            </w:tcBorders>
            <w:shd w:val="clear" w:color="auto" w:fill="FFFFFF"/>
            <w:vAlign w:val="center"/>
          </w:tcPr>
          <w:p w14:paraId="38C2098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诱导控制器</w:t>
            </w:r>
          </w:p>
        </w:tc>
        <w:tc>
          <w:tcPr>
            <w:tcW w:w="1000" w:type="dxa"/>
            <w:tcBorders>
              <w:top w:val="nil"/>
              <w:left w:val="nil"/>
              <w:bottom w:val="single" w:color="000000" w:sz="4" w:space="0"/>
              <w:right w:val="single" w:color="000000" w:sz="4" w:space="0"/>
            </w:tcBorders>
            <w:shd w:val="clear" w:color="auto" w:fill="FFFFFF"/>
            <w:vAlign w:val="center"/>
          </w:tcPr>
          <w:p w14:paraId="3E8146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2508126C">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2</w:t>
            </w:r>
          </w:p>
        </w:tc>
        <w:tc>
          <w:tcPr>
            <w:tcW w:w="1200" w:type="dxa"/>
            <w:gridSpan w:val="2"/>
            <w:tcBorders>
              <w:top w:val="nil"/>
              <w:left w:val="nil"/>
              <w:bottom w:val="single" w:color="000000" w:sz="4" w:space="0"/>
              <w:right w:val="single" w:color="000000" w:sz="4" w:space="0"/>
            </w:tcBorders>
            <w:shd w:val="clear" w:color="auto" w:fill="FFFFFF"/>
            <w:vAlign w:val="center"/>
          </w:tcPr>
          <w:p w14:paraId="70E641D7">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76CAC011">
            <w:pPr>
              <w:jc w:val="right"/>
              <w:rPr>
                <w:rFonts w:hint="default" w:ascii="Arial Narrow" w:hAnsi="Arial Narrow" w:eastAsia="Arial Narrow" w:cs="Arial Narrow"/>
                <w:i w:val="0"/>
                <w:iCs w:val="0"/>
                <w:color w:val="auto"/>
                <w:sz w:val="18"/>
                <w:szCs w:val="18"/>
                <w:highlight w:val="none"/>
                <w:u w:val="none"/>
              </w:rPr>
            </w:pPr>
          </w:p>
        </w:tc>
      </w:tr>
      <w:tr w14:paraId="2523A3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75C522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TS502-4-d</w:t>
            </w:r>
          </w:p>
        </w:tc>
        <w:tc>
          <w:tcPr>
            <w:tcW w:w="4060" w:type="dxa"/>
            <w:gridSpan w:val="2"/>
            <w:tcBorders>
              <w:top w:val="nil"/>
              <w:left w:val="nil"/>
              <w:bottom w:val="single" w:color="000000" w:sz="4" w:space="0"/>
              <w:right w:val="single" w:color="000000" w:sz="4" w:space="0"/>
            </w:tcBorders>
            <w:shd w:val="clear" w:color="auto" w:fill="FFFFFF"/>
            <w:vAlign w:val="center"/>
          </w:tcPr>
          <w:p w14:paraId="7D13BCE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接线盒</w:t>
            </w:r>
          </w:p>
        </w:tc>
        <w:tc>
          <w:tcPr>
            <w:tcW w:w="1000" w:type="dxa"/>
            <w:tcBorders>
              <w:top w:val="nil"/>
              <w:left w:val="nil"/>
              <w:bottom w:val="single" w:color="000000" w:sz="4" w:space="0"/>
              <w:right w:val="single" w:color="000000" w:sz="4" w:space="0"/>
            </w:tcBorders>
            <w:shd w:val="clear" w:color="auto" w:fill="FFFFFF"/>
            <w:vAlign w:val="center"/>
          </w:tcPr>
          <w:p w14:paraId="2B6E74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200" w:type="dxa"/>
            <w:gridSpan w:val="2"/>
            <w:tcBorders>
              <w:top w:val="nil"/>
              <w:left w:val="nil"/>
              <w:bottom w:val="single" w:color="000000" w:sz="4" w:space="0"/>
              <w:right w:val="single" w:color="000000" w:sz="4" w:space="0"/>
            </w:tcBorders>
            <w:shd w:val="clear" w:color="auto" w:fill="FFFFFF"/>
            <w:vAlign w:val="center"/>
          </w:tcPr>
          <w:p w14:paraId="3461D3BF">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256</w:t>
            </w:r>
          </w:p>
        </w:tc>
        <w:tc>
          <w:tcPr>
            <w:tcW w:w="1200" w:type="dxa"/>
            <w:gridSpan w:val="2"/>
            <w:tcBorders>
              <w:top w:val="nil"/>
              <w:left w:val="nil"/>
              <w:bottom w:val="single" w:color="000000" w:sz="4" w:space="0"/>
              <w:right w:val="single" w:color="000000" w:sz="4" w:space="0"/>
            </w:tcBorders>
            <w:shd w:val="clear" w:color="auto" w:fill="FFFFFF"/>
            <w:vAlign w:val="center"/>
          </w:tcPr>
          <w:p w14:paraId="662DE6AA">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032AD269">
            <w:pPr>
              <w:jc w:val="right"/>
              <w:rPr>
                <w:rFonts w:hint="default" w:ascii="Arial Narrow" w:hAnsi="Arial Narrow" w:eastAsia="Arial Narrow" w:cs="Arial Narrow"/>
                <w:i w:val="0"/>
                <w:iCs w:val="0"/>
                <w:color w:val="auto"/>
                <w:sz w:val="18"/>
                <w:szCs w:val="18"/>
                <w:highlight w:val="none"/>
                <w:u w:val="none"/>
              </w:rPr>
            </w:pPr>
          </w:p>
        </w:tc>
      </w:tr>
      <w:tr w14:paraId="61BB68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42A16EE5">
            <w:pPr>
              <w:jc w:val="center"/>
              <w:rPr>
                <w:rFonts w:hint="eastAsia" w:ascii="宋体" w:hAnsi="宋体" w:eastAsia="宋体" w:cs="宋体"/>
                <w:i w:val="0"/>
                <w:iCs w:val="0"/>
                <w:color w:val="auto"/>
                <w:sz w:val="18"/>
                <w:szCs w:val="18"/>
                <w:highlight w:val="none"/>
                <w:u w:val="none"/>
              </w:rPr>
            </w:pPr>
          </w:p>
        </w:tc>
        <w:tc>
          <w:tcPr>
            <w:tcW w:w="4060" w:type="dxa"/>
            <w:gridSpan w:val="2"/>
            <w:tcBorders>
              <w:top w:val="nil"/>
              <w:left w:val="nil"/>
              <w:bottom w:val="single" w:color="000000" w:sz="4" w:space="0"/>
              <w:right w:val="single" w:color="000000" w:sz="4" w:space="0"/>
            </w:tcBorders>
            <w:shd w:val="clear" w:color="auto" w:fill="FFFFFF"/>
            <w:vAlign w:val="center"/>
          </w:tcPr>
          <w:p w14:paraId="75E20B9E">
            <w:pPr>
              <w:jc w:val="left"/>
              <w:rPr>
                <w:rFonts w:hint="eastAsia" w:ascii="宋体" w:hAnsi="宋体" w:eastAsia="宋体" w:cs="宋体"/>
                <w:i w:val="0"/>
                <w:iCs w:val="0"/>
                <w:color w:val="auto"/>
                <w:sz w:val="18"/>
                <w:szCs w:val="18"/>
                <w:highlight w:val="none"/>
                <w:u w:val="none"/>
              </w:rPr>
            </w:pPr>
          </w:p>
        </w:tc>
        <w:tc>
          <w:tcPr>
            <w:tcW w:w="1000" w:type="dxa"/>
            <w:tcBorders>
              <w:top w:val="nil"/>
              <w:left w:val="nil"/>
              <w:bottom w:val="single" w:color="000000" w:sz="4" w:space="0"/>
              <w:right w:val="single" w:color="000000" w:sz="4" w:space="0"/>
            </w:tcBorders>
            <w:shd w:val="clear" w:color="auto" w:fill="FFFFFF"/>
            <w:vAlign w:val="center"/>
          </w:tcPr>
          <w:p w14:paraId="78ADAAB8">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65E3FF7C">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3698C056">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3F201BB7">
            <w:pPr>
              <w:jc w:val="right"/>
              <w:rPr>
                <w:rFonts w:hint="default" w:ascii="Arial Narrow" w:hAnsi="Arial Narrow" w:eastAsia="Arial Narrow" w:cs="Arial Narrow"/>
                <w:i w:val="0"/>
                <w:iCs w:val="0"/>
                <w:color w:val="auto"/>
                <w:sz w:val="18"/>
                <w:szCs w:val="18"/>
                <w:highlight w:val="none"/>
                <w:u w:val="none"/>
              </w:rPr>
            </w:pPr>
          </w:p>
        </w:tc>
      </w:tr>
    </w:tbl>
    <w:p w14:paraId="79F1057F">
      <w:pPr>
        <w:rPr>
          <w:rFonts w:hint="eastAsia"/>
          <w:color w:val="auto"/>
          <w:highlight w:val="none"/>
          <w:lang w:val="en-US" w:eastAsia="zh-CN"/>
        </w:rPr>
      </w:pPr>
    </w:p>
    <w:p w14:paraId="5442EE9E">
      <w:pPr>
        <w:rPr>
          <w:rFonts w:hint="eastAsia"/>
          <w:color w:val="auto"/>
          <w:highlight w:val="none"/>
          <w:lang w:val="en-US" w:eastAsia="zh-CN"/>
        </w:rPr>
      </w:pPr>
      <w:r>
        <w:rPr>
          <w:rFonts w:hint="eastAsia"/>
          <w:color w:val="auto"/>
          <w:highlight w:val="none"/>
          <w:lang w:val="en-US" w:eastAsia="zh-CN"/>
        </w:rPr>
        <w:br w:type="page"/>
      </w:r>
    </w:p>
    <w:tbl>
      <w:tblPr>
        <w:tblStyle w:val="23"/>
        <w:tblW w:w="96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26"/>
        <w:gridCol w:w="2452"/>
        <w:gridCol w:w="1594"/>
        <w:gridCol w:w="997"/>
        <w:gridCol w:w="797"/>
        <w:gridCol w:w="399"/>
        <w:gridCol w:w="599"/>
        <w:gridCol w:w="599"/>
        <w:gridCol w:w="399"/>
        <w:gridCol w:w="798"/>
      </w:tblGrid>
      <w:tr w14:paraId="742E7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9660" w:type="dxa"/>
            <w:gridSpan w:val="10"/>
            <w:tcBorders>
              <w:top w:val="nil"/>
              <w:left w:val="nil"/>
              <w:bottom w:val="nil"/>
              <w:right w:val="nil"/>
            </w:tcBorders>
            <w:shd w:val="clear" w:color="auto" w:fill="FFFFFF"/>
            <w:vAlign w:val="top"/>
          </w:tcPr>
          <w:p w14:paraId="135BB6C2">
            <w:pPr>
              <w:keepNext w:val="0"/>
              <w:keepLines w:val="0"/>
              <w:widowControl/>
              <w:suppressLineNumbers w:val="0"/>
              <w:jc w:val="center"/>
              <w:textAlignment w:val="top"/>
              <w:rPr>
                <w:rFonts w:hint="eastAsia" w:ascii="宋体" w:hAnsi="宋体" w:eastAsia="宋体" w:cs="宋体"/>
                <w:b/>
                <w:bCs/>
                <w:i w:val="0"/>
                <w:iCs w:val="0"/>
                <w:color w:val="auto"/>
                <w:sz w:val="36"/>
                <w:szCs w:val="36"/>
                <w:highlight w:val="none"/>
                <w:u w:val="none"/>
              </w:rPr>
            </w:pPr>
            <w:r>
              <w:rPr>
                <w:rFonts w:hint="eastAsia" w:ascii="宋体" w:hAnsi="宋体" w:eastAsia="宋体" w:cs="宋体"/>
                <w:b/>
                <w:bCs/>
                <w:i w:val="0"/>
                <w:iCs w:val="0"/>
                <w:color w:val="auto"/>
                <w:kern w:val="0"/>
                <w:sz w:val="36"/>
                <w:szCs w:val="36"/>
                <w:highlight w:val="none"/>
                <w:u w:val="none"/>
                <w:lang w:val="en-US" w:eastAsia="zh-CN" w:bidi="ar"/>
              </w:rPr>
              <w:t>工程细目工程量清单</w:t>
            </w:r>
          </w:p>
        </w:tc>
      </w:tr>
      <w:tr w14:paraId="024390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9660" w:type="dxa"/>
            <w:gridSpan w:val="10"/>
            <w:tcBorders>
              <w:top w:val="nil"/>
              <w:left w:val="nil"/>
              <w:bottom w:val="nil"/>
              <w:right w:val="nil"/>
            </w:tcBorders>
            <w:shd w:val="clear" w:color="auto" w:fill="FFFFFF"/>
            <w:vAlign w:val="center"/>
          </w:tcPr>
          <w:p w14:paraId="21553C97">
            <w:pPr>
              <w:jc w:val="right"/>
              <w:rPr>
                <w:rFonts w:hint="eastAsia" w:ascii="宋体" w:hAnsi="宋体" w:eastAsia="宋体" w:cs="宋体"/>
                <w:i w:val="0"/>
                <w:iCs w:val="0"/>
                <w:color w:val="auto"/>
                <w:sz w:val="18"/>
                <w:szCs w:val="18"/>
                <w:highlight w:val="none"/>
                <w:u w:val="none"/>
              </w:rPr>
            </w:pPr>
          </w:p>
        </w:tc>
      </w:tr>
      <w:tr w14:paraId="7B754F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3460" w:type="dxa"/>
            <w:gridSpan w:val="2"/>
            <w:tcBorders>
              <w:top w:val="nil"/>
              <w:left w:val="nil"/>
              <w:bottom w:val="nil"/>
              <w:right w:val="nil"/>
            </w:tcBorders>
            <w:shd w:val="clear" w:color="auto" w:fill="FFFFFF"/>
            <w:vAlign w:val="center"/>
          </w:tcPr>
          <w:p w14:paraId="4709486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项目名称：2026年新昌县G104京岚线关岭隧道上行维修加固工程</w:t>
            </w:r>
          </w:p>
        </w:tc>
        <w:tc>
          <w:tcPr>
            <w:tcW w:w="3400" w:type="dxa"/>
            <w:gridSpan w:val="3"/>
            <w:tcBorders>
              <w:top w:val="nil"/>
              <w:left w:val="nil"/>
              <w:bottom w:val="nil"/>
              <w:right w:val="nil"/>
            </w:tcBorders>
            <w:shd w:val="clear" w:color="auto" w:fill="FFFFFF"/>
            <w:vAlign w:val="center"/>
          </w:tcPr>
          <w:p w14:paraId="0B38940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合同段：2026年新昌县G104京岚线关岭隧道上行维修加固工程</w:t>
            </w:r>
          </w:p>
        </w:tc>
        <w:tc>
          <w:tcPr>
            <w:tcW w:w="1000" w:type="dxa"/>
            <w:gridSpan w:val="2"/>
            <w:tcBorders>
              <w:top w:val="nil"/>
              <w:left w:val="nil"/>
              <w:bottom w:val="nil"/>
              <w:right w:val="nil"/>
            </w:tcBorders>
            <w:shd w:val="clear" w:color="auto" w:fill="FFFFFF"/>
            <w:vAlign w:val="center"/>
          </w:tcPr>
          <w:p w14:paraId="18F6EC4D">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第 7 页</w:t>
            </w:r>
          </w:p>
        </w:tc>
        <w:tc>
          <w:tcPr>
            <w:tcW w:w="1000" w:type="dxa"/>
            <w:gridSpan w:val="2"/>
            <w:tcBorders>
              <w:top w:val="nil"/>
              <w:left w:val="nil"/>
              <w:bottom w:val="nil"/>
              <w:right w:val="nil"/>
            </w:tcBorders>
            <w:shd w:val="clear" w:color="auto" w:fill="FFFFFF"/>
            <w:vAlign w:val="center"/>
          </w:tcPr>
          <w:p w14:paraId="33CCFAD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共 11 页</w:t>
            </w:r>
          </w:p>
        </w:tc>
        <w:tc>
          <w:tcPr>
            <w:tcW w:w="800" w:type="dxa"/>
            <w:tcBorders>
              <w:top w:val="nil"/>
              <w:left w:val="nil"/>
              <w:bottom w:val="nil"/>
              <w:right w:val="nil"/>
            </w:tcBorders>
            <w:shd w:val="clear" w:color="auto" w:fill="FFFFFF"/>
            <w:vAlign w:val="center"/>
          </w:tcPr>
          <w:p w14:paraId="00073F49">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表4</w:t>
            </w:r>
          </w:p>
        </w:tc>
      </w:tr>
      <w:tr w14:paraId="788966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9660" w:type="dxa"/>
            <w:gridSpan w:val="10"/>
            <w:tcBorders>
              <w:top w:val="single" w:color="000000" w:sz="8" w:space="0"/>
              <w:left w:val="single" w:color="000000" w:sz="8" w:space="0"/>
              <w:bottom w:val="single" w:color="000000" w:sz="4" w:space="0"/>
              <w:right w:val="single" w:color="000000" w:sz="8" w:space="0"/>
            </w:tcBorders>
            <w:shd w:val="clear" w:color="auto" w:fill="FFFFFF"/>
            <w:vAlign w:val="center"/>
          </w:tcPr>
          <w:p w14:paraId="3C1502A5">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机电工程</w:t>
            </w:r>
          </w:p>
        </w:tc>
      </w:tr>
      <w:tr w14:paraId="2FE4EA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04745FE0">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细目号</w:t>
            </w:r>
          </w:p>
        </w:tc>
        <w:tc>
          <w:tcPr>
            <w:tcW w:w="4060" w:type="dxa"/>
            <w:gridSpan w:val="2"/>
            <w:tcBorders>
              <w:top w:val="nil"/>
              <w:left w:val="nil"/>
              <w:bottom w:val="single" w:color="000000" w:sz="4" w:space="0"/>
              <w:right w:val="single" w:color="000000" w:sz="4" w:space="0"/>
            </w:tcBorders>
            <w:shd w:val="clear" w:color="auto" w:fill="FFFFFF"/>
            <w:vAlign w:val="center"/>
          </w:tcPr>
          <w:p w14:paraId="2368D5A1">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细目名称</w:t>
            </w:r>
          </w:p>
        </w:tc>
        <w:tc>
          <w:tcPr>
            <w:tcW w:w="1000" w:type="dxa"/>
            <w:tcBorders>
              <w:top w:val="nil"/>
              <w:left w:val="nil"/>
              <w:bottom w:val="single" w:color="000000" w:sz="4" w:space="0"/>
              <w:right w:val="single" w:color="000000" w:sz="4" w:space="0"/>
            </w:tcBorders>
            <w:shd w:val="clear" w:color="auto" w:fill="FFFFFF"/>
            <w:vAlign w:val="center"/>
          </w:tcPr>
          <w:p w14:paraId="267A5683">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计量单位</w:t>
            </w:r>
          </w:p>
        </w:tc>
        <w:tc>
          <w:tcPr>
            <w:tcW w:w="1200" w:type="dxa"/>
            <w:gridSpan w:val="2"/>
            <w:tcBorders>
              <w:top w:val="nil"/>
              <w:left w:val="nil"/>
              <w:bottom w:val="single" w:color="000000" w:sz="4" w:space="0"/>
              <w:right w:val="single" w:color="000000" w:sz="4" w:space="0"/>
            </w:tcBorders>
            <w:shd w:val="clear" w:color="auto" w:fill="FFFFFF"/>
            <w:vAlign w:val="center"/>
          </w:tcPr>
          <w:p w14:paraId="334C57EA">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工程数量</w:t>
            </w:r>
          </w:p>
        </w:tc>
        <w:tc>
          <w:tcPr>
            <w:tcW w:w="1200" w:type="dxa"/>
            <w:gridSpan w:val="2"/>
            <w:tcBorders>
              <w:top w:val="nil"/>
              <w:left w:val="nil"/>
              <w:bottom w:val="single" w:color="000000" w:sz="4" w:space="0"/>
              <w:right w:val="single" w:color="000000" w:sz="4" w:space="0"/>
            </w:tcBorders>
            <w:shd w:val="clear" w:color="auto" w:fill="FFFFFF"/>
            <w:vAlign w:val="center"/>
          </w:tcPr>
          <w:p w14:paraId="081D012E">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单价（元）</w:t>
            </w:r>
          </w:p>
        </w:tc>
        <w:tc>
          <w:tcPr>
            <w:tcW w:w="1200" w:type="dxa"/>
            <w:gridSpan w:val="2"/>
            <w:tcBorders>
              <w:top w:val="nil"/>
              <w:left w:val="nil"/>
              <w:bottom w:val="single" w:color="000000" w:sz="4" w:space="0"/>
              <w:right w:val="single" w:color="000000" w:sz="8" w:space="0"/>
            </w:tcBorders>
            <w:shd w:val="clear" w:color="auto" w:fill="FFFFFF"/>
            <w:vAlign w:val="center"/>
          </w:tcPr>
          <w:p w14:paraId="2ED2F039">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合价（元）</w:t>
            </w:r>
          </w:p>
        </w:tc>
      </w:tr>
      <w:tr w14:paraId="2AAD5B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2A41757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TS503</w:t>
            </w:r>
          </w:p>
        </w:tc>
        <w:tc>
          <w:tcPr>
            <w:tcW w:w="4060" w:type="dxa"/>
            <w:gridSpan w:val="2"/>
            <w:tcBorders>
              <w:top w:val="nil"/>
              <w:left w:val="nil"/>
              <w:bottom w:val="single" w:color="000000" w:sz="4" w:space="0"/>
              <w:right w:val="single" w:color="000000" w:sz="4" w:space="0"/>
            </w:tcBorders>
            <w:shd w:val="clear" w:color="auto" w:fill="FFFFFF"/>
            <w:vAlign w:val="center"/>
          </w:tcPr>
          <w:p w14:paraId="7B94E7A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火灾检测与报警子系统</w:t>
            </w:r>
          </w:p>
        </w:tc>
        <w:tc>
          <w:tcPr>
            <w:tcW w:w="1000" w:type="dxa"/>
            <w:tcBorders>
              <w:top w:val="nil"/>
              <w:left w:val="nil"/>
              <w:bottom w:val="single" w:color="000000" w:sz="4" w:space="0"/>
              <w:right w:val="single" w:color="000000" w:sz="4" w:space="0"/>
            </w:tcBorders>
            <w:shd w:val="clear" w:color="auto" w:fill="FFFFFF"/>
            <w:vAlign w:val="center"/>
          </w:tcPr>
          <w:p w14:paraId="1B292260">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12CF9840">
            <w:pPr>
              <w:jc w:val="right"/>
              <w:rPr>
                <w:rFonts w:hint="eastAsia"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3933C7B2">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2353BEEF">
            <w:pPr>
              <w:jc w:val="right"/>
              <w:rPr>
                <w:rFonts w:hint="default" w:ascii="Arial Narrow" w:hAnsi="Arial Narrow" w:eastAsia="Arial Narrow" w:cs="Arial Narrow"/>
                <w:i w:val="0"/>
                <w:iCs w:val="0"/>
                <w:color w:val="auto"/>
                <w:sz w:val="18"/>
                <w:szCs w:val="18"/>
                <w:highlight w:val="none"/>
                <w:u w:val="none"/>
              </w:rPr>
            </w:pPr>
          </w:p>
        </w:tc>
      </w:tr>
      <w:tr w14:paraId="242443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141393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TS503-1</w:t>
            </w:r>
          </w:p>
        </w:tc>
        <w:tc>
          <w:tcPr>
            <w:tcW w:w="4060" w:type="dxa"/>
            <w:gridSpan w:val="2"/>
            <w:tcBorders>
              <w:top w:val="nil"/>
              <w:left w:val="nil"/>
              <w:bottom w:val="single" w:color="000000" w:sz="4" w:space="0"/>
              <w:right w:val="single" w:color="000000" w:sz="4" w:space="0"/>
            </w:tcBorders>
            <w:shd w:val="clear" w:color="auto" w:fill="FFFFFF"/>
            <w:vAlign w:val="center"/>
          </w:tcPr>
          <w:p w14:paraId="11C6C75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节点光端机</w:t>
            </w:r>
          </w:p>
        </w:tc>
        <w:tc>
          <w:tcPr>
            <w:tcW w:w="1000" w:type="dxa"/>
            <w:tcBorders>
              <w:top w:val="nil"/>
              <w:left w:val="nil"/>
              <w:bottom w:val="single" w:color="000000" w:sz="4" w:space="0"/>
              <w:right w:val="single" w:color="000000" w:sz="4" w:space="0"/>
            </w:tcBorders>
            <w:shd w:val="clear" w:color="auto" w:fill="FFFFFF"/>
            <w:vAlign w:val="center"/>
          </w:tcPr>
          <w:p w14:paraId="5B6493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160C0E29">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7D05DF30">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6EC2A734">
            <w:pPr>
              <w:jc w:val="right"/>
              <w:rPr>
                <w:rFonts w:hint="default" w:ascii="Arial Narrow" w:hAnsi="Arial Narrow" w:eastAsia="Arial Narrow" w:cs="Arial Narrow"/>
                <w:i w:val="0"/>
                <w:iCs w:val="0"/>
                <w:color w:val="auto"/>
                <w:sz w:val="18"/>
                <w:szCs w:val="18"/>
                <w:highlight w:val="none"/>
                <w:u w:val="none"/>
              </w:rPr>
            </w:pPr>
          </w:p>
        </w:tc>
      </w:tr>
      <w:tr w14:paraId="21F5F2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74AFA0D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TS503-2</w:t>
            </w:r>
          </w:p>
        </w:tc>
        <w:tc>
          <w:tcPr>
            <w:tcW w:w="4060" w:type="dxa"/>
            <w:gridSpan w:val="2"/>
            <w:tcBorders>
              <w:top w:val="nil"/>
              <w:left w:val="nil"/>
              <w:bottom w:val="single" w:color="000000" w:sz="4" w:space="0"/>
              <w:right w:val="single" w:color="000000" w:sz="4" w:space="0"/>
            </w:tcBorders>
            <w:shd w:val="clear" w:color="auto" w:fill="FFFFFF"/>
            <w:vAlign w:val="center"/>
          </w:tcPr>
          <w:p w14:paraId="035F846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火灾报警综合盘（含双波长火焰探测器、手动报警按钮、箱体等）</w:t>
            </w:r>
          </w:p>
        </w:tc>
        <w:tc>
          <w:tcPr>
            <w:tcW w:w="1000" w:type="dxa"/>
            <w:tcBorders>
              <w:top w:val="nil"/>
              <w:left w:val="nil"/>
              <w:bottom w:val="single" w:color="000000" w:sz="4" w:space="0"/>
              <w:right w:val="single" w:color="000000" w:sz="4" w:space="0"/>
            </w:tcBorders>
            <w:shd w:val="clear" w:color="auto" w:fill="FFFFFF"/>
            <w:vAlign w:val="center"/>
          </w:tcPr>
          <w:p w14:paraId="0CFA1B5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20C9924C">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37</w:t>
            </w:r>
          </w:p>
        </w:tc>
        <w:tc>
          <w:tcPr>
            <w:tcW w:w="1200" w:type="dxa"/>
            <w:gridSpan w:val="2"/>
            <w:tcBorders>
              <w:top w:val="nil"/>
              <w:left w:val="nil"/>
              <w:bottom w:val="single" w:color="000000" w:sz="4" w:space="0"/>
              <w:right w:val="single" w:color="000000" w:sz="4" w:space="0"/>
            </w:tcBorders>
            <w:shd w:val="clear" w:color="auto" w:fill="FFFFFF"/>
            <w:vAlign w:val="center"/>
          </w:tcPr>
          <w:p w14:paraId="2C26791A">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0F9F7D0A">
            <w:pPr>
              <w:jc w:val="right"/>
              <w:rPr>
                <w:rFonts w:hint="default" w:ascii="Arial Narrow" w:hAnsi="Arial Narrow" w:eastAsia="Arial Narrow" w:cs="Arial Narrow"/>
                <w:i w:val="0"/>
                <w:iCs w:val="0"/>
                <w:color w:val="auto"/>
                <w:sz w:val="18"/>
                <w:szCs w:val="18"/>
                <w:highlight w:val="none"/>
                <w:u w:val="none"/>
              </w:rPr>
            </w:pPr>
          </w:p>
        </w:tc>
      </w:tr>
      <w:tr w14:paraId="7096AB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4C04DAB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TS503-7</w:t>
            </w:r>
          </w:p>
        </w:tc>
        <w:tc>
          <w:tcPr>
            <w:tcW w:w="4060" w:type="dxa"/>
            <w:gridSpan w:val="2"/>
            <w:tcBorders>
              <w:top w:val="nil"/>
              <w:left w:val="nil"/>
              <w:bottom w:val="single" w:color="000000" w:sz="4" w:space="0"/>
              <w:right w:val="single" w:color="000000" w:sz="4" w:space="0"/>
            </w:tcBorders>
            <w:shd w:val="clear" w:color="auto" w:fill="FFFFFF"/>
            <w:vAlign w:val="center"/>
          </w:tcPr>
          <w:p w14:paraId="59FD498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声光报警器</w:t>
            </w:r>
          </w:p>
        </w:tc>
        <w:tc>
          <w:tcPr>
            <w:tcW w:w="1000" w:type="dxa"/>
            <w:tcBorders>
              <w:top w:val="nil"/>
              <w:left w:val="nil"/>
              <w:bottom w:val="single" w:color="000000" w:sz="4" w:space="0"/>
              <w:right w:val="single" w:color="000000" w:sz="4" w:space="0"/>
            </w:tcBorders>
            <w:shd w:val="clear" w:color="auto" w:fill="FFFFFF"/>
            <w:vAlign w:val="center"/>
          </w:tcPr>
          <w:p w14:paraId="022FFA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1DBE2C7D">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32BC2882">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24012137">
            <w:pPr>
              <w:jc w:val="right"/>
              <w:rPr>
                <w:rFonts w:hint="default" w:ascii="Arial Narrow" w:hAnsi="Arial Narrow" w:eastAsia="Arial Narrow" w:cs="Arial Narrow"/>
                <w:i w:val="0"/>
                <w:iCs w:val="0"/>
                <w:color w:val="auto"/>
                <w:sz w:val="18"/>
                <w:szCs w:val="18"/>
                <w:highlight w:val="none"/>
                <w:u w:val="none"/>
              </w:rPr>
            </w:pPr>
          </w:p>
        </w:tc>
      </w:tr>
      <w:tr w14:paraId="6842F1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7B39CE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TS503-8</w:t>
            </w:r>
          </w:p>
        </w:tc>
        <w:tc>
          <w:tcPr>
            <w:tcW w:w="4060" w:type="dxa"/>
            <w:gridSpan w:val="2"/>
            <w:tcBorders>
              <w:top w:val="nil"/>
              <w:left w:val="nil"/>
              <w:bottom w:val="single" w:color="000000" w:sz="4" w:space="0"/>
              <w:right w:val="single" w:color="000000" w:sz="4" w:space="0"/>
            </w:tcBorders>
            <w:shd w:val="clear" w:color="auto" w:fill="FFFFFF"/>
            <w:vAlign w:val="center"/>
          </w:tcPr>
          <w:p w14:paraId="6FA1F37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信号电缆</w:t>
            </w:r>
          </w:p>
        </w:tc>
        <w:tc>
          <w:tcPr>
            <w:tcW w:w="1000" w:type="dxa"/>
            <w:tcBorders>
              <w:top w:val="nil"/>
              <w:left w:val="nil"/>
              <w:bottom w:val="single" w:color="000000" w:sz="4" w:space="0"/>
              <w:right w:val="single" w:color="000000" w:sz="4" w:space="0"/>
            </w:tcBorders>
            <w:shd w:val="clear" w:color="auto" w:fill="FFFFFF"/>
            <w:vAlign w:val="center"/>
          </w:tcPr>
          <w:p w14:paraId="193521EF">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30D4028C">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1B318118">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6B74351A">
            <w:pPr>
              <w:jc w:val="right"/>
              <w:rPr>
                <w:rFonts w:hint="default" w:ascii="Arial Narrow" w:hAnsi="Arial Narrow" w:eastAsia="Arial Narrow" w:cs="Arial Narrow"/>
                <w:i w:val="0"/>
                <w:iCs w:val="0"/>
                <w:color w:val="auto"/>
                <w:sz w:val="18"/>
                <w:szCs w:val="18"/>
                <w:highlight w:val="none"/>
                <w:u w:val="none"/>
              </w:rPr>
            </w:pPr>
          </w:p>
        </w:tc>
      </w:tr>
      <w:tr w14:paraId="6380F2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3F8ECF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TS503-8-a</w:t>
            </w:r>
          </w:p>
        </w:tc>
        <w:tc>
          <w:tcPr>
            <w:tcW w:w="4060" w:type="dxa"/>
            <w:gridSpan w:val="2"/>
            <w:tcBorders>
              <w:top w:val="nil"/>
              <w:left w:val="nil"/>
              <w:bottom w:val="single" w:color="000000" w:sz="4" w:space="0"/>
              <w:right w:val="single" w:color="000000" w:sz="4" w:space="0"/>
            </w:tcBorders>
            <w:shd w:val="clear" w:color="auto" w:fill="FFFFFF"/>
            <w:vAlign w:val="center"/>
          </w:tcPr>
          <w:p w14:paraId="69BC736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WDZN-KYJYSP-2*2.5</w:t>
            </w:r>
          </w:p>
        </w:tc>
        <w:tc>
          <w:tcPr>
            <w:tcW w:w="1000" w:type="dxa"/>
            <w:tcBorders>
              <w:top w:val="nil"/>
              <w:left w:val="nil"/>
              <w:bottom w:val="single" w:color="000000" w:sz="4" w:space="0"/>
              <w:right w:val="single" w:color="000000" w:sz="4" w:space="0"/>
            </w:tcBorders>
            <w:shd w:val="clear" w:color="auto" w:fill="FFFFFF"/>
            <w:vAlign w:val="center"/>
          </w:tcPr>
          <w:p w14:paraId="582124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200" w:type="dxa"/>
            <w:gridSpan w:val="2"/>
            <w:tcBorders>
              <w:top w:val="nil"/>
              <w:left w:val="nil"/>
              <w:bottom w:val="single" w:color="000000" w:sz="4" w:space="0"/>
              <w:right w:val="single" w:color="000000" w:sz="4" w:space="0"/>
            </w:tcBorders>
            <w:shd w:val="clear" w:color="auto" w:fill="FFFFFF"/>
            <w:vAlign w:val="center"/>
          </w:tcPr>
          <w:p w14:paraId="76B16113">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2100</w:t>
            </w:r>
          </w:p>
        </w:tc>
        <w:tc>
          <w:tcPr>
            <w:tcW w:w="1200" w:type="dxa"/>
            <w:gridSpan w:val="2"/>
            <w:tcBorders>
              <w:top w:val="nil"/>
              <w:left w:val="nil"/>
              <w:bottom w:val="single" w:color="000000" w:sz="4" w:space="0"/>
              <w:right w:val="single" w:color="000000" w:sz="4" w:space="0"/>
            </w:tcBorders>
            <w:shd w:val="clear" w:color="auto" w:fill="FFFFFF"/>
            <w:vAlign w:val="center"/>
          </w:tcPr>
          <w:p w14:paraId="580C3991">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0A22D3C7">
            <w:pPr>
              <w:jc w:val="right"/>
              <w:rPr>
                <w:rFonts w:hint="default" w:ascii="Arial Narrow" w:hAnsi="Arial Narrow" w:eastAsia="Arial Narrow" w:cs="Arial Narrow"/>
                <w:i w:val="0"/>
                <w:iCs w:val="0"/>
                <w:color w:val="auto"/>
                <w:sz w:val="18"/>
                <w:szCs w:val="18"/>
                <w:highlight w:val="none"/>
                <w:u w:val="none"/>
              </w:rPr>
            </w:pPr>
          </w:p>
        </w:tc>
      </w:tr>
      <w:tr w14:paraId="62A82C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7E3F767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TS503-8-b</w:t>
            </w:r>
          </w:p>
        </w:tc>
        <w:tc>
          <w:tcPr>
            <w:tcW w:w="4060" w:type="dxa"/>
            <w:gridSpan w:val="2"/>
            <w:tcBorders>
              <w:top w:val="nil"/>
              <w:left w:val="nil"/>
              <w:bottom w:val="single" w:color="000000" w:sz="4" w:space="0"/>
              <w:right w:val="single" w:color="000000" w:sz="4" w:space="0"/>
            </w:tcBorders>
            <w:shd w:val="clear" w:color="auto" w:fill="FFFFFF"/>
            <w:vAlign w:val="center"/>
          </w:tcPr>
          <w:p w14:paraId="6C10981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NH-KVVRP-10*2.5</w:t>
            </w:r>
          </w:p>
        </w:tc>
        <w:tc>
          <w:tcPr>
            <w:tcW w:w="1000" w:type="dxa"/>
            <w:tcBorders>
              <w:top w:val="nil"/>
              <w:left w:val="nil"/>
              <w:bottom w:val="single" w:color="000000" w:sz="4" w:space="0"/>
              <w:right w:val="single" w:color="000000" w:sz="4" w:space="0"/>
            </w:tcBorders>
            <w:shd w:val="clear" w:color="auto" w:fill="FFFFFF"/>
            <w:vAlign w:val="center"/>
          </w:tcPr>
          <w:p w14:paraId="51A13A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200" w:type="dxa"/>
            <w:gridSpan w:val="2"/>
            <w:tcBorders>
              <w:top w:val="nil"/>
              <w:left w:val="nil"/>
              <w:bottom w:val="single" w:color="000000" w:sz="4" w:space="0"/>
              <w:right w:val="single" w:color="000000" w:sz="4" w:space="0"/>
            </w:tcBorders>
            <w:shd w:val="clear" w:color="auto" w:fill="FFFFFF"/>
            <w:vAlign w:val="center"/>
          </w:tcPr>
          <w:p w14:paraId="4B052606">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200</w:t>
            </w:r>
          </w:p>
        </w:tc>
        <w:tc>
          <w:tcPr>
            <w:tcW w:w="1200" w:type="dxa"/>
            <w:gridSpan w:val="2"/>
            <w:tcBorders>
              <w:top w:val="nil"/>
              <w:left w:val="nil"/>
              <w:bottom w:val="single" w:color="000000" w:sz="4" w:space="0"/>
              <w:right w:val="single" w:color="000000" w:sz="4" w:space="0"/>
            </w:tcBorders>
            <w:shd w:val="clear" w:color="auto" w:fill="FFFFFF"/>
            <w:vAlign w:val="center"/>
          </w:tcPr>
          <w:p w14:paraId="3790B4A2">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6E993350">
            <w:pPr>
              <w:jc w:val="right"/>
              <w:rPr>
                <w:rFonts w:hint="default" w:ascii="Arial Narrow" w:hAnsi="Arial Narrow" w:eastAsia="Arial Narrow" w:cs="Arial Narrow"/>
                <w:i w:val="0"/>
                <w:iCs w:val="0"/>
                <w:color w:val="auto"/>
                <w:sz w:val="18"/>
                <w:szCs w:val="18"/>
                <w:highlight w:val="none"/>
                <w:u w:val="none"/>
              </w:rPr>
            </w:pPr>
          </w:p>
        </w:tc>
      </w:tr>
      <w:tr w14:paraId="4FF61E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41D5D44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TS503-9</w:t>
            </w:r>
          </w:p>
        </w:tc>
        <w:tc>
          <w:tcPr>
            <w:tcW w:w="4060" w:type="dxa"/>
            <w:gridSpan w:val="2"/>
            <w:tcBorders>
              <w:top w:val="nil"/>
              <w:left w:val="nil"/>
              <w:bottom w:val="single" w:color="000000" w:sz="4" w:space="0"/>
              <w:right w:val="single" w:color="000000" w:sz="4" w:space="0"/>
            </w:tcBorders>
            <w:shd w:val="clear" w:color="auto" w:fill="FFFFFF"/>
            <w:vAlign w:val="center"/>
          </w:tcPr>
          <w:p w14:paraId="3BFB84E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电力电缆</w:t>
            </w:r>
          </w:p>
        </w:tc>
        <w:tc>
          <w:tcPr>
            <w:tcW w:w="1000" w:type="dxa"/>
            <w:tcBorders>
              <w:top w:val="nil"/>
              <w:left w:val="nil"/>
              <w:bottom w:val="single" w:color="000000" w:sz="4" w:space="0"/>
              <w:right w:val="single" w:color="000000" w:sz="4" w:space="0"/>
            </w:tcBorders>
            <w:shd w:val="clear" w:color="auto" w:fill="FFFFFF"/>
            <w:vAlign w:val="center"/>
          </w:tcPr>
          <w:p w14:paraId="088D0806">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3AA8BA76">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4B7EF932">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5B470456">
            <w:pPr>
              <w:jc w:val="right"/>
              <w:rPr>
                <w:rFonts w:hint="default" w:ascii="Arial Narrow" w:hAnsi="Arial Narrow" w:eastAsia="Arial Narrow" w:cs="Arial Narrow"/>
                <w:i w:val="0"/>
                <w:iCs w:val="0"/>
                <w:color w:val="auto"/>
                <w:sz w:val="18"/>
                <w:szCs w:val="18"/>
                <w:highlight w:val="none"/>
                <w:u w:val="none"/>
              </w:rPr>
            </w:pPr>
          </w:p>
        </w:tc>
      </w:tr>
      <w:tr w14:paraId="73B40D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47D691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TS503-9-a</w:t>
            </w:r>
          </w:p>
        </w:tc>
        <w:tc>
          <w:tcPr>
            <w:tcW w:w="4060" w:type="dxa"/>
            <w:gridSpan w:val="2"/>
            <w:tcBorders>
              <w:top w:val="nil"/>
              <w:left w:val="nil"/>
              <w:bottom w:val="single" w:color="000000" w:sz="4" w:space="0"/>
              <w:right w:val="single" w:color="000000" w:sz="4" w:space="0"/>
            </w:tcBorders>
            <w:shd w:val="clear" w:color="auto" w:fill="FFFFFF"/>
            <w:vAlign w:val="center"/>
          </w:tcPr>
          <w:p w14:paraId="136AA80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WDZN-YJY-3*6</w:t>
            </w:r>
          </w:p>
        </w:tc>
        <w:tc>
          <w:tcPr>
            <w:tcW w:w="1000" w:type="dxa"/>
            <w:tcBorders>
              <w:top w:val="nil"/>
              <w:left w:val="nil"/>
              <w:bottom w:val="single" w:color="000000" w:sz="4" w:space="0"/>
              <w:right w:val="single" w:color="000000" w:sz="4" w:space="0"/>
            </w:tcBorders>
            <w:shd w:val="clear" w:color="auto" w:fill="FFFFFF"/>
            <w:vAlign w:val="center"/>
          </w:tcPr>
          <w:p w14:paraId="1EB965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200" w:type="dxa"/>
            <w:gridSpan w:val="2"/>
            <w:tcBorders>
              <w:top w:val="nil"/>
              <w:left w:val="nil"/>
              <w:bottom w:val="single" w:color="000000" w:sz="4" w:space="0"/>
              <w:right w:val="single" w:color="000000" w:sz="4" w:space="0"/>
            </w:tcBorders>
            <w:shd w:val="clear" w:color="auto" w:fill="FFFFFF"/>
            <w:vAlign w:val="center"/>
          </w:tcPr>
          <w:p w14:paraId="30CD4F00">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2100</w:t>
            </w:r>
          </w:p>
        </w:tc>
        <w:tc>
          <w:tcPr>
            <w:tcW w:w="1200" w:type="dxa"/>
            <w:gridSpan w:val="2"/>
            <w:tcBorders>
              <w:top w:val="nil"/>
              <w:left w:val="nil"/>
              <w:bottom w:val="single" w:color="000000" w:sz="4" w:space="0"/>
              <w:right w:val="single" w:color="000000" w:sz="4" w:space="0"/>
            </w:tcBorders>
            <w:shd w:val="clear" w:color="auto" w:fill="FFFFFF"/>
            <w:vAlign w:val="center"/>
          </w:tcPr>
          <w:p w14:paraId="700C5724">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35CE2D28">
            <w:pPr>
              <w:jc w:val="right"/>
              <w:rPr>
                <w:rFonts w:hint="default" w:ascii="Arial Narrow" w:hAnsi="Arial Narrow" w:eastAsia="Arial Narrow" w:cs="Arial Narrow"/>
                <w:i w:val="0"/>
                <w:iCs w:val="0"/>
                <w:color w:val="auto"/>
                <w:sz w:val="18"/>
                <w:szCs w:val="18"/>
                <w:highlight w:val="none"/>
                <w:u w:val="none"/>
              </w:rPr>
            </w:pPr>
          </w:p>
        </w:tc>
      </w:tr>
      <w:tr w14:paraId="77D74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341ADA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TS503-9-b</w:t>
            </w:r>
          </w:p>
        </w:tc>
        <w:tc>
          <w:tcPr>
            <w:tcW w:w="4060" w:type="dxa"/>
            <w:gridSpan w:val="2"/>
            <w:tcBorders>
              <w:top w:val="nil"/>
              <w:left w:val="nil"/>
              <w:bottom w:val="single" w:color="000000" w:sz="4" w:space="0"/>
              <w:right w:val="single" w:color="000000" w:sz="4" w:space="0"/>
            </w:tcBorders>
            <w:shd w:val="clear" w:color="auto" w:fill="FFFFFF"/>
            <w:vAlign w:val="center"/>
          </w:tcPr>
          <w:p w14:paraId="754C4DA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NH-YJV22-1KV-4*6</w:t>
            </w:r>
          </w:p>
        </w:tc>
        <w:tc>
          <w:tcPr>
            <w:tcW w:w="1000" w:type="dxa"/>
            <w:tcBorders>
              <w:top w:val="nil"/>
              <w:left w:val="nil"/>
              <w:bottom w:val="single" w:color="000000" w:sz="4" w:space="0"/>
              <w:right w:val="single" w:color="000000" w:sz="4" w:space="0"/>
            </w:tcBorders>
            <w:shd w:val="clear" w:color="auto" w:fill="FFFFFF"/>
            <w:vAlign w:val="center"/>
          </w:tcPr>
          <w:p w14:paraId="3B5291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200" w:type="dxa"/>
            <w:gridSpan w:val="2"/>
            <w:tcBorders>
              <w:top w:val="nil"/>
              <w:left w:val="nil"/>
              <w:bottom w:val="single" w:color="000000" w:sz="4" w:space="0"/>
              <w:right w:val="single" w:color="000000" w:sz="4" w:space="0"/>
            </w:tcBorders>
            <w:shd w:val="clear" w:color="auto" w:fill="FFFFFF"/>
            <w:vAlign w:val="center"/>
          </w:tcPr>
          <w:p w14:paraId="7BB4B0AA">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600</w:t>
            </w:r>
          </w:p>
        </w:tc>
        <w:tc>
          <w:tcPr>
            <w:tcW w:w="1200" w:type="dxa"/>
            <w:gridSpan w:val="2"/>
            <w:tcBorders>
              <w:top w:val="nil"/>
              <w:left w:val="nil"/>
              <w:bottom w:val="single" w:color="000000" w:sz="4" w:space="0"/>
              <w:right w:val="single" w:color="000000" w:sz="4" w:space="0"/>
            </w:tcBorders>
            <w:shd w:val="clear" w:color="auto" w:fill="FFFFFF"/>
            <w:vAlign w:val="center"/>
          </w:tcPr>
          <w:p w14:paraId="301BE731">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5CC8E826">
            <w:pPr>
              <w:jc w:val="right"/>
              <w:rPr>
                <w:rFonts w:hint="default" w:ascii="Arial Narrow" w:hAnsi="Arial Narrow" w:eastAsia="Arial Narrow" w:cs="Arial Narrow"/>
                <w:i w:val="0"/>
                <w:iCs w:val="0"/>
                <w:color w:val="auto"/>
                <w:sz w:val="18"/>
                <w:szCs w:val="18"/>
                <w:highlight w:val="none"/>
                <w:u w:val="none"/>
              </w:rPr>
            </w:pPr>
          </w:p>
        </w:tc>
      </w:tr>
      <w:tr w14:paraId="1CF01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0D6DF7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TS504</w:t>
            </w:r>
          </w:p>
        </w:tc>
        <w:tc>
          <w:tcPr>
            <w:tcW w:w="4060" w:type="dxa"/>
            <w:gridSpan w:val="2"/>
            <w:tcBorders>
              <w:top w:val="nil"/>
              <w:left w:val="nil"/>
              <w:bottom w:val="single" w:color="000000" w:sz="4" w:space="0"/>
              <w:right w:val="single" w:color="000000" w:sz="4" w:space="0"/>
            </w:tcBorders>
            <w:shd w:val="clear" w:color="auto" w:fill="FFFFFF"/>
            <w:vAlign w:val="center"/>
          </w:tcPr>
          <w:p w14:paraId="129CD59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紧急呼救与有线广播子系统</w:t>
            </w:r>
          </w:p>
        </w:tc>
        <w:tc>
          <w:tcPr>
            <w:tcW w:w="1000" w:type="dxa"/>
            <w:tcBorders>
              <w:top w:val="nil"/>
              <w:left w:val="nil"/>
              <w:bottom w:val="single" w:color="000000" w:sz="4" w:space="0"/>
              <w:right w:val="single" w:color="000000" w:sz="4" w:space="0"/>
            </w:tcBorders>
            <w:shd w:val="clear" w:color="auto" w:fill="FFFFFF"/>
            <w:vAlign w:val="center"/>
          </w:tcPr>
          <w:p w14:paraId="189920A2">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10221852">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0245247F">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5C352840">
            <w:pPr>
              <w:jc w:val="right"/>
              <w:rPr>
                <w:rFonts w:hint="default" w:ascii="Arial Narrow" w:hAnsi="Arial Narrow" w:eastAsia="Arial Narrow" w:cs="Arial Narrow"/>
                <w:i w:val="0"/>
                <w:iCs w:val="0"/>
                <w:color w:val="auto"/>
                <w:sz w:val="18"/>
                <w:szCs w:val="18"/>
                <w:highlight w:val="none"/>
                <w:u w:val="none"/>
              </w:rPr>
            </w:pPr>
          </w:p>
        </w:tc>
      </w:tr>
      <w:tr w14:paraId="7325D8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69FAB7C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TS504-2</w:t>
            </w:r>
          </w:p>
        </w:tc>
        <w:tc>
          <w:tcPr>
            <w:tcW w:w="4060" w:type="dxa"/>
            <w:gridSpan w:val="2"/>
            <w:tcBorders>
              <w:top w:val="nil"/>
              <w:left w:val="nil"/>
              <w:bottom w:val="single" w:color="000000" w:sz="4" w:space="0"/>
              <w:right w:val="single" w:color="000000" w:sz="4" w:space="0"/>
            </w:tcBorders>
            <w:shd w:val="clear" w:color="auto" w:fill="FFFFFF"/>
            <w:vAlign w:val="center"/>
          </w:tcPr>
          <w:p w14:paraId="221D3F5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紧急电话有线广播主机</w:t>
            </w:r>
          </w:p>
        </w:tc>
        <w:tc>
          <w:tcPr>
            <w:tcW w:w="1000" w:type="dxa"/>
            <w:tcBorders>
              <w:top w:val="nil"/>
              <w:left w:val="nil"/>
              <w:bottom w:val="single" w:color="000000" w:sz="4" w:space="0"/>
              <w:right w:val="single" w:color="000000" w:sz="4" w:space="0"/>
            </w:tcBorders>
            <w:shd w:val="clear" w:color="auto" w:fill="FFFFFF"/>
            <w:vAlign w:val="center"/>
          </w:tcPr>
          <w:p w14:paraId="7F311EE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4A97C646">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4DEE5F9E">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257DA59B">
            <w:pPr>
              <w:jc w:val="right"/>
              <w:rPr>
                <w:rFonts w:hint="default" w:ascii="Arial Narrow" w:hAnsi="Arial Narrow" w:eastAsia="Arial Narrow" w:cs="Arial Narrow"/>
                <w:i w:val="0"/>
                <w:iCs w:val="0"/>
                <w:color w:val="auto"/>
                <w:sz w:val="18"/>
                <w:szCs w:val="18"/>
                <w:highlight w:val="none"/>
                <w:u w:val="none"/>
              </w:rPr>
            </w:pPr>
          </w:p>
        </w:tc>
      </w:tr>
      <w:tr w14:paraId="12FE07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645718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TS504-5</w:t>
            </w:r>
          </w:p>
        </w:tc>
        <w:tc>
          <w:tcPr>
            <w:tcW w:w="4060" w:type="dxa"/>
            <w:gridSpan w:val="2"/>
            <w:tcBorders>
              <w:top w:val="nil"/>
              <w:left w:val="nil"/>
              <w:bottom w:val="single" w:color="000000" w:sz="4" w:space="0"/>
              <w:right w:val="single" w:color="000000" w:sz="4" w:space="0"/>
            </w:tcBorders>
            <w:shd w:val="clear" w:color="auto" w:fill="FFFFFF"/>
            <w:vAlign w:val="center"/>
          </w:tcPr>
          <w:p w14:paraId="60A111D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扩音机</w:t>
            </w:r>
          </w:p>
        </w:tc>
        <w:tc>
          <w:tcPr>
            <w:tcW w:w="1000" w:type="dxa"/>
            <w:tcBorders>
              <w:top w:val="nil"/>
              <w:left w:val="nil"/>
              <w:bottom w:val="single" w:color="000000" w:sz="4" w:space="0"/>
              <w:right w:val="single" w:color="000000" w:sz="4" w:space="0"/>
            </w:tcBorders>
            <w:shd w:val="clear" w:color="auto" w:fill="FFFFFF"/>
            <w:vAlign w:val="center"/>
          </w:tcPr>
          <w:p w14:paraId="461C48C9">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0F69DEEE">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47F47C7E">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569AA26A">
            <w:pPr>
              <w:jc w:val="right"/>
              <w:rPr>
                <w:rFonts w:hint="default" w:ascii="Arial Narrow" w:hAnsi="Arial Narrow" w:eastAsia="Arial Narrow" w:cs="Arial Narrow"/>
                <w:i w:val="0"/>
                <w:iCs w:val="0"/>
                <w:color w:val="auto"/>
                <w:sz w:val="18"/>
                <w:szCs w:val="18"/>
                <w:highlight w:val="none"/>
                <w:u w:val="none"/>
              </w:rPr>
            </w:pPr>
          </w:p>
        </w:tc>
      </w:tr>
      <w:tr w14:paraId="6C128B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5DDE5F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TS504-5-a</w:t>
            </w:r>
          </w:p>
        </w:tc>
        <w:tc>
          <w:tcPr>
            <w:tcW w:w="4060" w:type="dxa"/>
            <w:gridSpan w:val="2"/>
            <w:tcBorders>
              <w:top w:val="nil"/>
              <w:left w:val="nil"/>
              <w:bottom w:val="single" w:color="000000" w:sz="4" w:space="0"/>
              <w:right w:val="single" w:color="000000" w:sz="4" w:space="0"/>
            </w:tcBorders>
            <w:shd w:val="clear" w:color="auto" w:fill="FFFFFF"/>
            <w:vAlign w:val="center"/>
          </w:tcPr>
          <w:p w14:paraId="71224D4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网络寻呼话筒</w:t>
            </w:r>
          </w:p>
        </w:tc>
        <w:tc>
          <w:tcPr>
            <w:tcW w:w="1000" w:type="dxa"/>
            <w:tcBorders>
              <w:top w:val="nil"/>
              <w:left w:val="nil"/>
              <w:bottom w:val="single" w:color="000000" w:sz="4" w:space="0"/>
              <w:right w:val="single" w:color="000000" w:sz="4" w:space="0"/>
            </w:tcBorders>
            <w:shd w:val="clear" w:color="auto" w:fill="FFFFFF"/>
            <w:vAlign w:val="center"/>
          </w:tcPr>
          <w:p w14:paraId="7D0278D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200" w:type="dxa"/>
            <w:gridSpan w:val="2"/>
            <w:tcBorders>
              <w:top w:val="nil"/>
              <w:left w:val="nil"/>
              <w:bottom w:val="single" w:color="000000" w:sz="4" w:space="0"/>
              <w:right w:val="single" w:color="000000" w:sz="4" w:space="0"/>
            </w:tcBorders>
            <w:shd w:val="clear" w:color="auto" w:fill="FFFFFF"/>
            <w:vAlign w:val="center"/>
          </w:tcPr>
          <w:p w14:paraId="20D8C170">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518402B5">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54FAF7A0">
            <w:pPr>
              <w:jc w:val="right"/>
              <w:rPr>
                <w:rFonts w:hint="default" w:ascii="Arial Narrow" w:hAnsi="Arial Narrow" w:eastAsia="Arial Narrow" w:cs="Arial Narrow"/>
                <w:i w:val="0"/>
                <w:iCs w:val="0"/>
                <w:color w:val="auto"/>
                <w:sz w:val="18"/>
                <w:szCs w:val="18"/>
                <w:highlight w:val="none"/>
                <w:u w:val="none"/>
              </w:rPr>
            </w:pPr>
          </w:p>
        </w:tc>
      </w:tr>
      <w:tr w14:paraId="4D1036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38DC61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TS504-5-b</w:t>
            </w:r>
          </w:p>
        </w:tc>
        <w:tc>
          <w:tcPr>
            <w:tcW w:w="4060" w:type="dxa"/>
            <w:gridSpan w:val="2"/>
            <w:tcBorders>
              <w:top w:val="nil"/>
              <w:left w:val="nil"/>
              <w:bottom w:val="single" w:color="000000" w:sz="4" w:space="0"/>
              <w:right w:val="single" w:color="000000" w:sz="4" w:space="0"/>
            </w:tcBorders>
            <w:shd w:val="clear" w:color="auto" w:fill="FFFFFF"/>
            <w:vAlign w:val="center"/>
          </w:tcPr>
          <w:p w14:paraId="6400991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网络功放（隧道人通、隧道车通、） 100W</w:t>
            </w:r>
          </w:p>
        </w:tc>
        <w:tc>
          <w:tcPr>
            <w:tcW w:w="1000" w:type="dxa"/>
            <w:tcBorders>
              <w:top w:val="nil"/>
              <w:left w:val="nil"/>
              <w:bottom w:val="single" w:color="000000" w:sz="4" w:space="0"/>
              <w:right w:val="single" w:color="000000" w:sz="4" w:space="0"/>
            </w:tcBorders>
            <w:shd w:val="clear" w:color="auto" w:fill="FFFFFF"/>
            <w:vAlign w:val="center"/>
          </w:tcPr>
          <w:p w14:paraId="26D26C3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200" w:type="dxa"/>
            <w:gridSpan w:val="2"/>
            <w:tcBorders>
              <w:top w:val="nil"/>
              <w:left w:val="nil"/>
              <w:bottom w:val="single" w:color="000000" w:sz="4" w:space="0"/>
              <w:right w:val="single" w:color="000000" w:sz="4" w:space="0"/>
            </w:tcBorders>
            <w:shd w:val="clear" w:color="auto" w:fill="FFFFFF"/>
            <w:vAlign w:val="center"/>
          </w:tcPr>
          <w:p w14:paraId="26DBC388">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5</w:t>
            </w:r>
          </w:p>
        </w:tc>
        <w:tc>
          <w:tcPr>
            <w:tcW w:w="1200" w:type="dxa"/>
            <w:gridSpan w:val="2"/>
            <w:tcBorders>
              <w:top w:val="nil"/>
              <w:left w:val="nil"/>
              <w:bottom w:val="single" w:color="000000" w:sz="4" w:space="0"/>
              <w:right w:val="single" w:color="000000" w:sz="4" w:space="0"/>
            </w:tcBorders>
            <w:shd w:val="clear" w:color="auto" w:fill="FFFFFF"/>
            <w:vAlign w:val="center"/>
          </w:tcPr>
          <w:p w14:paraId="7C35C566">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165F7E04">
            <w:pPr>
              <w:jc w:val="right"/>
              <w:rPr>
                <w:rFonts w:hint="default" w:ascii="Arial Narrow" w:hAnsi="Arial Narrow" w:eastAsia="Arial Narrow" w:cs="Arial Narrow"/>
                <w:i w:val="0"/>
                <w:iCs w:val="0"/>
                <w:color w:val="auto"/>
                <w:sz w:val="18"/>
                <w:szCs w:val="18"/>
                <w:highlight w:val="none"/>
                <w:u w:val="none"/>
              </w:rPr>
            </w:pPr>
          </w:p>
        </w:tc>
      </w:tr>
      <w:tr w14:paraId="133F76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737353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TS504-5-c</w:t>
            </w:r>
          </w:p>
        </w:tc>
        <w:tc>
          <w:tcPr>
            <w:tcW w:w="4060" w:type="dxa"/>
            <w:gridSpan w:val="2"/>
            <w:tcBorders>
              <w:top w:val="nil"/>
              <w:left w:val="nil"/>
              <w:bottom w:val="single" w:color="000000" w:sz="4" w:space="0"/>
              <w:right w:val="single" w:color="000000" w:sz="4" w:space="0"/>
            </w:tcBorders>
            <w:shd w:val="clear" w:color="auto" w:fill="FFFFFF"/>
            <w:vAlign w:val="center"/>
          </w:tcPr>
          <w:p w14:paraId="72CB0E4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网络功放（隧道内） 150W</w:t>
            </w:r>
          </w:p>
        </w:tc>
        <w:tc>
          <w:tcPr>
            <w:tcW w:w="1000" w:type="dxa"/>
            <w:tcBorders>
              <w:top w:val="nil"/>
              <w:left w:val="nil"/>
              <w:bottom w:val="single" w:color="000000" w:sz="4" w:space="0"/>
              <w:right w:val="single" w:color="000000" w:sz="4" w:space="0"/>
            </w:tcBorders>
            <w:shd w:val="clear" w:color="auto" w:fill="FFFFFF"/>
            <w:vAlign w:val="center"/>
          </w:tcPr>
          <w:p w14:paraId="446B47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200" w:type="dxa"/>
            <w:gridSpan w:val="2"/>
            <w:tcBorders>
              <w:top w:val="nil"/>
              <w:left w:val="nil"/>
              <w:bottom w:val="single" w:color="000000" w:sz="4" w:space="0"/>
              <w:right w:val="single" w:color="000000" w:sz="4" w:space="0"/>
            </w:tcBorders>
            <w:shd w:val="clear" w:color="auto" w:fill="FFFFFF"/>
            <w:vAlign w:val="center"/>
          </w:tcPr>
          <w:p w14:paraId="3900A900">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12</w:t>
            </w:r>
          </w:p>
        </w:tc>
        <w:tc>
          <w:tcPr>
            <w:tcW w:w="1200" w:type="dxa"/>
            <w:gridSpan w:val="2"/>
            <w:tcBorders>
              <w:top w:val="nil"/>
              <w:left w:val="nil"/>
              <w:bottom w:val="single" w:color="000000" w:sz="4" w:space="0"/>
              <w:right w:val="single" w:color="000000" w:sz="4" w:space="0"/>
            </w:tcBorders>
            <w:shd w:val="clear" w:color="auto" w:fill="FFFFFF"/>
            <w:vAlign w:val="center"/>
          </w:tcPr>
          <w:p w14:paraId="07FE5252">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0699020C">
            <w:pPr>
              <w:jc w:val="right"/>
              <w:rPr>
                <w:rFonts w:hint="default" w:ascii="Arial Narrow" w:hAnsi="Arial Narrow" w:eastAsia="Arial Narrow" w:cs="Arial Narrow"/>
                <w:i w:val="0"/>
                <w:iCs w:val="0"/>
                <w:color w:val="auto"/>
                <w:sz w:val="18"/>
                <w:szCs w:val="18"/>
                <w:highlight w:val="none"/>
                <w:u w:val="none"/>
              </w:rPr>
            </w:pPr>
          </w:p>
        </w:tc>
      </w:tr>
      <w:tr w14:paraId="2E3C65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34C642F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TS504-6</w:t>
            </w:r>
          </w:p>
        </w:tc>
        <w:tc>
          <w:tcPr>
            <w:tcW w:w="4060" w:type="dxa"/>
            <w:gridSpan w:val="2"/>
            <w:tcBorders>
              <w:top w:val="nil"/>
              <w:left w:val="nil"/>
              <w:bottom w:val="single" w:color="000000" w:sz="4" w:space="0"/>
              <w:right w:val="single" w:color="000000" w:sz="4" w:space="0"/>
            </w:tcBorders>
            <w:shd w:val="clear" w:color="auto" w:fill="FFFFFF"/>
            <w:vAlign w:val="center"/>
          </w:tcPr>
          <w:p w14:paraId="19CC6EE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隧道内扬声器</w:t>
            </w:r>
          </w:p>
        </w:tc>
        <w:tc>
          <w:tcPr>
            <w:tcW w:w="1000" w:type="dxa"/>
            <w:tcBorders>
              <w:top w:val="nil"/>
              <w:left w:val="nil"/>
              <w:bottom w:val="single" w:color="000000" w:sz="4" w:space="0"/>
              <w:right w:val="single" w:color="000000" w:sz="4" w:space="0"/>
            </w:tcBorders>
            <w:shd w:val="clear" w:color="auto" w:fill="FFFFFF"/>
            <w:vAlign w:val="center"/>
          </w:tcPr>
          <w:p w14:paraId="6967CDA4">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2BCE97CF">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5D84F2B6">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0EF8ACDA">
            <w:pPr>
              <w:jc w:val="right"/>
              <w:rPr>
                <w:rFonts w:hint="default" w:ascii="Arial Narrow" w:hAnsi="Arial Narrow" w:eastAsia="Arial Narrow" w:cs="Arial Narrow"/>
                <w:i w:val="0"/>
                <w:iCs w:val="0"/>
                <w:color w:val="auto"/>
                <w:sz w:val="18"/>
                <w:szCs w:val="18"/>
                <w:highlight w:val="none"/>
                <w:u w:val="none"/>
              </w:rPr>
            </w:pPr>
          </w:p>
        </w:tc>
      </w:tr>
      <w:tr w14:paraId="4A0D1C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6CDBB8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TS504-6-a</w:t>
            </w:r>
          </w:p>
        </w:tc>
        <w:tc>
          <w:tcPr>
            <w:tcW w:w="4060" w:type="dxa"/>
            <w:gridSpan w:val="2"/>
            <w:tcBorders>
              <w:top w:val="nil"/>
              <w:left w:val="nil"/>
              <w:bottom w:val="single" w:color="000000" w:sz="4" w:space="0"/>
              <w:right w:val="single" w:color="000000" w:sz="4" w:space="0"/>
            </w:tcBorders>
            <w:shd w:val="clear" w:color="auto" w:fill="FFFFFF"/>
            <w:vAlign w:val="center"/>
          </w:tcPr>
          <w:p w14:paraId="5581ABC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定向高清扬声器（隧道内）100W</w:t>
            </w:r>
          </w:p>
        </w:tc>
        <w:tc>
          <w:tcPr>
            <w:tcW w:w="1000" w:type="dxa"/>
            <w:tcBorders>
              <w:top w:val="nil"/>
              <w:left w:val="nil"/>
              <w:bottom w:val="single" w:color="000000" w:sz="4" w:space="0"/>
              <w:right w:val="single" w:color="000000" w:sz="4" w:space="0"/>
            </w:tcBorders>
            <w:shd w:val="clear" w:color="auto" w:fill="FFFFFF"/>
            <w:vAlign w:val="center"/>
          </w:tcPr>
          <w:p w14:paraId="1FB392E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只</w:t>
            </w:r>
          </w:p>
        </w:tc>
        <w:tc>
          <w:tcPr>
            <w:tcW w:w="1200" w:type="dxa"/>
            <w:gridSpan w:val="2"/>
            <w:tcBorders>
              <w:top w:val="nil"/>
              <w:left w:val="nil"/>
              <w:bottom w:val="single" w:color="000000" w:sz="4" w:space="0"/>
              <w:right w:val="single" w:color="000000" w:sz="4" w:space="0"/>
            </w:tcBorders>
            <w:shd w:val="clear" w:color="auto" w:fill="FFFFFF"/>
            <w:vAlign w:val="center"/>
          </w:tcPr>
          <w:p w14:paraId="70BC0ED7">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10</w:t>
            </w:r>
          </w:p>
        </w:tc>
        <w:tc>
          <w:tcPr>
            <w:tcW w:w="1200" w:type="dxa"/>
            <w:gridSpan w:val="2"/>
            <w:tcBorders>
              <w:top w:val="nil"/>
              <w:left w:val="nil"/>
              <w:bottom w:val="single" w:color="000000" w:sz="4" w:space="0"/>
              <w:right w:val="single" w:color="000000" w:sz="4" w:space="0"/>
            </w:tcBorders>
            <w:shd w:val="clear" w:color="auto" w:fill="FFFFFF"/>
            <w:vAlign w:val="center"/>
          </w:tcPr>
          <w:p w14:paraId="0CFD0BFB">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7920DC4E">
            <w:pPr>
              <w:jc w:val="right"/>
              <w:rPr>
                <w:rFonts w:hint="default" w:ascii="Arial Narrow" w:hAnsi="Arial Narrow" w:eastAsia="Arial Narrow" w:cs="Arial Narrow"/>
                <w:i w:val="0"/>
                <w:iCs w:val="0"/>
                <w:color w:val="auto"/>
                <w:sz w:val="18"/>
                <w:szCs w:val="18"/>
                <w:highlight w:val="none"/>
                <w:u w:val="none"/>
              </w:rPr>
            </w:pPr>
          </w:p>
        </w:tc>
      </w:tr>
      <w:tr w14:paraId="031BF4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3465DF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TS504-6-b</w:t>
            </w:r>
          </w:p>
        </w:tc>
        <w:tc>
          <w:tcPr>
            <w:tcW w:w="4060" w:type="dxa"/>
            <w:gridSpan w:val="2"/>
            <w:tcBorders>
              <w:top w:val="nil"/>
              <w:left w:val="nil"/>
              <w:bottom w:val="single" w:color="000000" w:sz="4" w:space="0"/>
              <w:right w:val="single" w:color="000000" w:sz="4" w:space="0"/>
            </w:tcBorders>
            <w:shd w:val="clear" w:color="auto" w:fill="FFFFFF"/>
            <w:vAlign w:val="center"/>
          </w:tcPr>
          <w:p w14:paraId="44B8844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定向高清扬声器（隧道内、隧道人通、隧道车通）30W</w:t>
            </w:r>
          </w:p>
        </w:tc>
        <w:tc>
          <w:tcPr>
            <w:tcW w:w="1000" w:type="dxa"/>
            <w:tcBorders>
              <w:top w:val="nil"/>
              <w:left w:val="nil"/>
              <w:bottom w:val="single" w:color="000000" w:sz="4" w:space="0"/>
              <w:right w:val="single" w:color="000000" w:sz="4" w:space="0"/>
            </w:tcBorders>
            <w:shd w:val="clear" w:color="auto" w:fill="FFFFFF"/>
            <w:vAlign w:val="center"/>
          </w:tcPr>
          <w:p w14:paraId="3756357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只</w:t>
            </w:r>
          </w:p>
        </w:tc>
        <w:tc>
          <w:tcPr>
            <w:tcW w:w="1200" w:type="dxa"/>
            <w:gridSpan w:val="2"/>
            <w:tcBorders>
              <w:top w:val="nil"/>
              <w:left w:val="nil"/>
              <w:bottom w:val="single" w:color="000000" w:sz="4" w:space="0"/>
              <w:right w:val="single" w:color="000000" w:sz="4" w:space="0"/>
            </w:tcBorders>
            <w:shd w:val="clear" w:color="auto" w:fill="FFFFFF"/>
            <w:vAlign w:val="center"/>
          </w:tcPr>
          <w:p w14:paraId="1579E7A3">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5</w:t>
            </w:r>
          </w:p>
        </w:tc>
        <w:tc>
          <w:tcPr>
            <w:tcW w:w="1200" w:type="dxa"/>
            <w:gridSpan w:val="2"/>
            <w:tcBorders>
              <w:top w:val="nil"/>
              <w:left w:val="nil"/>
              <w:bottom w:val="single" w:color="000000" w:sz="4" w:space="0"/>
              <w:right w:val="single" w:color="000000" w:sz="4" w:space="0"/>
            </w:tcBorders>
            <w:shd w:val="clear" w:color="auto" w:fill="FFFFFF"/>
            <w:vAlign w:val="center"/>
          </w:tcPr>
          <w:p w14:paraId="7A365A8D">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4EC11349">
            <w:pPr>
              <w:jc w:val="right"/>
              <w:rPr>
                <w:rFonts w:hint="default" w:ascii="Arial Narrow" w:hAnsi="Arial Narrow" w:eastAsia="Arial Narrow" w:cs="Arial Narrow"/>
                <w:i w:val="0"/>
                <w:iCs w:val="0"/>
                <w:color w:val="auto"/>
                <w:sz w:val="18"/>
                <w:szCs w:val="18"/>
                <w:highlight w:val="none"/>
                <w:u w:val="none"/>
              </w:rPr>
            </w:pPr>
          </w:p>
        </w:tc>
      </w:tr>
      <w:tr w14:paraId="6BEF9B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5F2AE3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TS504-7</w:t>
            </w:r>
          </w:p>
        </w:tc>
        <w:tc>
          <w:tcPr>
            <w:tcW w:w="4060" w:type="dxa"/>
            <w:gridSpan w:val="2"/>
            <w:tcBorders>
              <w:top w:val="nil"/>
              <w:left w:val="nil"/>
              <w:bottom w:val="single" w:color="000000" w:sz="4" w:space="0"/>
              <w:right w:val="single" w:color="000000" w:sz="4" w:space="0"/>
            </w:tcBorders>
            <w:shd w:val="clear" w:color="auto" w:fill="FFFFFF"/>
            <w:vAlign w:val="center"/>
          </w:tcPr>
          <w:p w14:paraId="5D0B2A5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定向高清扬声器（隧道外）100W</w:t>
            </w:r>
          </w:p>
        </w:tc>
        <w:tc>
          <w:tcPr>
            <w:tcW w:w="1000" w:type="dxa"/>
            <w:tcBorders>
              <w:top w:val="nil"/>
              <w:left w:val="nil"/>
              <w:bottom w:val="single" w:color="000000" w:sz="4" w:space="0"/>
              <w:right w:val="single" w:color="000000" w:sz="4" w:space="0"/>
            </w:tcBorders>
            <w:shd w:val="clear" w:color="auto" w:fill="FFFFFF"/>
            <w:vAlign w:val="center"/>
          </w:tcPr>
          <w:p w14:paraId="67B52C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只</w:t>
            </w:r>
          </w:p>
        </w:tc>
        <w:tc>
          <w:tcPr>
            <w:tcW w:w="1200" w:type="dxa"/>
            <w:gridSpan w:val="2"/>
            <w:tcBorders>
              <w:top w:val="nil"/>
              <w:left w:val="nil"/>
              <w:bottom w:val="single" w:color="000000" w:sz="4" w:space="0"/>
              <w:right w:val="single" w:color="000000" w:sz="4" w:space="0"/>
            </w:tcBorders>
            <w:shd w:val="clear" w:color="auto" w:fill="FFFFFF"/>
            <w:vAlign w:val="center"/>
          </w:tcPr>
          <w:p w14:paraId="3A56D5F0">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2</w:t>
            </w:r>
          </w:p>
        </w:tc>
        <w:tc>
          <w:tcPr>
            <w:tcW w:w="1200" w:type="dxa"/>
            <w:gridSpan w:val="2"/>
            <w:tcBorders>
              <w:top w:val="nil"/>
              <w:left w:val="nil"/>
              <w:bottom w:val="single" w:color="000000" w:sz="4" w:space="0"/>
              <w:right w:val="single" w:color="000000" w:sz="4" w:space="0"/>
            </w:tcBorders>
            <w:shd w:val="clear" w:color="auto" w:fill="FFFFFF"/>
            <w:vAlign w:val="center"/>
          </w:tcPr>
          <w:p w14:paraId="395602E9">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34DA7B66">
            <w:pPr>
              <w:jc w:val="right"/>
              <w:rPr>
                <w:rFonts w:hint="default" w:ascii="Arial Narrow" w:hAnsi="Arial Narrow" w:eastAsia="Arial Narrow" w:cs="Arial Narrow"/>
                <w:i w:val="0"/>
                <w:iCs w:val="0"/>
                <w:color w:val="auto"/>
                <w:sz w:val="18"/>
                <w:szCs w:val="18"/>
                <w:highlight w:val="none"/>
                <w:u w:val="none"/>
              </w:rPr>
            </w:pPr>
          </w:p>
        </w:tc>
      </w:tr>
      <w:tr w14:paraId="61AB37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2D45DFA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TS504-8</w:t>
            </w:r>
          </w:p>
        </w:tc>
        <w:tc>
          <w:tcPr>
            <w:tcW w:w="4060" w:type="dxa"/>
            <w:gridSpan w:val="2"/>
            <w:tcBorders>
              <w:top w:val="nil"/>
              <w:left w:val="nil"/>
              <w:bottom w:val="single" w:color="000000" w:sz="4" w:space="0"/>
              <w:right w:val="single" w:color="000000" w:sz="4" w:space="0"/>
            </w:tcBorders>
            <w:shd w:val="clear" w:color="auto" w:fill="FFFFFF"/>
            <w:vAlign w:val="center"/>
          </w:tcPr>
          <w:p w14:paraId="1011F8F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通信电缆</w:t>
            </w:r>
          </w:p>
        </w:tc>
        <w:tc>
          <w:tcPr>
            <w:tcW w:w="1000" w:type="dxa"/>
            <w:tcBorders>
              <w:top w:val="nil"/>
              <w:left w:val="nil"/>
              <w:bottom w:val="single" w:color="000000" w:sz="4" w:space="0"/>
              <w:right w:val="single" w:color="000000" w:sz="4" w:space="0"/>
            </w:tcBorders>
            <w:shd w:val="clear" w:color="auto" w:fill="FFFFFF"/>
            <w:vAlign w:val="center"/>
          </w:tcPr>
          <w:p w14:paraId="710D2A19">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42DD1EC2">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6F327F17">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42C225AF">
            <w:pPr>
              <w:jc w:val="right"/>
              <w:rPr>
                <w:rFonts w:hint="default" w:ascii="Arial Narrow" w:hAnsi="Arial Narrow" w:eastAsia="Arial Narrow" w:cs="Arial Narrow"/>
                <w:i w:val="0"/>
                <w:iCs w:val="0"/>
                <w:color w:val="auto"/>
                <w:sz w:val="18"/>
                <w:szCs w:val="18"/>
                <w:highlight w:val="none"/>
                <w:u w:val="none"/>
              </w:rPr>
            </w:pPr>
          </w:p>
        </w:tc>
      </w:tr>
      <w:tr w14:paraId="6E1880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741CC3A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TS504-8-a</w:t>
            </w:r>
          </w:p>
        </w:tc>
        <w:tc>
          <w:tcPr>
            <w:tcW w:w="4060" w:type="dxa"/>
            <w:gridSpan w:val="2"/>
            <w:tcBorders>
              <w:top w:val="nil"/>
              <w:left w:val="nil"/>
              <w:bottom w:val="single" w:color="000000" w:sz="4" w:space="0"/>
              <w:right w:val="single" w:color="000000" w:sz="4" w:space="0"/>
            </w:tcBorders>
            <w:shd w:val="clear" w:color="auto" w:fill="FFFFFF"/>
            <w:vAlign w:val="center"/>
          </w:tcPr>
          <w:p w14:paraId="050FBD1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单模光缆4芯</w:t>
            </w:r>
          </w:p>
        </w:tc>
        <w:tc>
          <w:tcPr>
            <w:tcW w:w="1000" w:type="dxa"/>
            <w:tcBorders>
              <w:top w:val="nil"/>
              <w:left w:val="nil"/>
              <w:bottom w:val="single" w:color="000000" w:sz="4" w:space="0"/>
              <w:right w:val="single" w:color="000000" w:sz="4" w:space="0"/>
            </w:tcBorders>
            <w:shd w:val="clear" w:color="auto" w:fill="FFFFFF"/>
            <w:vAlign w:val="center"/>
          </w:tcPr>
          <w:p w14:paraId="10C439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200" w:type="dxa"/>
            <w:gridSpan w:val="2"/>
            <w:tcBorders>
              <w:top w:val="nil"/>
              <w:left w:val="nil"/>
              <w:bottom w:val="single" w:color="000000" w:sz="4" w:space="0"/>
              <w:right w:val="single" w:color="000000" w:sz="4" w:space="0"/>
            </w:tcBorders>
            <w:shd w:val="clear" w:color="auto" w:fill="FFFFFF"/>
            <w:vAlign w:val="center"/>
          </w:tcPr>
          <w:p w14:paraId="5884B894">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2600</w:t>
            </w:r>
          </w:p>
        </w:tc>
        <w:tc>
          <w:tcPr>
            <w:tcW w:w="1200" w:type="dxa"/>
            <w:gridSpan w:val="2"/>
            <w:tcBorders>
              <w:top w:val="nil"/>
              <w:left w:val="nil"/>
              <w:bottom w:val="single" w:color="000000" w:sz="4" w:space="0"/>
              <w:right w:val="single" w:color="000000" w:sz="4" w:space="0"/>
            </w:tcBorders>
            <w:shd w:val="clear" w:color="auto" w:fill="FFFFFF"/>
            <w:vAlign w:val="center"/>
          </w:tcPr>
          <w:p w14:paraId="5D220045">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163C022B">
            <w:pPr>
              <w:jc w:val="right"/>
              <w:rPr>
                <w:rFonts w:hint="default" w:ascii="Arial Narrow" w:hAnsi="Arial Narrow" w:eastAsia="Arial Narrow" w:cs="Arial Narrow"/>
                <w:i w:val="0"/>
                <w:iCs w:val="0"/>
                <w:color w:val="auto"/>
                <w:sz w:val="18"/>
                <w:szCs w:val="18"/>
                <w:highlight w:val="none"/>
                <w:u w:val="none"/>
              </w:rPr>
            </w:pPr>
          </w:p>
        </w:tc>
      </w:tr>
      <w:tr w14:paraId="4D31C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665AF8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TS504-8-b</w:t>
            </w:r>
          </w:p>
        </w:tc>
        <w:tc>
          <w:tcPr>
            <w:tcW w:w="4060" w:type="dxa"/>
            <w:gridSpan w:val="2"/>
            <w:tcBorders>
              <w:top w:val="nil"/>
              <w:left w:val="nil"/>
              <w:bottom w:val="single" w:color="000000" w:sz="4" w:space="0"/>
              <w:right w:val="single" w:color="000000" w:sz="4" w:space="0"/>
            </w:tcBorders>
            <w:shd w:val="clear" w:color="auto" w:fill="FFFFFF"/>
            <w:vAlign w:val="center"/>
          </w:tcPr>
          <w:p w14:paraId="28E5031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单模光缆16芯</w:t>
            </w:r>
          </w:p>
        </w:tc>
        <w:tc>
          <w:tcPr>
            <w:tcW w:w="1000" w:type="dxa"/>
            <w:tcBorders>
              <w:top w:val="nil"/>
              <w:left w:val="nil"/>
              <w:bottom w:val="single" w:color="000000" w:sz="4" w:space="0"/>
              <w:right w:val="single" w:color="000000" w:sz="4" w:space="0"/>
            </w:tcBorders>
            <w:shd w:val="clear" w:color="auto" w:fill="FFFFFF"/>
            <w:vAlign w:val="center"/>
          </w:tcPr>
          <w:p w14:paraId="15A9A2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200" w:type="dxa"/>
            <w:gridSpan w:val="2"/>
            <w:tcBorders>
              <w:top w:val="nil"/>
              <w:left w:val="nil"/>
              <w:bottom w:val="single" w:color="000000" w:sz="4" w:space="0"/>
              <w:right w:val="single" w:color="000000" w:sz="4" w:space="0"/>
            </w:tcBorders>
            <w:shd w:val="clear" w:color="auto" w:fill="FFFFFF"/>
            <w:vAlign w:val="center"/>
          </w:tcPr>
          <w:p w14:paraId="0443EC53">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2200</w:t>
            </w:r>
          </w:p>
        </w:tc>
        <w:tc>
          <w:tcPr>
            <w:tcW w:w="1200" w:type="dxa"/>
            <w:gridSpan w:val="2"/>
            <w:tcBorders>
              <w:top w:val="nil"/>
              <w:left w:val="nil"/>
              <w:bottom w:val="single" w:color="000000" w:sz="4" w:space="0"/>
              <w:right w:val="single" w:color="000000" w:sz="4" w:space="0"/>
            </w:tcBorders>
            <w:shd w:val="clear" w:color="auto" w:fill="FFFFFF"/>
            <w:vAlign w:val="center"/>
          </w:tcPr>
          <w:p w14:paraId="1E4802C6">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70506017">
            <w:pPr>
              <w:jc w:val="right"/>
              <w:rPr>
                <w:rFonts w:hint="default" w:ascii="Arial Narrow" w:hAnsi="Arial Narrow" w:eastAsia="Arial Narrow" w:cs="Arial Narrow"/>
                <w:i w:val="0"/>
                <w:iCs w:val="0"/>
                <w:color w:val="auto"/>
                <w:sz w:val="18"/>
                <w:szCs w:val="18"/>
                <w:highlight w:val="none"/>
                <w:u w:val="none"/>
              </w:rPr>
            </w:pPr>
          </w:p>
        </w:tc>
      </w:tr>
      <w:tr w14:paraId="0E24D6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7A1B98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TS504-9</w:t>
            </w:r>
          </w:p>
        </w:tc>
        <w:tc>
          <w:tcPr>
            <w:tcW w:w="4060" w:type="dxa"/>
            <w:gridSpan w:val="2"/>
            <w:tcBorders>
              <w:top w:val="nil"/>
              <w:left w:val="nil"/>
              <w:bottom w:val="single" w:color="000000" w:sz="4" w:space="0"/>
              <w:right w:val="single" w:color="000000" w:sz="4" w:space="0"/>
            </w:tcBorders>
            <w:shd w:val="clear" w:color="auto" w:fill="FFFFFF"/>
            <w:vAlign w:val="center"/>
          </w:tcPr>
          <w:p w14:paraId="1D5ED17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广播线</w:t>
            </w:r>
          </w:p>
        </w:tc>
        <w:tc>
          <w:tcPr>
            <w:tcW w:w="1000" w:type="dxa"/>
            <w:tcBorders>
              <w:top w:val="nil"/>
              <w:left w:val="nil"/>
              <w:bottom w:val="single" w:color="000000" w:sz="4" w:space="0"/>
              <w:right w:val="single" w:color="000000" w:sz="4" w:space="0"/>
            </w:tcBorders>
            <w:shd w:val="clear" w:color="auto" w:fill="FFFFFF"/>
            <w:vAlign w:val="center"/>
          </w:tcPr>
          <w:p w14:paraId="2E01796F">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3F37DFD6">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315990AA">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5A080546">
            <w:pPr>
              <w:jc w:val="right"/>
              <w:rPr>
                <w:rFonts w:hint="default" w:ascii="Arial Narrow" w:hAnsi="Arial Narrow" w:eastAsia="Arial Narrow" w:cs="Arial Narrow"/>
                <w:i w:val="0"/>
                <w:iCs w:val="0"/>
                <w:color w:val="auto"/>
                <w:sz w:val="18"/>
                <w:szCs w:val="18"/>
                <w:highlight w:val="none"/>
                <w:u w:val="none"/>
              </w:rPr>
            </w:pPr>
          </w:p>
        </w:tc>
      </w:tr>
      <w:tr w14:paraId="255CC7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2C1C50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TS504-9-a</w:t>
            </w:r>
          </w:p>
        </w:tc>
        <w:tc>
          <w:tcPr>
            <w:tcW w:w="4060" w:type="dxa"/>
            <w:gridSpan w:val="2"/>
            <w:tcBorders>
              <w:top w:val="nil"/>
              <w:left w:val="nil"/>
              <w:bottom w:val="single" w:color="000000" w:sz="4" w:space="0"/>
              <w:right w:val="single" w:color="000000" w:sz="4" w:space="0"/>
            </w:tcBorders>
            <w:shd w:val="clear" w:color="auto" w:fill="FFFFFF"/>
            <w:vAlign w:val="center"/>
          </w:tcPr>
          <w:p w14:paraId="0CDD68B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ZR RVVP-2*1.5</w:t>
            </w:r>
          </w:p>
        </w:tc>
        <w:tc>
          <w:tcPr>
            <w:tcW w:w="1000" w:type="dxa"/>
            <w:tcBorders>
              <w:top w:val="nil"/>
              <w:left w:val="nil"/>
              <w:bottom w:val="single" w:color="000000" w:sz="4" w:space="0"/>
              <w:right w:val="single" w:color="000000" w:sz="4" w:space="0"/>
            </w:tcBorders>
            <w:shd w:val="clear" w:color="auto" w:fill="FFFFFF"/>
            <w:vAlign w:val="center"/>
          </w:tcPr>
          <w:p w14:paraId="163F5F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200" w:type="dxa"/>
            <w:gridSpan w:val="2"/>
            <w:tcBorders>
              <w:top w:val="nil"/>
              <w:left w:val="nil"/>
              <w:bottom w:val="single" w:color="000000" w:sz="4" w:space="0"/>
              <w:right w:val="single" w:color="000000" w:sz="4" w:space="0"/>
            </w:tcBorders>
            <w:shd w:val="clear" w:color="auto" w:fill="FFFFFF"/>
            <w:vAlign w:val="center"/>
          </w:tcPr>
          <w:p w14:paraId="234812A9">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170</w:t>
            </w:r>
          </w:p>
        </w:tc>
        <w:tc>
          <w:tcPr>
            <w:tcW w:w="1200" w:type="dxa"/>
            <w:gridSpan w:val="2"/>
            <w:tcBorders>
              <w:top w:val="nil"/>
              <w:left w:val="nil"/>
              <w:bottom w:val="single" w:color="000000" w:sz="4" w:space="0"/>
              <w:right w:val="single" w:color="000000" w:sz="4" w:space="0"/>
            </w:tcBorders>
            <w:shd w:val="clear" w:color="auto" w:fill="FFFFFF"/>
            <w:vAlign w:val="center"/>
          </w:tcPr>
          <w:p w14:paraId="4F40EE97">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279B367B">
            <w:pPr>
              <w:jc w:val="right"/>
              <w:rPr>
                <w:rFonts w:hint="default" w:ascii="Arial Narrow" w:hAnsi="Arial Narrow" w:eastAsia="Arial Narrow" w:cs="Arial Narrow"/>
                <w:i w:val="0"/>
                <w:iCs w:val="0"/>
                <w:color w:val="auto"/>
                <w:sz w:val="18"/>
                <w:szCs w:val="18"/>
                <w:highlight w:val="none"/>
                <w:u w:val="none"/>
              </w:rPr>
            </w:pPr>
          </w:p>
        </w:tc>
      </w:tr>
      <w:tr w14:paraId="1094EA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772B6F9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TS504-9-b</w:t>
            </w:r>
          </w:p>
        </w:tc>
        <w:tc>
          <w:tcPr>
            <w:tcW w:w="4060" w:type="dxa"/>
            <w:gridSpan w:val="2"/>
            <w:tcBorders>
              <w:top w:val="nil"/>
              <w:left w:val="nil"/>
              <w:bottom w:val="single" w:color="000000" w:sz="4" w:space="0"/>
              <w:right w:val="single" w:color="000000" w:sz="4" w:space="0"/>
            </w:tcBorders>
            <w:shd w:val="clear" w:color="auto" w:fill="FFFFFF"/>
            <w:vAlign w:val="center"/>
          </w:tcPr>
          <w:p w14:paraId="71145BB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NH-RVVSP 2*0.75</w:t>
            </w:r>
          </w:p>
        </w:tc>
        <w:tc>
          <w:tcPr>
            <w:tcW w:w="1000" w:type="dxa"/>
            <w:tcBorders>
              <w:top w:val="nil"/>
              <w:left w:val="nil"/>
              <w:bottom w:val="single" w:color="000000" w:sz="4" w:space="0"/>
              <w:right w:val="single" w:color="000000" w:sz="4" w:space="0"/>
            </w:tcBorders>
            <w:shd w:val="clear" w:color="auto" w:fill="FFFFFF"/>
            <w:vAlign w:val="center"/>
          </w:tcPr>
          <w:p w14:paraId="5B7972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200" w:type="dxa"/>
            <w:gridSpan w:val="2"/>
            <w:tcBorders>
              <w:top w:val="nil"/>
              <w:left w:val="nil"/>
              <w:bottom w:val="single" w:color="000000" w:sz="4" w:space="0"/>
              <w:right w:val="single" w:color="000000" w:sz="4" w:space="0"/>
            </w:tcBorders>
            <w:shd w:val="clear" w:color="auto" w:fill="FFFFFF"/>
            <w:vAlign w:val="center"/>
          </w:tcPr>
          <w:p w14:paraId="3F10EBC2">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500</w:t>
            </w:r>
          </w:p>
        </w:tc>
        <w:tc>
          <w:tcPr>
            <w:tcW w:w="1200" w:type="dxa"/>
            <w:gridSpan w:val="2"/>
            <w:tcBorders>
              <w:top w:val="nil"/>
              <w:left w:val="nil"/>
              <w:bottom w:val="single" w:color="000000" w:sz="4" w:space="0"/>
              <w:right w:val="single" w:color="000000" w:sz="4" w:space="0"/>
            </w:tcBorders>
            <w:shd w:val="clear" w:color="auto" w:fill="FFFFFF"/>
            <w:vAlign w:val="center"/>
          </w:tcPr>
          <w:p w14:paraId="5AE7731D">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7D4B5364">
            <w:pPr>
              <w:jc w:val="right"/>
              <w:rPr>
                <w:rFonts w:hint="default" w:ascii="Arial Narrow" w:hAnsi="Arial Narrow" w:eastAsia="Arial Narrow" w:cs="Arial Narrow"/>
                <w:i w:val="0"/>
                <w:iCs w:val="0"/>
                <w:color w:val="auto"/>
                <w:sz w:val="18"/>
                <w:szCs w:val="18"/>
                <w:highlight w:val="none"/>
                <w:u w:val="none"/>
              </w:rPr>
            </w:pPr>
          </w:p>
        </w:tc>
      </w:tr>
      <w:tr w14:paraId="6593E9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7F804D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TS504-10</w:t>
            </w:r>
          </w:p>
        </w:tc>
        <w:tc>
          <w:tcPr>
            <w:tcW w:w="4060" w:type="dxa"/>
            <w:gridSpan w:val="2"/>
            <w:tcBorders>
              <w:top w:val="nil"/>
              <w:left w:val="nil"/>
              <w:bottom w:val="single" w:color="000000" w:sz="4" w:space="0"/>
              <w:right w:val="single" w:color="000000" w:sz="4" w:space="0"/>
            </w:tcBorders>
            <w:shd w:val="clear" w:color="auto" w:fill="FFFFFF"/>
            <w:vAlign w:val="center"/>
          </w:tcPr>
          <w:p w14:paraId="2E23481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ZR YJV-3*2.5</w:t>
            </w:r>
          </w:p>
        </w:tc>
        <w:tc>
          <w:tcPr>
            <w:tcW w:w="1000" w:type="dxa"/>
            <w:tcBorders>
              <w:top w:val="nil"/>
              <w:left w:val="nil"/>
              <w:bottom w:val="single" w:color="000000" w:sz="4" w:space="0"/>
              <w:right w:val="single" w:color="000000" w:sz="4" w:space="0"/>
            </w:tcBorders>
            <w:shd w:val="clear" w:color="auto" w:fill="FFFFFF"/>
            <w:vAlign w:val="center"/>
          </w:tcPr>
          <w:p w14:paraId="156CDB4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200" w:type="dxa"/>
            <w:gridSpan w:val="2"/>
            <w:tcBorders>
              <w:top w:val="nil"/>
              <w:left w:val="nil"/>
              <w:bottom w:val="single" w:color="000000" w:sz="4" w:space="0"/>
              <w:right w:val="single" w:color="000000" w:sz="4" w:space="0"/>
            </w:tcBorders>
            <w:shd w:val="clear" w:color="auto" w:fill="FFFFFF"/>
            <w:vAlign w:val="center"/>
          </w:tcPr>
          <w:p w14:paraId="1DC6CEB1">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2100</w:t>
            </w:r>
          </w:p>
        </w:tc>
        <w:tc>
          <w:tcPr>
            <w:tcW w:w="1200" w:type="dxa"/>
            <w:gridSpan w:val="2"/>
            <w:tcBorders>
              <w:top w:val="nil"/>
              <w:left w:val="nil"/>
              <w:bottom w:val="single" w:color="000000" w:sz="4" w:space="0"/>
              <w:right w:val="single" w:color="000000" w:sz="4" w:space="0"/>
            </w:tcBorders>
            <w:shd w:val="clear" w:color="auto" w:fill="FFFFFF"/>
            <w:vAlign w:val="center"/>
          </w:tcPr>
          <w:p w14:paraId="30A59DE4">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34E91047">
            <w:pPr>
              <w:jc w:val="right"/>
              <w:rPr>
                <w:rFonts w:hint="default" w:ascii="Arial Narrow" w:hAnsi="Arial Narrow" w:eastAsia="Arial Narrow" w:cs="Arial Narrow"/>
                <w:i w:val="0"/>
                <w:iCs w:val="0"/>
                <w:color w:val="auto"/>
                <w:sz w:val="18"/>
                <w:szCs w:val="18"/>
                <w:highlight w:val="none"/>
                <w:u w:val="none"/>
              </w:rPr>
            </w:pPr>
          </w:p>
        </w:tc>
      </w:tr>
      <w:tr w14:paraId="1635A5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31B70C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TS505</w:t>
            </w:r>
          </w:p>
        </w:tc>
        <w:tc>
          <w:tcPr>
            <w:tcW w:w="4060" w:type="dxa"/>
            <w:gridSpan w:val="2"/>
            <w:tcBorders>
              <w:top w:val="nil"/>
              <w:left w:val="nil"/>
              <w:bottom w:val="single" w:color="000000" w:sz="4" w:space="0"/>
              <w:right w:val="single" w:color="000000" w:sz="4" w:space="0"/>
            </w:tcBorders>
            <w:shd w:val="clear" w:color="auto" w:fill="FFFFFF"/>
            <w:vAlign w:val="center"/>
          </w:tcPr>
          <w:p w14:paraId="12EF75E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交通监控与诱导子系统</w:t>
            </w:r>
          </w:p>
        </w:tc>
        <w:tc>
          <w:tcPr>
            <w:tcW w:w="1000" w:type="dxa"/>
            <w:tcBorders>
              <w:top w:val="nil"/>
              <w:left w:val="nil"/>
              <w:bottom w:val="single" w:color="000000" w:sz="4" w:space="0"/>
              <w:right w:val="single" w:color="000000" w:sz="4" w:space="0"/>
            </w:tcBorders>
            <w:shd w:val="clear" w:color="auto" w:fill="FFFFFF"/>
            <w:vAlign w:val="center"/>
          </w:tcPr>
          <w:p w14:paraId="2F049457">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2754DAC0">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77FB89D1">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6619CA3C">
            <w:pPr>
              <w:jc w:val="right"/>
              <w:rPr>
                <w:rFonts w:hint="default" w:ascii="Arial Narrow" w:hAnsi="Arial Narrow" w:eastAsia="Arial Narrow" w:cs="Arial Narrow"/>
                <w:i w:val="0"/>
                <w:iCs w:val="0"/>
                <w:color w:val="auto"/>
                <w:sz w:val="18"/>
                <w:szCs w:val="18"/>
                <w:highlight w:val="none"/>
                <w:u w:val="none"/>
              </w:rPr>
            </w:pPr>
          </w:p>
        </w:tc>
      </w:tr>
      <w:tr w14:paraId="484CEC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16FF20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TS505-2</w:t>
            </w:r>
          </w:p>
        </w:tc>
        <w:tc>
          <w:tcPr>
            <w:tcW w:w="4060" w:type="dxa"/>
            <w:gridSpan w:val="2"/>
            <w:tcBorders>
              <w:top w:val="nil"/>
              <w:left w:val="nil"/>
              <w:bottom w:val="single" w:color="000000" w:sz="4" w:space="0"/>
              <w:right w:val="single" w:color="000000" w:sz="4" w:space="0"/>
            </w:tcBorders>
            <w:shd w:val="clear" w:color="auto" w:fill="FFFFFF"/>
            <w:vAlign w:val="center"/>
          </w:tcPr>
          <w:p w14:paraId="61D815E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户外壁挂式机柜</w:t>
            </w:r>
          </w:p>
        </w:tc>
        <w:tc>
          <w:tcPr>
            <w:tcW w:w="1000" w:type="dxa"/>
            <w:tcBorders>
              <w:top w:val="nil"/>
              <w:left w:val="nil"/>
              <w:bottom w:val="single" w:color="000000" w:sz="4" w:space="0"/>
              <w:right w:val="single" w:color="000000" w:sz="4" w:space="0"/>
            </w:tcBorders>
            <w:shd w:val="clear" w:color="auto" w:fill="FFFFFF"/>
            <w:vAlign w:val="center"/>
          </w:tcPr>
          <w:p w14:paraId="59FB20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45C5A975">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14</w:t>
            </w:r>
          </w:p>
        </w:tc>
        <w:tc>
          <w:tcPr>
            <w:tcW w:w="1200" w:type="dxa"/>
            <w:gridSpan w:val="2"/>
            <w:tcBorders>
              <w:top w:val="nil"/>
              <w:left w:val="nil"/>
              <w:bottom w:val="single" w:color="000000" w:sz="4" w:space="0"/>
              <w:right w:val="single" w:color="000000" w:sz="4" w:space="0"/>
            </w:tcBorders>
            <w:shd w:val="clear" w:color="auto" w:fill="FFFFFF"/>
            <w:vAlign w:val="center"/>
          </w:tcPr>
          <w:p w14:paraId="4D9495D3">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385D07D9">
            <w:pPr>
              <w:jc w:val="right"/>
              <w:rPr>
                <w:rFonts w:hint="default" w:ascii="Arial Narrow" w:hAnsi="Arial Narrow" w:eastAsia="Arial Narrow" w:cs="Arial Narrow"/>
                <w:i w:val="0"/>
                <w:iCs w:val="0"/>
                <w:color w:val="auto"/>
                <w:sz w:val="18"/>
                <w:szCs w:val="18"/>
                <w:highlight w:val="none"/>
                <w:u w:val="none"/>
              </w:rPr>
            </w:pPr>
          </w:p>
        </w:tc>
      </w:tr>
      <w:tr w14:paraId="0651CF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1EB9CF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TS505-3</w:t>
            </w:r>
          </w:p>
        </w:tc>
        <w:tc>
          <w:tcPr>
            <w:tcW w:w="4060" w:type="dxa"/>
            <w:gridSpan w:val="2"/>
            <w:tcBorders>
              <w:top w:val="nil"/>
              <w:left w:val="nil"/>
              <w:bottom w:val="single" w:color="000000" w:sz="4" w:space="0"/>
              <w:right w:val="single" w:color="000000" w:sz="4" w:space="0"/>
            </w:tcBorders>
            <w:shd w:val="clear" w:color="auto" w:fill="FFFFFF"/>
            <w:vAlign w:val="center"/>
          </w:tcPr>
          <w:p w14:paraId="1EA8EA4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交通监控软件</w:t>
            </w:r>
          </w:p>
        </w:tc>
        <w:tc>
          <w:tcPr>
            <w:tcW w:w="1000" w:type="dxa"/>
            <w:tcBorders>
              <w:top w:val="nil"/>
              <w:left w:val="nil"/>
              <w:bottom w:val="single" w:color="000000" w:sz="4" w:space="0"/>
              <w:right w:val="single" w:color="000000" w:sz="4" w:space="0"/>
            </w:tcBorders>
            <w:shd w:val="clear" w:color="auto" w:fill="FFFFFF"/>
            <w:vAlign w:val="center"/>
          </w:tcPr>
          <w:p w14:paraId="2EDD385B">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43567FBA">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1BF1D4FF">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58FE754E">
            <w:pPr>
              <w:jc w:val="right"/>
              <w:rPr>
                <w:rFonts w:hint="default" w:ascii="Arial Narrow" w:hAnsi="Arial Narrow" w:eastAsia="Arial Narrow" w:cs="Arial Narrow"/>
                <w:i w:val="0"/>
                <w:iCs w:val="0"/>
                <w:color w:val="auto"/>
                <w:sz w:val="18"/>
                <w:szCs w:val="18"/>
                <w:highlight w:val="none"/>
                <w:u w:val="none"/>
              </w:rPr>
            </w:pPr>
          </w:p>
        </w:tc>
      </w:tr>
      <w:tr w14:paraId="04E7B6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5C5268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TS505-3-a</w:t>
            </w:r>
          </w:p>
        </w:tc>
        <w:tc>
          <w:tcPr>
            <w:tcW w:w="4060" w:type="dxa"/>
            <w:gridSpan w:val="2"/>
            <w:tcBorders>
              <w:top w:val="nil"/>
              <w:left w:val="nil"/>
              <w:bottom w:val="single" w:color="000000" w:sz="4" w:space="0"/>
              <w:right w:val="single" w:color="000000" w:sz="4" w:space="0"/>
            </w:tcBorders>
            <w:shd w:val="clear" w:color="auto" w:fill="FFFFFF"/>
            <w:vAlign w:val="center"/>
          </w:tcPr>
          <w:p w14:paraId="3AD6664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专业授时设备</w:t>
            </w:r>
          </w:p>
        </w:tc>
        <w:tc>
          <w:tcPr>
            <w:tcW w:w="1000" w:type="dxa"/>
            <w:tcBorders>
              <w:top w:val="nil"/>
              <w:left w:val="nil"/>
              <w:bottom w:val="single" w:color="000000" w:sz="4" w:space="0"/>
              <w:right w:val="single" w:color="000000" w:sz="4" w:space="0"/>
            </w:tcBorders>
            <w:shd w:val="clear" w:color="auto" w:fill="FFFFFF"/>
            <w:vAlign w:val="center"/>
          </w:tcPr>
          <w:p w14:paraId="4183BA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5AC48DB3">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616BE929">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7CD01273">
            <w:pPr>
              <w:jc w:val="right"/>
              <w:rPr>
                <w:rFonts w:hint="default" w:ascii="Arial Narrow" w:hAnsi="Arial Narrow" w:eastAsia="Arial Narrow" w:cs="Arial Narrow"/>
                <w:i w:val="0"/>
                <w:iCs w:val="0"/>
                <w:color w:val="auto"/>
                <w:sz w:val="18"/>
                <w:szCs w:val="18"/>
                <w:highlight w:val="none"/>
                <w:u w:val="none"/>
              </w:rPr>
            </w:pPr>
          </w:p>
        </w:tc>
      </w:tr>
      <w:tr w14:paraId="1E3139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0A5777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TS505-3-b</w:t>
            </w:r>
          </w:p>
        </w:tc>
        <w:tc>
          <w:tcPr>
            <w:tcW w:w="4060" w:type="dxa"/>
            <w:gridSpan w:val="2"/>
            <w:tcBorders>
              <w:top w:val="nil"/>
              <w:left w:val="nil"/>
              <w:bottom w:val="single" w:color="000000" w:sz="4" w:space="0"/>
              <w:right w:val="single" w:color="000000" w:sz="4" w:space="0"/>
            </w:tcBorders>
            <w:shd w:val="clear" w:color="auto" w:fill="FFFFFF"/>
            <w:vAlign w:val="center"/>
          </w:tcPr>
          <w:p w14:paraId="3446111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全息AI边缘引擎终端</w:t>
            </w:r>
          </w:p>
        </w:tc>
        <w:tc>
          <w:tcPr>
            <w:tcW w:w="1000" w:type="dxa"/>
            <w:tcBorders>
              <w:top w:val="nil"/>
              <w:left w:val="nil"/>
              <w:bottom w:val="single" w:color="000000" w:sz="4" w:space="0"/>
              <w:right w:val="single" w:color="000000" w:sz="4" w:space="0"/>
            </w:tcBorders>
            <w:shd w:val="clear" w:color="auto" w:fill="FFFFFF"/>
            <w:vAlign w:val="center"/>
          </w:tcPr>
          <w:p w14:paraId="099B7F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56BC2D98">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5E65DFD7">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28E7DD88">
            <w:pPr>
              <w:jc w:val="right"/>
              <w:rPr>
                <w:rFonts w:hint="default" w:ascii="Arial Narrow" w:hAnsi="Arial Narrow" w:eastAsia="Arial Narrow" w:cs="Arial Narrow"/>
                <w:i w:val="0"/>
                <w:iCs w:val="0"/>
                <w:color w:val="auto"/>
                <w:sz w:val="18"/>
                <w:szCs w:val="18"/>
                <w:highlight w:val="none"/>
                <w:u w:val="none"/>
              </w:rPr>
            </w:pPr>
          </w:p>
        </w:tc>
      </w:tr>
      <w:tr w14:paraId="163EC6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5EA601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TS505-3-c</w:t>
            </w:r>
          </w:p>
        </w:tc>
        <w:tc>
          <w:tcPr>
            <w:tcW w:w="4060" w:type="dxa"/>
            <w:gridSpan w:val="2"/>
            <w:tcBorders>
              <w:top w:val="nil"/>
              <w:left w:val="nil"/>
              <w:bottom w:val="single" w:color="000000" w:sz="4" w:space="0"/>
              <w:right w:val="single" w:color="000000" w:sz="4" w:space="0"/>
            </w:tcBorders>
            <w:shd w:val="clear" w:color="auto" w:fill="FFFFFF"/>
            <w:vAlign w:val="center"/>
          </w:tcPr>
          <w:p w14:paraId="45E218C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加密狗</w:t>
            </w:r>
          </w:p>
        </w:tc>
        <w:tc>
          <w:tcPr>
            <w:tcW w:w="1000" w:type="dxa"/>
            <w:tcBorders>
              <w:top w:val="nil"/>
              <w:left w:val="nil"/>
              <w:bottom w:val="single" w:color="000000" w:sz="4" w:space="0"/>
              <w:right w:val="single" w:color="000000" w:sz="4" w:space="0"/>
            </w:tcBorders>
            <w:shd w:val="clear" w:color="auto" w:fill="FFFFFF"/>
            <w:vAlign w:val="center"/>
          </w:tcPr>
          <w:p w14:paraId="1AC4E7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200" w:type="dxa"/>
            <w:gridSpan w:val="2"/>
            <w:tcBorders>
              <w:top w:val="nil"/>
              <w:left w:val="nil"/>
              <w:bottom w:val="single" w:color="000000" w:sz="4" w:space="0"/>
              <w:right w:val="single" w:color="000000" w:sz="4" w:space="0"/>
            </w:tcBorders>
            <w:shd w:val="clear" w:color="auto" w:fill="FFFFFF"/>
            <w:vAlign w:val="center"/>
          </w:tcPr>
          <w:p w14:paraId="33A2D1A4">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5015D56C">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287C6C1B">
            <w:pPr>
              <w:jc w:val="right"/>
              <w:rPr>
                <w:rFonts w:hint="default" w:ascii="Arial Narrow" w:hAnsi="Arial Narrow" w:eastAsia="Arial Narrow" w:cs="Arial Narrow"/>
                <w:i w:val="0"/>
                <w:iCs w:val="0"/>
                <w:color w:val="auto"/>
                <w:sz w:val="18"/>
                <w:szCs w:val="18"/>
                <w:highlight w:val="none"/>
                <w:u w:val="none"/>
              </w:rPr>
            </w:pPr>
          </w:p>
        </w:tc>
      </w:tr>
      <w:tr w14:paraId="0854A8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0FAEAD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TS505-3-d</w:t>
            </w:r>
          </w:p>
        </w:tc>
        <w:tc>
          <w:tcPr>
            <w:tcW w:w="4060" w:type="dxa"/>
            <w:gridSpan w:val="2"/>
            <w:tcBorders>
              <w:top w:val="nil"/>
              <w:left w:val="nil"/>
              <w:bottom w:val="single" w:color="000000" w:sz="4" w:space="0"/>
              <w:right w:val="single" w:color="000000" w:sz="4" w:space="0"/>
            </w:tcBorders>
            <w:shd w:val="clear" w:color="auto" w:fill="FFFFFF"/>
            <w:vAlign w:val="center"/>
          </w:tcPr>
          <w:p w14:paraId="6993AC0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硬盘8t</w:t>
            </w:r>
          </w:p>
        </w:tc>
        <w:tc>
          <w:tcPr>
            <w:tcW w:w="1000" w:type="dxa"/>
            <w:tcBorders>
              <w:top w:val="nil"/>
              <w:left w:val="nil"/>
              <w:bottom w:val="single" w:color="000000" w:sz="4" w:space="0"/>
              <w:right w:val="single" w:color="000000" w:sz="4" w:space="0"/>
            </w:tcBorders>
            <w:shd w:val="clear" w:color="auto" w:fill="FFFFFF"/>
            <w:vAlign w:val="center"/>
          </w:tcPr>
          <w:p w14:paraId="2B9900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块</w:t>
            </w:r>
          </w:p>
        </w:tc>
        <w:tc>
          <w:tcPr>
            <w:tcW w:w="1200" w:type="dxa"/>
            <w:gridSpan w:val="2"/>
            <w:tcBorders>
              <w:top w:val="nil"/>
              <w:left w:val="nil"/>
              <w:bottom w:val="single" w:color="000000" w:sz="4" w:space="0"/>
              <w:right w:val="single" w:color="000000" w:sz="4" w:space="0"/>
            </w:tcBorders>
            <w:shd w:val="clear" w:color="auto" w:fill="FFFFFF"/>
            <w:vAlign w:val="center"/>
          </w:tcPr>
          <w:p w14:paraId="7BD8F3D3">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3</w:t>
            </w:r>
          </w:p>
        </w:tc>
        <w:tc>
          <w:tcPr>
            <w:tcW w:w="1200" w:type="dxa"/>
            <w:gridSpan w:val="2"/>
            <w:tcBorders>
              <w:top w:val="nil"/>
              <w:left w:val="nil"/>
              <w:bottom w:val="single" w:color="000000" w:sz="4" w:space="0"/>
              <w:right w:val="single" w:color="000000" w:sz="4" w:space="0"/>
            </w:tcBorders>
            <w:shd w:val="clear" w:color="auto" w:fill="FFFFFF"/>
            <w:vAlign w:val="center"/>
          </w:tcPr>
          <w:p w14:paraId="7A1EF279">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10C6EAC6">
            <w:pPr>
              <w:jc w:val="right"/>
              <w:rPr>
                <w:rFonts w:hint="default" w:ascii="Arial Narrow" w:hAnsi="Arial Narrow" w:eastAsia="Arial Narrow" w:cs="Arial Narrow"/>
                <w:i w:val="0"/>
                <w:iCs w:val="0"/>
                <w:color w:val="auto"/>
                <w:sz w:val="18"/>
                <w:szCs w:val="18"/>
                <w:highlight w:val="none"/>
                <w:u w:val="none"/>
              </w:rPr>
            </w:pPr>
          </w:p>
        </w:tc>
      </w:tr>
      <w:tr w14:paraId="6CA824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1451EF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TS505-8</w:t>
            </w:r>
          </w:p>
        </w:tc>
        <w:tc>
          <w:tcPr>
            <w:tcW w:w="4060" w:type="dxa"/>
            <w:gridSpan w:val="2"/>
            <w:tcBorders>
              <w:top w:val="nil"/>
              <w:left w:val="nil"/>
              <w:bottom w:val="single" w:color="000000" w:sz="4" w:space="0"/>
              <w:right w:val="single" w:color="000000" w:sz="4" w:space="0"/>
            </w:tcBorders>
            <w:shd w:val="clear" w:color="auto" w:fill="FFFFFF"/>
            <w:vAlign w:val="center"/>
          </w:tcPr>
          <w:p w14:paraId="27F77DA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交通信号设备</w:t>
            </w:r>
          </w:p>
        </w:tc>
        <w:tc>
          <w:tcPr>
            <w:tcW w:w="1000" w:type="dxa"/>
            <w:tcBorders>
              <w:top w:val="nil"/>
              <w:left w:val="nil"/>
              <w:bottom w:val="single" w:color="000000" w:sz="4" w:space="0"/>
              <w:right w:val="single" w:color="000000" w:sz="4" w:space="0"/>
            </w:tcBorders>
            <w:shd w:val="clear" w:color="auto" w:fill="FFFFFF"/>
            <w:vAlign w:val="center"/>
          </w:tcPr>
          <w:p w14:paraId="4F138215">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19C2A2FE">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3E46D210">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5E0537B1">
            <w:pPr>
              <w:jc w:val="right"/>
              <w:rPr>
                <w:rFonts w:hint="default" w:ascii="Arial Narrow" w:hAnsi="Arial Narrow" w:eastAsia="Arial Narrow" w:cs="Arial Narrow"/>
                <w:i w:val="0"/>
                <w:iCs w:val="0"/>
                <w:color w:val="auto"/>
                <w:sz w:val="18"/>
                <w:szCs w:val="18"/>
                <w:highlight w:val="none"/>
                <w:u w:val="none"/>
              </w:rPr>
            </w:pPr>
          </w:p>
        </w:tc>
      </w:tr>
      <w:tr w14:paraId="425459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3E2D44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TS505-8-a</w:t>
            </w:r>
          </w:p>
        </w:tc>
        <w:tc>
          <w:tcPr>
            <w:tcW w:w="4060" w:type="dxa"/>
            <w:gridSpan w:val="2"/>
            <w:tcBorders>
              <w:top w:val="nil"/>
              <w:left w:val="nil"/>
              <w:bottom w:val="single" w:color="000000" w:sz="4" w:space="0"/>
              <w:right w:val="single" w:color="000000" w:sz="4" w:space="0"/>
            </w:tcBorders>
            <w:shd w:val="clear" w:color="auto" w:fill="FFFFFF"/>
            <w:vAlign w:val="center"/>
          </w:tcPr>
          <w:p w14:paraId="0943C50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原监控系统设备拆除</w:t>
            </w:r>
          </w:p>
        </w:tc>
        <w:tc>
          <w:tcPr>
            <w:tcW w:w="1000" w:type="dxa"/>
            <w:tcBorders>
              <w:top w:val="nil"/>
              <w:left w:val="nil"/>
              <w:bottom w:val="single" w:color="000000" w:sz="4" w:space="0"/>
              <w:right w:val="single" w:color="000000" w:sz="4" w:space="0"/>
            </w:tcBorders>
            <w:shd w:val="clear" w:color="auto" w:fill="FFFFFF"/>
            <w:vAlign w:val="center"/>
          </w:tcPr>
          <w:p w14:paraId="1D8232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w:t>
            </w:r>
          </w:p>
        </w:tc>
        <w:tc>
          <w:tcPr>
            <w:tcW w:w="1200" w:type="dxa"/>
            <w:gridSpan w:val="2"/>
            <w:tcBorders>
              <w:top w:val="nil"/>
              <w:left w:val="nil"/>
              <w:bottom w:val="single" w:color="000000" w:sz="4" w:space="0"/>
              <w:right w:val="single" w:color="000000" w:sz="4" w:space="0"/>
            </w:tcBorders>
            <w:shd w:val="clear" w:color="auto" w:fill="FFFFFF"/>
            <w:vAlign w:val="center"/>
          </w:tcPr>
          <w:p w14:paraId="00CF9F21">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5E04C510">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46869B79">
            <w:pPr>
              <w:jc w:val="right"/>
              <w:rPr>
                <w:rFonts w:hint="default" w:ascii="Arial Narrow" w:hAnsi="Arial Narrow" w:eastAsia="Arial Narrow" w:cs="Arial Narrow"/>
                <w:i w:val="0"/>
                <w:iCs w:val="0"/>
                <w:color w:val="auto"/>
                <w:sz w:val="18"/>
                <w:szCs w:val="18"/>
                <w:highlight w:val="none"/>
                <w:u w:val="none"/>
              </w:rPr>
            </w:pPr>
          </w:p>
        </w:tc>
      </w:tr>
      <w:tr w14:paraId="02EE19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099194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TS505-8-b</w:t>
            </w:r>
          </w:p>
        </w:tc>
        <w:tc>
          <w:tcPr>
            <w:tcW w:w="4060" w:type="dxa"/>
            <w:gridSpan w:val="2"/>
            <w:tcBorders>
              <w:top w:val="nil"/>
              <w:left w:val="nil"/>
              <w:bottom w:val="single" w:color="000000" w:sz="4" w:space="0"/>
              <w:right w:val="single" w:color="000000" w:sz="4" w:space="0"/>
            </w:tcBorders>
            <w:shd w:val="clear" w:color="auto" w:fill="FFFFFF"/>
            <w:vAlign w:val="center"/>
          </w:tcPr>
          <w:p w14:paraId="196C595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LED补光灯</w:t>
            </w:r>
          </w:p>
        </w:tc>
        <w:tc>
          <w:tcPr>
            <w:tcW w:w="1000" w:type="dxa"/>
            <w:tcBorders>
              <w:top w:val="nil"/>
              <w:left w:val="nil"/>
              <w:bottom w:val="single" w:color="000000" w:sz="4" w:space="0"/>
              <w:right w:val="single" w:color="000000" w:sz="4" w:space="0"/>
            </w:tcBorders>
            <w:shd w:val="clear" w:color="auto" w:fill="FFFFFF"/>
            <w:vAlign w:val="center"/>
          </w:tcPr>
          <w:p w14:paraId="7A15351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0B1A6619">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5</w:t>
            </w:r>
          </w:p>
        </w:tc>
        <w:tc>
          <w:tcPr>
            <w:tcW w:w="1200" w:type="dxa"/>
            <w:gridSpan w:val="2"/>
            <w:tcBorders>
              <w:top w:val="nil"/>
              <w:left w:val="nil"/>
              <w:bottom w:val="single" w:color="000000" w:sz="4" w:space="0"/>
              <w:right w:val="single" w:color="000000" w:sz="4" w:space="0"/>
            </w:tcBorders>
            <w:shd w:val="clear" w:color="auto" w:fill="FFFFFF"/>
            <w:vAlign w:val="center"/>
          </w:tcPr>
          <w:p w14:paraId="701CCD08">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6490E9B5">
            <w:pPr>
              <w:jc w:val="right"/>
              <w:rPr>
                <w:rFonts w:hint="default" w:ascii="Arial Narrow" w:hAnsi="Arial Narrow" w:eastAsia="Arial Narrow" w:cs="Arial Narrow"/>
                <w:i w:val="0"/>
                <w:iCs w:val="0"/>
                <w:color w:val="auto"/>
                <w:sz w:val="18"/>
                <w:szCs w:val="18"/>
                <w:highlight w:val="none"/>
                <w:u w:val="none"/>
              </w:rPr>
            </w:pPr>
          </w:p>
        </w:tc>
      </w:tr>
      <w:tr w14:paraId="793086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1DAECF7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TS505-8-c</w:t>
            </w:r>
          </w:p>
        </w:tc>
        <w:tc>
          <w:tcPr>
            <w:tcW w:w="4060" w:type="dxa"/>
            <w:gridSpan w:val="2"/>
            <w:tcBorders>
              <w:top w:val="nil"/>
              <w:left w:val="nil"/>
              <w:bottom w:val="single" w:color="000000" w:sz="4" w:space="0"/>
              <w:right w:val="single" w:color="000000" w:sz="4" w:space="0"/>
            </w:tcBorders>
            <w:shd w:val="clear" w:color="auto" w:fill="FFFFFF"/>
            <w:vAlign w:val="center"/>
          </w:tcPr>
          <w:p w14:paraId="15DB7DB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环保卡口抓拍单元</w:t>
            </w:r>
          </w:p>
        </w:tc>
        <w:tc>
          <w:tcPr>
            <w:tcW w:w="1000" w:type="dxa"/>
            <w:tcBorders>
              <w:top w:val="nil"/>
              <w:left w:val="nil"/>
              <w:bottom w:val="single" w:color="000000" w:sz="4" w:space="0"/>
              <w:right w:val="single" w:color="000000" w:sz="4" w:space="0"/>
            </w:tcBorders>
            <w:shd w:val="clear" w:color="auto" w:fill="FFFFFF"/>
            <w:vAlign w:val="center"/>
          </w:tcPr>
          <w:p w14:paraId="5CBC60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593CBC75">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2</w:t>
            </w:r>
          </w:p>
        </w:tc>
        <w:tc>
          <w:tcPr>
            <w:tcW w:w="1200" w:type="dxa"/>
            <w:gridSpan w:val="2"/>
            <w:tcBorders>
              <w:top w:val="nil"/>
              <w:left w:val="nil"/>
              <w:bottom w:val="single" w:color="000000" w:sz="4" w:space="0"/>
              <w:right w:val="single" w:color="000000" w:sz="4" w:space="0"/>
            </w:tcBorders>
            <w:shd w:val="clear" w:color="auto" w:fill="FFFFFF"/>
            <w:vAlign w:val="center"/>
          </w:tcPr>
          <w:p w14:paraId="53B73341">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227469DE">
            <w:pPr>
              <w:jc w:val="right"/>
              <w:rPr>
                <w:rFonts w:hint="default" w:ascii="Arial Narrow" w:hAnsi="Arial Narrow" w:eastAsia="Arial Narrow" w:cs="Arial Narrow"/>
                <w:i w:val="0"/>
                <w:iCs w:val="0"/>
                <w:color w:val="auto"/>
                <w:sz w:val="18"/>
                <w:szCs w:val="18"/>
                <w:highlight w:val="none"/>
                <w:u w:val="none"/>
              </w:rPr>
            </w:pPr>
          </w:p>
        </w:tc>
      </w:tr>
      <w:tr w14:paraId="74C2B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186EB8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TS505-8-d</w:t>
            </w:r>
          </w:p>
        </w:tc>
        <w:tc>
          <w:tcPr>
            <w:tcW w:w="4060" w:type="dxa"/>
            <w:gridSpan w:val="2"/>
            <w:tcBorders>
              <w:top w:val="nil"/>
              <w:left w:val="nil"/>
              <w:bottom w:val="single" w:color="000000" w:sz="4" w:space="0"/>
              <w:right w:val="single" w:color="000000" w:sz="4" w:space="0"/>
            </w:tcBorders>
            <w:shd w:val="clear" w:color="auto" w:fill="FFFFFF"/>
            <w:vAlign w:val="center"/>
          </w:tcPr>
          <w:p w14:paraId="6B86B00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环保灯</w:t>
            </w:r>
          </w:p>
        </w:tc>
        <w:tc>
          <w:tcPr>
            <w:tcW w:w="1000" w:type="dxa"/>
            <w:tcBorders>
              <w:top w:val="nil"/>
              <w:left w:val="nil"/>
              <w:bottom w:val="single" w:color="000000" w:sz="4" w:space="0"/>
              <w:right w:val="single" w:color="000000" w:sz="4" w:space="0"/>
            </w:tcBorders>
            <w:shd w:val="clear" w:color="auto" w:fill="FFFFFF"/>
            <w:vAlign w:val="center"/>
          </w:tcPr>
          <w:p w14:paraId="0542E2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4D0E0A16">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4</w:t>
            </w:r>
          </w:p>
        </w:tc>
        <w:tc>
          <w:tcPr>
            <w:tcW w:w="1200" w:type="dxa"/>
            <w:gridSpan w:val="2"/>
            <w:tcBorders>
              <w:top w:val="nil"/>
              <w:left w:val="nil"/>
              <w:bottom w:val="single" w:color="000000" w:sz="4" w:space="0"/>
              <w:right w:val="single" w:color="000000" w:sz="4" w:space="0"/>
            </w:tcBorders>
            <w:shd w:val="clear" w:color="auto" w:fill="FFFFFF"/>
            <w:vAlign w:val="center"/>
          </w:tcPr>
          <w:p w14:paraId="084DC0E9">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0E88434E">
            <w:pPr>
              <w:jc w:val="right"/>
              <w:rPr>
                <w:rFonts w:hint="default" w:ascii="Arial Narrow" w:hAnsi="Arial Narrow" w:eastAsia="Arial Narrow" w:cs="Arial Narrow"/>
                <w:i w:val="0"/>
                <w:iCs w:val="0"/>
                <w:color w:val="auto"/>
                <w:sz w:val="18"/>
                <w:szCs w:val="18"/>
                <w:highlight w:val="none"/>
                <w:u w:val="none"/>
              </w:rPr>
            </w:pPr>
          </w:p>
        </w:tc>
      </w:tr>
      <w:tr w14:paraId="292F0C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4EC7F9F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TS505-9</w:t>
            </w:r>
          </w:p>
        </w:tc>
        <w:tc>
          <w:tcPr>
            <w:tcW w:w="4060" w:type="dxa"/>
            <w:gridSpan w:val="2"/>
            <w:tcBorders>
              <w:top w:val="nil"/>
              <w:left w:val="nil"/>
              <w:bottom w:val="single" w:color="000000" w:sz="4" w:space="0"/>
              <w:right w:val="single" w:color="000000" w:sz="4" w:space="0"/>
            </w:tcBorders>
            <w:shd w:val="clear" w:color="auto" w:fill="FFFFFF"/>
            <w:vAlign w:val="center"/>
          </w:tcPr>
          <w:p w14:paraId="4D28732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工业以太网交换机</w:t>
            </w:r>
          </w:p>
        </w:tc>
        <w:tc>
          <w:tcPr>
            <w:tcW w:w="1000" w:type="dxa"/>
            <w:tcBorders>
              <w:top w:val="nil"/>
              <w:left w:val="nil"/>
              <w:bottom w:val="single" w:color="000000" w:sz="4" w:space="0"/>
              <w:right w:val="single" w:color="000000" w:sz="4" w:space="0"/>
            </w:tcBorders>
            <w:shd w:val="clear" w:color="auto" w:fill="FFFFFF"/>
            <w:vAlign w:val="center"/>
          </w:tcPr>
          <w:p w14:paraId="6DD4195C">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6CAC6BC5">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1454CAEF">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7CFD9C4C">
            <w:pPr>
              <w:jc w:val="right"/>
              <w:rPr>
                <w:rFonts w:hint="default" w:ascii="Arial Narrow" w:hAnsi="Arial Narrow" w:eastAsia="Arial Narrow" w:cs="Arial Narrow"/>
                <w:i w:val="0"/>
                <w:iCs w:val="0"/>
                <w:color w:val="auto"/>
                <w:sz w:val="18"/>
                <w:szCs w:val="18"/>
                <w:highlight w:val="none"/>
                <w:u w:val="none"/>
              </w:rPr>
            </w:pPr>
          </w:p>
        </w:tc>
      </w:tr>
      <w:tr w14:paraId="321215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2C117E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TS505-9-a</w:t>
            </w:r>
          </w:p>
        </w:tc>
        <w:tc>
          <w:tcPr>
            <w:tcW w:w="4060" w:type="dxa"/>
            <w:gridSpan w:val="2"/>
            <w:tcBorders>
              <w:top w:val="nil"/>
              <w:left w:val="nil"/>
              <w:bottom w:val="single" w:color="000000" w:sz="4" w:space="0"/>
              <w:right w:val="single" w:color="000000" w:sz="4" w:space="0"/>
            </w:tcBorders>
            <w:shd w:val="clear" w:color="auto" w:fill="FFFFFF"/>
            <w:vAlign w:val="center"/>
          </w:tcPr>
          <w:p w14:paraId="6A94ECB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工业以太网交换机（2对单模千兆光口，6个千兆电口）</w:t>
            </w:r>
          </w:p>
        </w:tc>
        <w:tc>
          <w:tcPr>
            <w:tcW w:w="1000" w:type="dxa"/>
            <w:tcBorders>
              <w:top w:val="nil"/>
              <w:left w:val="nil"/>
              <w:bottom w:val="single" w:color="000000" w:sz="4" w:space="0"/>
              <w:right w:val="single" w:color="000000" w:sz="4" w:space="0"/>
            </w:tcBorders>
            <w:shd w:val="clear" w:color="auto" w:fill="FFFFFF"/>
            <w:vAlign w:val="center"/>
          </w:tcPr>
          <w:p w14:paraId="797219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2F8EC32B">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22</w:t>
            </w:r>
          </w:p>
        </w:tc>
        <w:tc>
          <w:tcPr>
            <w:tcW w:w="1200" w:type="dxa"/>
            <w:gridSpan w:val="2"/>
            <w:tcBorders>
              <w:top w:val="nil"/>
              <w:left w:val="nil"/>
              <w:bottom w:val="single" w:color="000000" w:sz="4" w:space="0"/>
              <w:right w:val="single" w:color="000000" w:sz="4" w:space="0"/>
            </w:tcBorders>
            <w:shd w:val="clear" w:color="auto" w:fill="FFFFFF"/>
            <w:vAlign w:val="center"/>
          </w:tcPr>
          <w:p w14:paraId="7B52C649">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4D9DDF26">
            <w:pPr>
              <w:jc w:val="right"/>
              <w:rPr>
                <w:rFonts w:hint="default" w:ascii="Arial Narrow" w:hAnsi="Arial Narrow" w:eastAsia="Arial Narrow" w:cs="Arial Narrow"/>
                <w:i w:val="0"/>
                <w:iCs w:val="0"/>
                <w:color w:val="auto"/>
                <w:sz w:val="18"/>
                <w:szCs w:val="18"/>
                <w:highlight w:val="none"/>
                <w:u w:val="none"/>
              </w:rPr>
            </w:pPr>
          </w:p>
        </w:tc>
      </w:tr>
      <w:tr w14:paraId="72A8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55FDDD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TS505-9-b</w:t>
            </w:r>
          </w:p>
        </w:tc>
        <w:tc>
          <w:tcPr>
            <w:tcW w:w="4060" w:type="dxa"/>
            <w:gridSpan w:val="2"/>
            <w:tcBorders>
              <w:top w:val="nil"/>
              <w:left w:val="nil"/>
              <w:bottom w:val="single" w:color="000000" w:sz="4" w:space="0"/>
              <w:right w:val="single" w:color="000000" w:sz="4" w:space="0"/>
            </w:tcBorders>
            <w:shd w:val="clear" w:color="auto" w:fill="FFFFFF"/>
            <w:vAlign w:val="center"/>
          </w:tcPr>
          <w:p w14:paraId="0A07E00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以太网交换机  2光4电</w:t>
            </w:r>
          </w:p>
        </w:tc>
        <w:tc>
          <w:tcPr>
            <w:tcW w:w="1000" w:type="dxa"/>
            <w:tcBorders>
              <w:top w:val="nil"/>
              <w:left w:val="nil"/>
              <w:bottom w:val="single" w:color="000000" w:sz="4" w:space="0"/>
              <w:right w:val="single" w:color="000000" w:sz="4" w:space="0"/>
            </w:tcBorders>
            <w:shd w:val="clear" w:color="auto" w:fill="FFFFFF"/>
            <w:vAlign w:val="center"/>
          </w:tcPr>
          <w:p w14:paraId="5ED1CA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2EEE0806">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42A66A7C">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12BB2765">
            <w:pPr>
              <w:jc w:val="right"/>
              <w:rPr>
                <w:rFonts w:hint="default" w:ascii="Arial Narrow" w:hAnsi="Arial Narrow" w:eastAsia="Arial Narrow" w:cs="Arial Narrow"/>
                <w:i w:val="0"/>
                <w:iCs w:val="0"/>
                <w:color w:val="auto"/>
                <w:sz w:val="18"/>
                <w:szCs w:val="18"/>
                <w:highlight w:val="none"/>
                <w:u w:val="none"/>
              </w:rPr>
            </w:pPr>
          </w:p>
        </w:tc>
      </w:tr>
      <w:tr w14:paraId="6619B0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1D8DB6B3">
            <w:pPr>
              <w:jc w:val="center"/>
              <w:rPr>
                <w:rFonts w:hint="eastAsia" w:ascii="宋体" w:hAnsi="宋体" w:eastAsia="宋体" w:cs="宋体"/>
                <w:i w:val="0"/>
                <w:iCs w:val="0"/>
                <w:color w:val="auto"/>
                <w:sz w:val="18"/>
                <w:szCs w:val="18"/>
                <w:highlight w:val="none"/>
                <w:u w:val="none"/>
              </w:rPr>
            </w:pPr>
          </w:p>
        </w:tc>
        <w:tc>
          <w:tcPr>
            <w:tcW w:w="4060" w:type="dxa"/>
            <w:gridSpan w:val="2"/>
            <w:tcBorders>
              <w:top w:val="nil"/>
              <w:left w:val="nil"/>
              <w:bottom w:val="single" w:color="000000" w:sz="4" w:space="0"/>
              <w:right w:val="single" w:color="000000" w:sz="4" w:space="0"/>
            </w:tcBorders>
            <w:shd w:val="clear" w:color="auto" w:fill="FFFFFF"/>
            <w:vAlign w:val="center"/>
          </w:tcPr>
          <w:p w14:paraId="2AD28A19">
            <w:pPr>
              <w:jc w:val="left"/>
              <w:rPr>
                <w:rFonts w:hint="eastAsia" w:ascii="宋体" w:hAnsi="宋体" w:eastAsia="宋体" w:cs="宋体"/>
                <w:i w:val="0"/>
                <w:iCs w:val="0"/>
                <w:color w:val="auto"/>
                <w:sz w:val="18"/>
                <w:szCs w:val="18"/>
                <w:highlight w:val="none"/>
                <w:u w:val="none"/>
              </w:rPr>
            </w:pPr>
          </w:p>
        </w:tc>
        <w:tc>
          <w:tcPr>
            <w:tcW w:w="1000" w:type="dxa"/>
            <w:tcBorders>
              <w:top w:val="nil"/>
              <w:left w:val="nil"/>
              <w:bottom w:val="single" w:color="000000" w:sz="4" w:space="0"/>
              <w:right w:val="single" w:color="000000" w:sz="4" w:space="0"/>
            </w:tcBorders>
            <w:shd w:val="clear" w:color="auto" w:fill="FFFFFF"/>
            <w:vAlign w:val="center"/>
          </w:tcPr>
          <w:p w14:paraId="1FAD589B">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657F3AC2">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12A6F334">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236BC571">
            <w:pPr>
              <w:jc w:val="right"/>
              <w:rPr>
                <w:rFonts w:hint="default" w:ascii="Arial Narrow" w:hAnsi="Arial Narrow" w:eastAsia="Arial Narrow" w:cs="Arial Narrow"/>
                <w:i w:val="0"/>
                <w:iCs w:val="0"/>
                <w:color w:val="auto"/>
                <w:sz w:val="18"/>
                <w:szCs w:val="18"/>
                <w:highlight w:val="none"/>
                <w:u w:val="none"/>
              </w:rPr>
            </w:pPr>
          </w:p>
        </w:tc>
      </w:tr>
    </w:tbl>
    <w:p w14:paraId="64DAE868">
      <w:pPr>
        <w:pStyle w:val="16"/>
        <w:ind w:left="0" w:leftChars="0" w:firstLine="0" w:firstLineChars="0"/>
        <w:rPr>
          <w:rFonts w:hint="eastAsia"/>
          <w:color w:val="auto"/>
          <w:highlight w:val="none"/>
          <w:lang w:val="en-US" w:eastAsia="zh-CN"/>
        </w:rPr>
      </w:pPr>
    </w:p>
    <w:p w14:paraId="328F784F">
      <w:pPr>
        <w:rPr>
          <w:rFonts w:hint="eastAsia"/>
          <w:color w:val="auto"/>
          <w:highlight w:val="none"/>
          <w:lang w:val="en-US" w:eastAsia="zh-CN"/>
        </w:rPr>
      </w:pPr>
      <w:r>
        <w:rPr>
          <w:rFonts w:hint="eastAsia"/>
          <w:color w:val="auto"/>
          <w:highlight w:val="none"/>
          <w:lang w:val="en-US" w:eastAsia="zh-CN"/>
        </w:rPr>
        <w:br w:type="page"/>
      </w:r>
    </w:p>
    <w:tbl>
      <w:tblPr>
        <w:tblStyle w:val="23"/>
        <w:tblW w:w="96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16"/>
        <w:gridCol w:w="2429"/>
        <w:gridCol w:w="1572"/>
        <w:gridCol w:w="985"/>
        <w:gridCol w:w="785"/>
        <w:gridCol w:w="397"/>
        <w:gridCol w:w="593"/>
        <w:gridCol w:w="594"/>
        <w:gridCol w:w="395"/>
        <w:gridCol w:w="794"/>
      </w:tblGrid>
      <w:tr w14:paraId="514457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9660" w:type="dxa"/>
            <w:gridSpan w:val="10"/>
            <w:tcBorders>
              <w:top w:val="nil"/>
              <w:left w:val="nil"/>
              <w:bottom w:val="nil"/>
              <w:right w:val="nil"/>
            </w:tcBorders>
            <w:shd w:val="clear" w:color="auto" w:fill="FFFFFF"/>
            <w:vAlign w:val="top"/>
          </w:tcPr>
          <w:p w14:paraId="5C234FA6">
            <w:pPr>
              <w:keepNext w:val="0"/>
              <w:keepLines w:val="0"/>
              <w:widowControl/>
              <w:suppressLineNumbers w:val="0"/>
              <w:jc w:val="center"/>
              <w:textAlignment w:val="top"/>
              <w:rPr>
                <w:rFonts w:hint="eastAsia" w:ascii="宋体" w:hAnsi="宋体" w:eastAsia="宋体" w:cs="宋体"/>
                <w:b/>
                <w:bCs/>
                <w:i w:val="0"/>
                <w:iCs w:val="0"/>
                <w:color w:val="auto"/>
                <w:sz w:val="36"/>
                <w:szCs w:val="36"/>
                <w:highlight w:val="none"/>
                <w:u w:val="none"/>
              </w:rPr>
            </w:pPr>
            <w:r>
              <w:rPr>
                <w:rFonts w:hint="eastAsia" w:ascii="宋体" w:hAnsi="宋体" w:eastAsia="宋体" w:cs="宋体"/>
                <w:b/>
                <w:bCs/>
                <w:i w:val="0"/>
                <w:iCs w:val="0"/>
                <w:color w:val="auto"/>
                <w:kern w:val="0"/>
                <w:sz w:val="36"/>
                <w:szCs w:val="36"/>
                <w:highlight w:val="none"/>
                <w:u w:val="none"/>
                <w:lang w:val="en-US" w:eastAsia="zh-CN" w:bidi="ar"/>
              </w:rPr>
              <w:t>工程细目工程量清单</w:t>
            </w:r>
          </w:p>
        </w:tc>
      </w:tr>
      <w:tr w14:paraId="22D0FA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9660" w:type="dxa"/>
            <w:gridSpan w:val="10"/>
            <w:tcBorders>
              <w:top w:val="nil"/>
              <w:left w:val="nil"/>
              <w:bottom w:val="nil"/>
              <w:right w:val="nil"/>
            </w:tcBorders>
            <w:shd w:val="clear" w:color="auto" w:fill="FFFFFF"/>
            <w:vAlign w:val="center"/>
          </w:tcPr>
          <w:p w14:paraId="6FA23D46">
            <w:pPr>
              <w:jc w:val="right"/>
              <w:rPr>
                <w:rFonts w:hint="eastAsia" w:ascii="宋体" w:hAnsi="宋体" w:eastAsia="宋体" w:cs="宋体"/>
                <w:i w:val="0"/>
                <w:iCs w:val="0"/>
                <w:color w:val="auto"/>
                <w:sz w:val="18"/>
                <w:szCs w:val="18"/>
                <w:highlight w:val="none"/>
                <w:u w:val="none"/>
              </w:rPr>
            </w:pPr>
          </w:p>
        </w:tc>
      </w:tr>
      <w:tr w14:paraId="5EBCB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3460" w:type="dxa"/>
            <w:gridSpan w:val="2"/>
            <w:tcBorders>
              <w:top w:val="nil"/>
              <w:left w:val="nil"/>
              <w:bottom w:val="nil"/>
              <w:right w:val="nil"/>
            </w:tcBorders>
            <w:shd w:val="clear" w:color="auto" w:fill="FFFFFF"/>
            <w:vAlign w:val="center"/>
          </w:tcPr>
          <w:p w14:paraId="5424661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项目名称：2026年新昌县G104京岚线关岭隧道上行维修加固工程</w:t>
            </w:r>
          </w:p>
        </w:tc>
        <w:tc>
          <w:tcPr>
            <w:tcW w:w="3400" w:type="dxa"/>
            <w:gridSpan w:val="3"/>
            <w:tcBorders>
              <w:top w:val="nil"/>
              <w:left w:val="nil"/>
              <w:bottom w:val="nil"/>
              <w:right w:val="nil"/>
            </w:tcBorders>
            <w:shd w:val="clear" w:color="auto" w:fill="FFFFFF"/>
            <w:vAlign w:val="center"/>
          </w:tcPr>
          <w:p w14:paraId="0BC1584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合同段：2026年新昌县G104京岚线关岭隧道上行维修加固工程</w:t>
            </w:r>
          </w:p>
        </w:tc>
        <w:tc>
          <w:tcPr>
            <w:tcW w:w="1000" w:type="dxa"/>
            <w:gridSpan w:val="2"/>
            <w:tcBorders>
              <w:top w:val="nil"/>
              <w:left w:val="nil"/>
              <w:bottom w:val="nil"/>
              <w:right w:val="nil"/>
            </w:tcBorders>
            <w:shd w:val="clear" w:color="auto" w:fill="FFFFFF"/>
            <w:vAlign w:val="center"/>
          </w:tcPr>
          <w:p w14:paraId="64D35D2E">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第 8 页</w:t>
            </w:r>
          </w:p>
        </w:tc>
        <w:tc>
          <w:tcPr>
            <w:tcW w:w="1000" w:type="dxa"/>
            <w:gridSpan w:val="2"/>
            <w:tcBorders>
              <w:top w:val="nil"/>
              <w:left w:val="nil"/>
              <w:bottom w:val="nil"/>
              <w:right w:val="nil"/>
            </w:tcBorders>
            <w:shd w:val="clear" w:color="auto" w:fill="FFFFFF"/>
            <w:vAlign w:val="center"/>
          </w:tcPr>
          <w:p w14:paraId="44DAC02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共 11 页</w:t>
            </w:r>
          </w:p>
        </w:tc>
        <w:tc>
          <w:tcPr>
            <w:tcW w:w="800" w:type="dxa"/>
            <w:tcBorders>
              <w:top w:val="nil"/>
              <w:left w:val="nil"/>
              <w:bottom w:val="nil"/>
              <w:right w:val="nil"/>
            </w:tcBorders>
            <w:shd w:val="clear" w:color="auto" w:fill="FFFFFF"/>
            <w:vAlign w:val="center"/>
          </w:tcPr>
          <w:p w14:paraId="24C4A138">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表4</w:t>
            </w:r>
          </w:p>
        </w:tc>
      </w:tr>
      <w:tr w14:paraId="6F7F44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9660" w:type="dxa"/>
            <w:gridSpan w:val="10"/>
            <w:tcBorders>
              <w:top w:val="single" w:color="000000" w:sz="8" w:space="0"/>
              <w:left w:val="single" w:color="000000" w:sz="8" w:space="0"/>
              <w:bottom w:val="single" w:color="000000" w:sz="4" w:space="0"/>
              <w:right w:val="single" w:color="000000" w:sz="8" w:space="0"/>
            </w:tcBorders>
            <w:shd w:val="clear" w:color="auto" w:fill="FFFFFF"/>
            <w:vAlign w:val="center"/>
          </w:tcPr>
          <w:p w14:paraId="263254A3">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机电工程</w:t>
            </w:r>
          </w:p>
        </w:tc>
      </w:tr>
      <w:tr w14:paraId="7B9752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361AE93E">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细目号</w:t>
            </w:r>
          </w:p>
        </w:tc>
        <w:tc>
          <w:tcPr>
            <w:tcW w:w="4060" w:type="dxa"/>
            <w:gridSpan w:val="2"/>
            <w:tcBorders>
              <w:top w:val="nil"/>
              <w:left w:val="nil"/>
              <w:bottom w:val="single" w:color="000000" w:sz="4" w:space="0"/>
              <w:right w:val="single" w:color="000000" w:sz="4" w:space="0"/>
            </w:tcBorders>
            <w:shd w:val="clear" w:color="auto" w:fill="FFFFFF"/>
            <w:vAlign w:val="center"/>
          </w:tcPr>
          <w:p w14:paraId="2F41DAF0">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细目名称</w:t>
            </w:r>
          </w:p>
        </w:tc>
        <w:tc>
          <w:tcPr>
            <w:tcW w:w="1000" w:type="dxa"/>
            <w:tcBorders>
              <w:top w:val="nil"/>
              <w:left w:val="nil"/>
              <w:bottom w:val="single" w:color="000000" w:sz="4" w:space="0"/>
              <w:right w:val="single" w:color="000000" w:sz="4" w:space="0"/>
            </w:tcBorders>
            <w:shd w:val="clear" w:color="auto" w:fill="FFFFFF"/>
            <w:vAlign w:val="center"/>
          </w:tcPr>
          <w:p w14:paraId="46F33957">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计量单位</w:t>
            </w:r>
          </w:p>
        </w:tc>
        <w:tc>
          <w:tcPr>
            <w:tcW w:w="1200" w:type="dxa"/>
            <w:gridSpan w:val="2"/>
            <w:tcBorders>
              <w:top w:val="nil"/>
              <w:left w:val="nil"/>
              <w:bottom w:val="single" w:color="000000" w:sz="4" w:space="0"/>
              <w:right w:val="single" w:color="000000" w:sz="4" w:space="0"/>
            </w:tcBorders>
            <w:shd w:val="clear" w:color="auto" w:fill="FFFFFF"/>
            <w:vAlign w:val="center"/>
          </w:tcPr>
          <w:p w14:paraId="57D75466">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工程数量</w:t>
            </w:r>
          </w:p>
        </w:tc>
        <w:tc>
          <w:tcPr>
            <w:tcW w:w="1200" w:type="dxa"/>
            <w:gridSpan w:val="2"/>
            <w:tcBorders>
              <w:top w:val="nil"/>
              <w:left w:val="nil"/>
              <w:bottom w:val="single" w:color="000000" w:sz="4" w:space="0"/>
              <w:right w:val="single" w:color="000000" w:sz="4" w:space="0"/>
            </w:tcBorders>
            <w:shd w:val="clear" w:color="auto" w:fill="FFFFFF"/>
            <w:vAlign w:val="center"/>
          </w:tcPr>
          <w:p w14:paraId="12436B4D">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单价（元）</w:t>
            </w:r>
          </w:p>
        </w:tc>
        <w:tc>
          <w:tcPr>
            <w:tcW w:w="1200" w:type="dxa"/>
            <w:gridSpan w:val="2"/>
            <w:tcBorders>
              <w:top w:val="nil"/>
              <w:left w:val="nil"/>
              <w:bottom w:val="single" w:color="000000" w:sz="4" w:space="0"/>
              <w:right w:val="single" w:color="000000" w:sz="8" w:space="0"/>
            </w:tcBorders>
            <w:shd w:val="clear" w:color="auto" w:fill="FFFFFF"/>
            <w:vAlign w:val="center"/>
          </w:tcPr>
          <w:p w14:paraId="62CA58EB">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合价（元）</w:t>
            </w:r>
          </w:p>
        </w:tc>
      </w:tr>
      <w:tr w14:paraId="121DDC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7F1D001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TS505-9-c</w:t>
            </w:r>
          </w:p>
        </w:tc>
        <w:tc>
          <w:tcPr>
            <w:tcW w:w="4060" w:type="dxa"/>
            <w:gridSpan w:val="2"/>
            <w:tcBorders>
              <w:top w:val="nil"/>
              <w:left w:val="nil"/>
              <w:bottom w:val="single" w:color="000000" w:sz="4" w:space="0"/>
              <w:right w:val="single" w:color="000000" w:sz="4" w:space="0"/>
            </w:tcBorders>
            <w:shd w:val="clear" w:color="auto" w:fill="FFFFFF"/>
            <w:vAlign w:val="center"/>
          </w:tcPr>
          <w:p w14:paraId="59F03BB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工业环网交换机</w:t>
            </w:r>
          </w:p>
        </w:tc>
        <w:tc>
          <w:tcPr>
            <w:tcW w:w="1000" w:type="dxa"/>
            <w:tcBorders>
              <w:top w:val="nil"/>
              <w:left w:val="nil"/>
              <w:bottom w:val="single" w:color="000000" w:sz="4" w:space="0"/>
              <w:right w:val="single" w:color="000000" w:sz="4" w:space="0"/>
            </w:tcBorders>
            <w:shd w:val="clear" w:color="auto" w:fill="FFFFFF"/>
            <w:vAlign w:val="center"/>
          </w:tcPr>
          <w:p w14:paraId="639D0D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5E6A71B2">
            <w:pPr>
              <w:keepNext w:val="0"/>
              <w:keepLines w:val="0"/>
              <w:widowControl/>
              <w:suppressLineNumbers w:val="0"/>
              <w:jc w:val="right"/>
              <w:textAlignment w:val="center"/>
              <w:rPr>
                <w:rFonts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14</w:t>
            </w:r>
          </w:p>
        </w:tc>
        <w:tc>
          <w:tcPr>
            <w:tcW w:w="1200" w:type="dxa"/>
            <w:gridSpan w:val="2"/>
            <w:tcBorders>
              <w:top w:val="nil"/>
              <w:left w:val="nil"/>
              <w:bottom w:val="single" w:color="000000" w:sz="4" w:space="0"/>
              <w:right w:val="single" w:color="000000" w:sz="4" w:space="0"/>
            </w:tcBorders>
            <w:shd w:val="clear" w:color="auto" w:fill="FFFFFF"/>
            <w:vAlign w:val="center"/>
          </w:tcPr>
          <w:p w14:paraId="5804676A">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7D855790">
            <w:pPr>
              <w:jc w:val="right"/>
              <w:rPr>
                <w:rFonts w:hint="default" w:ascii="Arial Narrow" w:hAnsi="Arial Narrow" w:eastAsia="Arial Narrow" w:cs="Arial Narrow"/>
                <w:i w:val="0"/>
                <w:iCs w:val="0"/>
                <w:color w:val="auto"/>
                <w:sz w:val="18"/>
                <w:szCs w:val="18"/>
                <w:highlight w:val="none"/>
                <w:u w:val="none"/>
              </w:rPr>
            </w:pPr>
          </w:p>
        </w:tc>
      </w:tr>
      <w:tr w14:paraId="056AFA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56739A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TS505-11</w:t>
            </w:r>
          </w:p>
        </w:tc>
        <w:tc>
          <w:tcPr>
            <w:tcW w:w="4060" w:type="dxa"/>
            <w:gridSpan w:val="2"/>
            <w:tcBorders>
              <w:top w:val="nil"/>
              <w:left w:val="nil"/>
              <w:bottom w:val="single" w:color="000000" w:sz="4" w:space="0"/>
              <w:right w:val="single" w:color="000000" w:sz="4" w:space="0"/>
            </w:tcBorders>
            <w:shd w:val="clear" w:color="auto" w:fill="FFFFFF"/>
            <w:vAlign w:val="center"/>
          </w:tcPr>
          <w:p w14:paraId="42F746C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车型识别设备</w:t>
            </w:r>
          </w:p>
        </w:tc>
        <w:tc>
          <w:tcPr>
            <w:tcW w:w="1000" w:type="dxa"/>
            <w:tcBorders>
              <w:top w:val="nil"/>
              <w:left w:val="nil"/>
              <w:bottom w:val="single" w:color="000000" w:sz="4" w:space="0"/>
              <w:right w:val="single" w:color="000000" w:sz="4" w:space="0"/>
            </w:tcBorders>
            <w:shd w:val="clear" w:color="auto" w:fill="FFFFFF"/>
            <w:vAlign w:val="center"/>
          </w:tcPr>
          <w:p w14:paraId="0A8159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0B5D21C6">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2</w:t>
            </w:r>
          </w:p>
        </w:tc>
        <w:tc>
          <w:tcPr>
            <w:tcW w:w="1200" w:type="dxa"/>
            <w:gridSpan w:val="2"/>
            <w:tcBorders>
              <w:top w:val="nil"/>
              <w:left w:val="nil"/>
              <w:bottom w:val="single" w:color="000000" w:sz="4" w:space="0"/>
              <w:right w:val="single" w:color="000000" w:sz="4" w:space="0"/>
            </w:tcBorders>
            <w:shd w:val="clear" w:color="auto" w:fill="FFFFFF"/>
            <w:vAlign w:val="center"/>
          </w:tcPr>
          <w:p w14:paraId="7443B936">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585A57B4">
            <w:pPr>
              <w:jc w:val="right"/>
              <w:rPr>
                <w:rFonts w:hint="default" w:ascii="Arial Narrow" w:hAnsi="Arial Narrow" w:eastAsia="Arial Narrow" w:cs="Arial Narrow"/>
                <w:i w:val="0"/>
                <w:iCs w:val="0"/>
                <w:color w:val="auto"/>
                <w:sz w:val="18"/>
                <w:szCs w:val="18"/>
                <w:highlight w:val="none"/>
                <w:u w:val="none"/>
              </w:rPr>
            </w:pPr>
          </w:p>
        </w:tc>
      </w:tr>
      <w:tr w14:paraId="098741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32C4B2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TS505-12</w:t>
            </w:r>
          </w:p>
        </w:tc>
        <w:tc>
          <w:tcPr>
            <w:tcW w:w="4060" w:type="dxa"/>
            <w:gridSpan w:val="2"/>
            <w:tcBorders>
              <w:top w:val="nil"/>
              <w:left w:val="nil"/>
              <w:bottom w:val="single" w:color="000000" w:sz="4" w:space="0"/>
              <w:right w:val="single" w:color="000000" w:sz="4" w:space="0"/>
            </w:tcBorders>
            <w:shd w:val="clear" w:color="auto" w:fill="FFFFFF"/>
            <w:vAlign w:val="center"/>
          </w:tcPr>
          <w:p w14:paraId="10AC812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光缆</w:t>
            </w:r>
          </w:p>
        </w:tc>
        <w:tc>
          <w:tcPr>
            <w:tcW w:w="1000" w:type="dxa"/>
            <w:tcBorders>
              <w:top w:val="nil"/>
              <w:left w:val="nil"/>
              <w:bottom w:val="single" w:color="000000" w:sz="4" w:space="0"/>
              <w:right w:val="single" w:color="000000" w:sz="4" w:space="0"/>
            </w:tcBorders>
            <w:shd w:val="clear" w:color="auto" w:fill="FFFFFF"/>
            <w:vAlign w:val="center"/>
          </w:tcPr>
          <w:p w14:paraId="31770748">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6F7EE1FC">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401C26F8">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33BFE1DC">
            <w:pPr>
              <w:jc w:val="right"/>
              <w:rPr>
                <w:rFonts w:hint="default" w:ascii="Arial Narrow" w:hAnsi="Arial Narrow" w:eastAsia="Arial Narrow" w:cs="Arial Narrow"/>
                <w:i w:val="0"/>
                <w:iCs w:val="0"/>
                <w:color w:val="auto"/>
                <w:sz w:val="18"/>
                <w:szCs w:val="18"/>
                <w:highlight w:val="none"/>
                <w:u w:val="none"/>
              </w:rPr>
            </w:pPr>
          </w:p>
        </w:tc>
      </w:tr>
      <w:tr w14:paraId="649466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470410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TS505-12-a</w:t>
            </w:r>
          </w:p>
        </w:tc>
        <w:tc>
          <w:tcPr>
            <w:tcW w:w="4060" w:type="dxa"/>
            <w:gridSpan w:val="2"/>
            <w:tcBorders>
              <w:top w:val="nil"/>
              <w:left w:val="nil"/>
              <w:bottom w:val="single" w:color="000000" w:sz="4" w:space="0"/>
              <w:right w:val="single" w:color="000000" w:sz="4" w:space="0"/>
            </w:tcBorders>
            <w:shd w:val="clear" w:color="auto" w:fill="FFFFFF"/>
            <w:vAlign w:val="center"/>
          </w:tcPr>
          <w:p w14:paraId="56E1AEE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六类网线</w:t>
            </w:r>
          </w:p>
        </w:tc>
        <w:tc>
          <w:tcPr>
            <w:tcW w:w="1000" w:type="dxa"/>
            <w:tcBorders>
              <w:top w:val="nil"/>
              <w:left w:val="nil"/>
              <w:bottom w:val="single" w:color="000000" w:sz="4" w:space="0"/>
              <w:right w:val="single" w:color="000000" w:sz="4" w:space="0"/>
            </w:tcBorders>
            <w:shd w:val="clear" w:color="auto" w:fill="FFFFFF"/>
            <w:vAlign w:val="center"/>
          </w:tcPr>
          <w:p w14:paraId="370E5B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200" w:type="dxa"/>
            <w:gridSpan w:val="2"/>
            <w:tcBorders>
              <w:top w:val="nil"/>
              <w:left w:val="nil"/>
              <w:bottom w:val="single" w:color="000000" w:sz="4" w:space="0"/>
              <w:right w:val="single" w:color="000000" w:sz="4" w:space="0"/>
            </w:tcBorders>
            <w:shd w:val="clear" w:color="auto" w:fill="FFFFFF"/>
            <w:vAlign w:val="center"/>
          </w:tcPr>
          <w:p w14:paraId="746DF658">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800</w:t>
            </w:r>
          </w:p>
        </w:tc>
        <w:tc>
          <w:tcPr>
            <w:tcW w:w="1200" w:type="dxa"/>
            <w:gridSpan w:val="2"/>
            <w:tcBorders>
              <w:top w:val="nil"/>
              <w:left w:val="nil"/>
              <w:bottom w:val="single" w:color="000000" w:sz="4" w:space="0"/>
              <w:right w:val="single" w:color="000000" w:sz="4" w:space="0"/>
            </w:tcBorders>
            <w:shd w:val="clear" w:color="auto" w:fill="FFFFFF"/>
            <w:vAlign w:val="center"/>
          </w:tcPr>
          <w:p w14:paraId="5C41FBBF">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4BECC108">
            <w:pPr>
              <w:jc w:val="right"/>
              <w:rPr>
                <w:rFonts w:hint="default" w:ascii="Arial Narrow" w:hAnsi="Arial Narrow" w:eastAsia="Arial Narrow" w:cs="Arial Narrow"/>
                <w:i w:val="0"/>
                <w:iCs w:val="0"/>
                <w:color w:val="auto"/>
                <w:sz w:val="18"/>
                <w:szCs w:val="18"/>
                <w:highlight w:val="none"/>
                <w:u w:val="none"/>
              </w:rPr>
            </w:pPr>
          </w:p>
        </w:tc>
      </w:tr>
      <w:tr w14:paraId="360C7F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2EF859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TS505-12-b</w:t>
            </w:r>
          </w:p>
        </w:tc>
        <w:tc>
          <w:tcPr>
            <w:tcW w:w="4060" w:type="dxa"/>
            <w:gridSpan w:val="2"/>
            <w:tcBorders>
              <w:top w:val="nil"/>
              <w:left w:val="nil"/>
              <w:bottom w:val="single" w:color="000000" w:sz="4" w:space="0"/>
              <w:right w:val="single" w:color="000000" w:sz="4" w:space="0"/>
            </w:tcBorders>
            <w:shd w:val="clear" w:color="auto" w:fill="FFFFFF"/>
            <w:vAlign w:val="center"/>
          </w:tcPr>
          <w:p w14:paraId="3660621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铠装8芯光缆</w:t>
            </w:r>
          </w:p>
        </w:tc>
        <w:tc>
          <w:tcPr>
            <w:tcW w:w="1000" w:type="dxa"/>
            <w:tcBorders>
              <w:top w:val="nil"/>
              <w:left w:val="nil"/>
              <w:bottom w:val="single" w:color="000000" w:sz="4" w:space="0"/>
              <w:right w:val="single" w:color="000000" w:sz="4" w:space="0"/>
            </w:tcBorders>
            <w:shd w:val="clear" w:color="auto" w:fill="FFFFFF"/>
            <w:vAlign w:val="center"/>
          </w:tcPr>
          <w:p w14:paraId="4BDDE90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200" w:type="dxa"/>
            <w:gridSpan w:val="2"/>
            <w:tcBorders>
              <w:top w:val="nil"/>
              <w:left w:val="nil"/>
              <w:bottom w:val="single" w:color="000000" w:sz="4" w:space="0"/>
              <w:right w:val="single" w:color="000000" w:sz="4" w:space="0"/>
            </w:tcBorders>
            <w:shd w:val="clear" w:color="auto" w:fill="FFFFFF"/>
            <w:vAlign w:val="center"/>
          </w:tcPr>
          <w:p w14:paraId="309D2B56">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1200</w:t>
            </w:r>
          </w:p>
        </w:tc>
        <w:tc>
          <w:tcPr>
            <w:tcW w:w="1200" w:type="dxa"/>
            <w:gridSpan w:val="2"/>
            <w:tcBorders>
              <w:top w:val="nil"/>
              <w:left w:val="nil"/>
              <w:bottom w:val="single" w:color="000000" w:sz="4" w:space="0"/>
              <w:right w:val="single" w:color="000000" w:sz="4" w:space="0"/>
            </w:tcBorders>
            <w:shd w:val="clear" w:color="auto" w:fill="FFFFFF"/>
            <w:vAlign w:val="center"/>
          </w:tcPr>
          <w:p w14:paraId="51E2F326">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4681EF3D">
            <w:pPr>
              <w:jc w:val="right"/>
              <w:rPr>
                <w:rFonts w:hint="default" w:ascii="Arial Narrow" w:hAnsi="Arial Narrow" w:eastAsia="Arial Narrow" w:cs="Arial Narrow"/>
                <w:i w:val="0"/>
                <w:iCs w:val="0"/>
                <w:color w:val="auto"/>
                <w:sz w:val="18"/>
                <w:szCs w:val="18"/>
                <w:highlight w:val="none"/>
                <w:u w:val="none"/>
              </w:rPr>
            </w:pPr>
          </w:p>
        </w:tc>
      </w:tr>
      <w:tr w14:paraId="3CF5D2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530032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TS505-12-c</w:t>
            </w:r>
          </w:p>
        </w:tc>
        <w:tc>
          <w:tcPr>
            <w:tcW w:w="4060" w:type="dxa"/>
            <w:gridSpan w:val="2"/>
            <w:tcBorders>
              <w:top w:val="nil"/>
              <w:left w:val="nil"/>
              <w:bottom w:val="single" w:color="000000" w:sz="4" w:space="0"/>
              <w:right w:val="single" w:color="000000" w:sz="4" w:space="0"/>
            </w:tcBorders>
            <w:shd w:val="clear" w:color="auto" w:fill="FFFFFF"/>
            <w:vAlign w:val="center"/>
          </w:tcPr>
          <w:p w14:paraId="7646AA7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单模光缆 4芯</w:t>
            </w:r>
          </w:p>
        </w:tc>
        <w:tc>
          <w:tcPr>
            <w:tcW w:w="1000" w:type="dxa"/>
            <w:tcBorders>
              <w:top w:val="nil"/>
              <w:left w:val="nil"/>
              <w:bottom w:val="single" w:color="000000" w:sz="4" w:space="0"/>
              <w:right w:val="single" w:color="000000" w:sz="4" w:space="0"/>
            </w:tcBorders>
            <w:shd w:val="clear" w:color="auto" w:fill="FFFFFF"/>
            <w:vAlign w:val="center"/>
          </w:tcPr>
          <w:p w14:paraId="2B79B2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200" w:type="dxa"/>
            <w:gridSpan w:val="2"/>
            <w:tcBorders>
              <w:top w:val="nil"/>
              <w:left w:val="nil"/>
              <w:bottom w:val="single" w:color="000000" w:sz="4" w:space="0"/>
              <w:right w:val="single" w:color="000000" w:sz="4" w:space="0"/>
            </w:tcBorders>
            <w:shd w:val="clear" w:color="auto" w:fill="FFFFFF"/>
            <w:vAlign w:val="center"/>
          </w:tcPr>
          <w:p w14:paraId="7239F32C">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2480</w:t>
            </w:r>
          </w:p>
        </w:tc>
        <w:tc>
          <w:tcPr>
            <w:tcW w:w="1200" w:type="dxa"/>
            <w:gridSpan w:val="2"/>
            <w:tcBorders>
              <w:top w:val="nil"/>
              <w:left w:val="nil"/>
              <w:bottom w:val="single" w:color="000000" w:sz="4" w:space="0"/>
              <w:right w:val="single" w:color="000000" w:sz="4" w:space="0"/>
            </w:tcBorders>
            <w:shd w:val="clear" w:color="auto" w:fill="FFFFFF"/>
            <w:vAlign w:val="center"/>
          </w:tcPr>
          <w:p w14:paraId="4B197175">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2CFC7C8D">
            <w:pPr>
              <w:jc w:val="right"/>
              <w:rPr>
                <w:rFonts w:hint="default" w:ascii="Arial Narrow" w:hAnsi="Arial Narrow" w:eastAsia="Arial Narrow" w:cs="Arial Narrow"/>
                <w:i w:val="0"/>
                <w:iCs w:val="0"/>
                <w:color w:val="auto"/>
                <w:sz w:val="18"/>
                <w:szCs w:val="18"/>
                <w:highlight w:val="none"/>
                <w:u w:val="none"/>
              </w:rPr>
            </w:pPr>
          </w:p>
        </w:tc>
      </w:tr>
      <w:tr w14:paraId="31E582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52DF1C8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TS505-12-d</w:t>
            </w:r>
          </w:p>
        </w:tc>
        <w:tc>
          <w:tcPr>
            <w:tcW w:w="4060" w:type="dxa"/>
            <w:gridSpan w:val="2"/>
            <w:tcBorders>
              <w:top w:val="nil"/>
              <w:left w:val="nil"/>
              <w:bottom w:val="single" w:color="000000" w:sz="4" w:space="0"/>
              <w:right w:val="single" w:color="000000" w:sz="4" w:space="0"/>
            </w:tcBorders>
            <w:shd w:val="clear" w:color="auto" w:fill="FFFFFF"/>
            <w:vAlign w:val="center"/>
          </w:tcPr>
          <w:p w14:paraId="76D8B6C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通信电缆 NH-DJYPV-2*2*1.5</w:t>
            </w:r>
          </w:p>
        </w:tc>
        <w:tc>
          <w:tcPr>
            <w:tcW w:w="1000" w:type="dxa"/>
            <w:tcBorders>
              <w:top w:val="nil"/>
              <w:left w:val="nil"/>
              <w:bottom w:val="single" w:color="000000" w:sz="4" w:space="0"/>
              <w:right w:val="single" w:color="000000" w:sz="4" w:space="0"/>
            </w:tcBorders>
            <w:shd w:val="clear" w:color="auto" w:fill="FFFFFF"/>
            <w:vAlign w:val="center"/>
          </w:tcPr>
          <w:p w14:paraId="3EC1C3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200" w:type="dxa"/>
            <w:gridSpan w:val="2"/>
            <w:tcBorders>
              <w:top w:val="nil"/>
              <w:left w:val="nil"/>
              <w:bottom w:val="single" w:color="000000" w:sz="4" w:space="0"/>
              <w:right w:val="single" w:color="000000" w:sz="4" w:space="0"/>
            </w:tcBorders>
            <w:shd w:val="clear" w:color="auto" w:fill="FFFFFF"/>
            <w:vAlign w:val="center"/>
          </w:tcPr>
          <w:p w14:paraId="14287A99">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800</w:t>
            </w:r>
          </w:p>
        </w:tc>
        <w:tc>
          <w:tcPr>
            <w:tcW w:w="1200" w:type="dxa"/>
            <w:gridSpan w:val="2"/>
            <w:tcBorders>
              <w:top w:val="nil"/>
              <w:left w:val="nil"/>
              <w:bottom w:val="single" w:color="000000" w:sz="4" w:space="0"/>
              <w:right w:val="single" w:color="000000" w:sz="4" w:space="0"/>
            </w:tcBorders>
            <w:shd w:val="clear" w:color="auto" w:fill="FFFFFF"/>
            <w:vAlign w:val="center"/>
          </w:tcPr>
          <w:p w14:paraId="161F08CD">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51C05E90">
            <w:pPr>
              <w:jc w:val="right"/>
              <w:rPr>
                <w:rFonts w:hint="default" w:ascii="Arial Narrow" w:hAnsi="Arial Narrow" w:eastAsia="Arial Narrow" w:cs="Arial Narrow"/>
                <w:i w:val="0"/>
                <w:iCs w:val="0"/>
                <w:color w:val="auto"/>
                <w:sz w:val="18"/>
                <w:szCs w:val="18"/>
                <w:highlight w:val="none"/>
                <w:u w:val="none"/>
              </w:rPr>
            </w:pPr>
          </w:p>
        </w:tc>
      </w:tr>
      <w:tr w14:paraId="3BAEAC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63C7F9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TS505-13</w:t>
            </w:r>
          </w:p>
        </w:tc>
        <w:tc>
          <w:tcPr>
            <w:tcW w:w="4060" w:type="dxa"/>
            <w:gridSpan w:val="2"/>
            <w:tcBorders>
              <w:top w:val="nil"/>
              <w:left w:val="nil"/>
              <w:bottom w:val="single" w:color="000000" w:sz="4" w:space="0"/>
              <w:right w:val="single" w:color="000000" w:sz="4" w:space="0"/>
            </w:tcBorders>
            <w:shd w:val="clear" w:color="auto" w:fill="FFFFFF"/>
            <w:vAlign w:val="center"/>
          </w:tcPr>
          <w:p w14:paraId="08934A0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控制电缆</w:t>
            </w:r>
          </w:p>
        </w:tc>
        <w:tc>
          <w:tcPr>
            <w:tcW w:w="1000" w:type="dxa"/>
            <w:tcBorders>
              <w:top w:val="nil"/>
              <w:left w:val="nil"/>
              <w:bottom w:val="single" w:color="000000" w:sz="4" w:space="0"/>
              <w:right w:val="single" w:color="000000" w:sz="4" w:space="0"/>
            </w:tcBorders>
            <w:shd w:val="clear" w:color="auto" w:fill="FFFFFF"/>
            <w:vAlign w:val="center"/>
          </w:tcPr>
          <w:p w14:paraId="4392FD89">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73BE968F">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1761E7C3">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7831D392">
            <w:pPr>
              <w:jc w:val="right"/>
              <w:rPr>
                <w:rFonts w:hint="default" w:ascii="Arial Narrow" w:hAnsi="Arial Narrow" w:eastAsia="Arial Narrow" w:cs="Arial Narrow"/>
                <w:i w:val="0"/>
                <w:iCs w:val="0"/>
                <w:color w:val="auto"/>
                <w:sz w:val="18"/>
                <w:szCs w:val="18"/>
                <w:highlight w:val="none"/>
                <w:u w:val="none"/>
              </w:rPr>
            </w:pPr>
          </w:p>
        </w:tc>
      </w:tr>
      <w:tr w14:paraId="48B3C5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5C400F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TS505-13-a</w:t>
            </w:r>
          </w:p>
        </w:tc>
        <w:tc>
          <w:tcPr>
            <w:tcW w:w="4060" w:type="dxa"/>
            <w:gridSpan w:val="2"/>
            <w:tcBorders>
              <w:top w:val="nil"/>
              <w:left w:val="nil"/>
              <w:bottom w:val="single" w:color="000000" w:sz="4" w:space="0"/>
              <w:right w:val="single" w:color="000000" w:sz="4" w:space="0"/>
            </w:tcBorders>
            <w:shd w:val="clear" w:color="auto" w:fill="FFFFFF"/>
            <w:vAlign w:val="center"/>
          </w:tcPr>
          <w:p w14:paraId="374E301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控制电缆 NH-KVVRP-3*2.5</w:t>
            </w:r>
          </w:p>
        </w:tc>
        <w:tc>
          <w:tcPr>
            <w:tcW w:w="1000" w:type="dxa"/>
            <w:tcBorders>
              <w:top w:val="nil"/>
              <w:left w:val="nil"/>
              <w:bottom w:val="single" w:color="000000" w:sz="4" w:space="0"/>
              <w:right w:val="single" w:color="000000" w:sz="4" w:space="0"/>
            </w:tcBorders>
            <w:shd w:val="clear" w:color="auto" w:fill="FFFFFF"/>
            <w:vAlign w:val="center"/>
          </w:tcPr>
          <w:p w14:paraId="5BEF6E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200" w:type="dxa"/>
            <w:gridSpan w:val="2"/>
            <w:tcBorders>
              <w:top w:val="nil"/>
              <w:left w:val="nil"/>
              <w:bottom w:val="single" w:color="000000" w:sz="4" w:space="0"/>
              <w:right w:val="single" w:color="000000" w:sz="4" w:space="0"/>
            </w:tcBorders>
            <w:shd w:val="clear" w:color="auto" w:fill="FFFFFF"/>
            <w:vAlign w:val="center"/>
          </w:tcPr>
          <w:p w14:paraId="557D2DEA">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660</w:t>
            </w:r>
          </w:p>
        </w:tc>
        <w:tc>
          <w:tcPr>
            <w:tcW w:w="1200" w:type="dxa"/>
            <w:gridSpan w:val="2"/>
            <w:tcBorders>
              <w:top w:val="nil"/>
              <w:left w:val="nil"/>
              <w:bottom w:val="single" w:color="000000" w:sz="4" w:space="0"/>
              <w:right w:val="single" w:color="000000" w:sz="4" w:space="0"/>
            </w:tcBorders>
            <w:shd w:val="clear" w:color="auto" w:fill="FFFFFF"/>
            <w:vAlign w:val="center"/>
          </w:tcPr>
          <w:p w14:paraId="5675E9FA">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5B11B8FB">
            <w:pPr>
              <w:jc w:val="right"/>
              <w:rPr>
                <w:rFonts w:hint="default" w:ascii="Arial Narrow" w:hAnsi="Arial Narrow" w:eastAsia="Arial Narrow" w:cs="Arial Narrow"/>
                <w:i w:val="0"/>
                <w:iCs w:val="0"/>
                <w:color w:val="auto"/>
                <w:sz w:val="18"/>
                <w:szCs w:val="18"/>
                <w:highlight w:val="none"/>
                <w:u w:val="none"/>
              </w:rPr>
            </w:pPr>
          </w:p>
        </w:tc>
      </w:tr>
      <w:tr w14:paraId="44265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17F23F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TS505-13-b</w:t>
            </w:r>
          </w:p>
        </w:tc>
        <w:tc>
          <w:tcPr>
            <w:tcW w:w="4060" w:type="dxa"/>
            <w:gridSpan w:val="2"/>
            <w:tcBorders>
              <w:top w:val="nil"/>
              <w:left w:val="nil"/>
              <w:bottom w:val="single" w:color="000000" w:sz="4" w:space="0"/>
              <w:right w:val="single" w:color="000000" w:sz="4" w:space="0"/>
            </w:tcBorders>
            <w:shd w:val="clear" w:color="auto" w:fill="FFFFFF"/>
            <w:vAlign w:val="center"/>
          </w:tcPr>
          <w:p w14:paraId="0CF6696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控制电缆 NH-KVVRP-10*2.5</w:t>
            </w:r>
          </w:p>
        </w:tc>
        <w:tc>
          <w:tcPr>
            <w:tcW w:w="1000" w:type="dxa"/>
            <w:tcBorders>
              <w:top w:val="nil"/>
              <w:left w:val="nil"/>
              <w:bottom w:val="single" w:color="000000" w:sz="4" w:space="0"/>
              <w:right w:val="single" w:color="000000" w:sz="4" w:space="0"/>
            </w:tcBorders>
            <w:shd w:val="clear" w:color="auto" w:fill="FFFFFF"/>
            <w:vAlign w:val="center"/>
          </w:tcPr>
          <w:p w14:paraId="6778329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200" w:type="dxa"/>
            <w:gridSpan w:val="2"/>
            <w:tcBorders>
              <w:top w:val="nil"/>
              <w:left w:val="nil"/>
              <w:bottom w:val="single" w:color="000000" w:sz="4" w:space="0"/>
              <w:right w:val="single" w:color="000000" w:sz="4" w:space="0"/>
            </w:tcBorders>
            <w:shd w:val="clear" w:color="auto" w:fill="FFFFFF"/>
            <w:vAlign w:val="center"/>
          </w:tcPr>
          <w:p w14:paraId="3176223C">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4400</w:t>
            </w:r>
          </w:p>
        </w:tc>
        <w:tc>
          <w:tcPr>
            <w:tcW w:w="1200" w:type="dxa"/>
            <w:gridSpan w:val="2"/>
            <w:tcBorders>
              <w:top w:val="nil"/>
              <w:left w:val="nil"/>
              <w:bottom w:val="single" w:color="000000" w:sz="4" w:space="0"/>
              <w:right w:val="single" w:color="000000" w:sz="4" w:space="0"/>
            </w:tcBorders>
            <w:shd w:val="clear" w:color="auto" w:fill="FFFFFF"/>
            <w:vAlign w:val="center"/>
          </w:tcPr>
          <w:p w14:paraId="1B911E54">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20D1E777">
            <w:pPr>
              <w:jc w:val="right"/>
              <w:rPr>
                <w:rFonts w:hint="default" w:ascii="Arial Narrow" w:hAnsi="Arial Narrow" w:eastAsia="Arial Narrow" w:cs="Arial Narrow"/>
                <w:i w:val="0"/>
                <w:iCs w:val="0"/>
                <w:color w:val="auto"/>
                <w:sz w:val="18"/>
                <w:szCs w:val="18"/>
                <w:highlight w:val="none"/>
                <w:u w:val="none"/>
              </w:rPr>
            </w:pPr>
          </w:p>
        </w:tc>
      </w:tr>
      <w:tr w14:paraId="641969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726D3B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TS505-14</w:t>
            </w:r>
          </w:p>
        </w:tc>
        <w:tc>
          <w:tcPr>
            <w:tcW w:w="4060" w:type="dxa"/>
            <w:gridSpan w:val="2"/>
            <w:tcBorders>
              <w:top w:val="nil"/>
              <w:left w:val="nil"/>
              <w:bottom w:val="single" w:color="000000" w:sz="4" w:space="0"/>
              <w:right w:val="single" w:color="000000" w:sz="4" w:space="0"/>
            </w:tcBorders>
            <w:shd w:val="clear" w:color="auto" w:fill="FFFFFF"/>
            <w:vAlign w:val="center"/>
          </w:tcPr>
          <w:p w14:paraId="773050A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通讯电缆 RVSP-300/300V-2*2.5</w:t>
            </w:r>
          </w:p>
        </w:tc>
        <w:tc>
          <w:tcPr>
            <w:tcW w:w="1000" w:type="dxa"/>
            <w:tcBorders>
              <w:top w:val="nil"/>
              <w:left w:val="nil"/>
              <w:bottom w:val="single" w:color="000000" w:sz="4" w:space="0"/>
              <w:right w:val="single" w:color="000000" w:sz="4" w:space="0"/>
            </w:tcBorders>
            <w:shd w:val="clear" w:color="auto" w:fill="FFFFFF"/>
            <w:vAlign w:val="center"/>
          </w:tcPr>
          <w:p w14:paraId="5977C7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200" w:type="dxa"/>
            <w:gridSpan w:val="2"/>
            <w:tcBorders>
              <w:top w:val="nil"/>
              <w:left w:val="nil"/>
              <w:bottom w:val="single" w:color="000000" w:sz="4" w:space="0"/>
              <w:right w:val="single" w:color="000000" w:sz="4" w:space="0"/>
            </w:tcBorders>
            <w:shd w:val="clear" w:color="auto" w:fill="FFFFFF"/>
            <w:vAlign w:val="center"/>
          </w:tcPr>
          <w:p w14:paraId="18E70CAB">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800</w:t>
            </w:r>
          </w:p>
        </w:tc>
        <w:tc>
          <w:tcPr>
            <w:tcW w:w="1200" w:type="dxa"/>
            <w:gridSpan w:val="2"/>
            <w:tcBorders>
              <w:top w:val="nil"/>
              <w:left w:val="nil"/>
              <w:bottom w:val="single" w:color="000000" w:sz="4" w:space="0"/>
              <w:right w:val="single" w:color="000000" w:sz="4" w:space="0"/>
            </w:tcBorders>
            <w:shd w:val="clear" w:color="auto" w:fill="FFFFFF"/>
            <w:vAlign w:val="center"/>
          </w:tcPr>
          <w:p w14:paraId="21180A2E">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23374A9B">
            <w:pPr>
              <w:jc w:val="right"/>
              <w:rPr>
                <w:rFonts w:hint="default" w:ascii="Arial Narrow" w:hAnsi="Arial Narrow" w:eastAsia="Arial Narrow" w:cs="Arial Narrow"/>
                <w:i w:val="0"/>
                <w:iCs w:val="0"/>
                <w:color w:val="auto"/>
                <w:sz w:val="18"/>
                <w:szCs w:val="18"/>
                <w:highlight w:val="none"/>
                <w:u w:val="none"/>
              </w:rPr>
            </w:pPr>
          </w:p>
        </w:tc>
      </w:tr>
      <w:tr w14:paraId="0C682B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351DA67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TS505-15</w:t>
            </w:r>
          </w:p>
        </w:tc>
        <w:tc>
          <w:tcPr>
            <w:tcW w:w="4060" w:type="dxa"/>
            <w:gridSpan w:val="2"/>
            <w:tcBorders>
              <w:top w:val="nil"/>
              <w:left w:val="nil"/>
              <w:bottom w:val="single" w:color="000000" w:sz="4" w:space="0"/>
              <w:right w:val="single" w:color="000000" w:sz="4" w:space="0"/>
            </w:tcBorders>
            <w:shd w:val="clear" w:color="auto" w:fill="FFFFFF"/>
            <w:vAlign w:val="center"/>
          </w:tcPr>
          <w:p w14:paraId="3863C5F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电线YJV22-3*4</w:t>
            </w:r>
          </w:p>
        </w:tc>
        <w:tc>
          <w:tcPr>
            <w:tcW w:w="1000" w:type="dxa"/>
            <w:tcBorders>
              <w:top w:val="nil"/>
              <w:left w:val="nil"/>
              <w:bottom w:val="single" w:color="000000" w:sz="4" w:space="0"/>
              <w:right w:val="single" w:color="000000" w:sz="4" w:space="0"/>
            </w:tcBorders>
            <w:shd w:val="clear" w:color="auto" w:fill="FFFFFF"/>
            <w:vAlign w:val="center"/>
          </w:tcPr>
          <w:p w14:paraId="78A61B9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200" w:type="dxa"/>
            <w:gridSpan w:val="2"/>
            <w:tcBorders>
              <w:top w:val="nil"/>
              <w:left w:val="nil"/>
              <w:bottom w:val="single" w:color="000000" w:sz="4" w:space="0"/>
              <w:right w:val="single" w:color="000000" w:sz="4" w:space="0"/>
            </w:tcBorders>
            <w:shd w:val="clear" w:color="auto" w:fill="FFFFFF"/>
            <w:vAlign w:val="center"/>
          </w:tcPr>
          <w:p w14:paraId="3102A704">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1200</w:t>
            </w:r>
          </w:p>
        </w:tc>
        <w:tc>
          <w:tcPr>
            <w:tcW w:w="1200" w:type="dxa"/>
            <w:gridSpan w:val="2"/>
            <w:tcBorders>
              <w:top w:val="nil"/>
              <w:left w:val="nil"/>
              <w:bottom w:val="single" w:color="000000" w:sz="4" w:space="0"/>
              <w:right w:val="single" w:color="000000" w:sz="4" w:space="0"/>
            </w:tcBorders>
            <w:shd w:val="clear" w:color="auto" w:fill="FFFFFF"/>
            <w:vAlign w:val="center"/>
          </w:tcPr>
          <w:p w14:paraId="5CC57CA8">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1565DB40">
            <w:pPr>
              <w:jc w:val="right"/>
              <w:rPr>
                <w:rFonts w:hint="default" w:ascii="Arial Narrow" w:hAnsi="Arial Narrow" w:eastAsia="Arial Narrow" w:cs="Arial Narrow"/>
                <w:i w:val="0"/>
                <w:iCs w:val="0"/>
                <w:color w:val="auto"/>
                <w:sz w:val="18"/>
                <w:szCs w:val="18"/>
                <w:highlight w:val="none"/>
                <w:u w:val="none"/>
              </w:rPr>
            </w:pPr>
          </w:p>
        </w:tc>
      </w:tr>
      <w:tr w14:paraId="08E4B9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538EFE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TS505-16</w:t>
            </w:r>
          </w:p>
        </w:tc>
        <w:tc>
          <w:tcPr>
            <w:tcW w:w="4060" w:type="dxa"/>
            <w:gridSpan w:val="2"/>
            <w:tcBorders>
              <w:top w:val="nil"/>
              <w:left w:val="nil"/>
              <w:bottom w:val="single" w:color="000000" w:sz="4" w:space="0"/>
              <w:right w:val="single" w:color="000000" w:sz="4" w:space="0"/>
            </w:tcBorders>
            <w:shd w:val="clear" w:color="auto" w:fill="FFFFFF"/>
            <w:vAlign w:val="center"/>
          </w:tcPr>
          <w:p w14:paraId="15A2077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光缆接续盒</w:t>
            </w:r>
          </w:p>
        </w:tc>
        <w:tc>
          <w:tcPr>
            <w:tcW w:w="1000" w:type="dxa"/>
            <w:tcBorders>
              <w:top w:val="nil"/>
              <w:left w:val="nil"/>
              <w:bottom w:val="single" w:color="000000" w:sz="4" w:space="0"/>
              <w:right w:val="single" w:color="000000" w:sz="4" w:space="0"/>
            </w:tcBorders>
            <w:shd w:val="clear" w:color="auto" w:fill="FFFFFF"/>
            <w:vAlign w:val="center"/>
          </w:tcPr>
          <w:p w14:paraId="22C5518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30787A8A">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5</w:t>
            </w:r>
          </w:p>
        </w:tc>
        <w:tc>
          <w:tcPr>
            <w:tcW w:w="1200" w:type="dxa"/>
            <w:gridSpan w:val="2"/>
            <w:tcBorders>
              <w:top w:val="nil"/>
              <w:left w:val="nil"/>
              <w:bottom w:val="single" w:color="000000" w:sz="4" w:space="0"/>
              <w:right w:val="single" w:color="000000" w:sz="4" w:space="0"/>
            </w:tcBorders>
            <w:shd w:val="clear" w:color="auto" w:fill="FFFFFF"/>
            <w:vAlign w:val="center"/>
          </w:tcPr>
          <w:p w14:paraId="04411AB3">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1E5BB737">
            <w:pPr>
              <w:jc w:val="right"/>
              <w:rPr>
                <w:rFonts w:hint="default" w:ascii="Arial Narrow" w:hAnsi="Arial Narrow" w:eastAsia="Arial Narrow" w:cs="Arial Narrow"/>
                <w:i w:val="0"/>
                <w:iCs w:val="0"/>
                <w:color w:val="auto"/>
                <w:sz w:val="18"/>
                <w:szCs w:val="18"/>
                <w:highlight w:val="none"/>
                <w:u w:val="none"/>
              </w:rPr>
            </w:pPr>
          </w:p>
        </w:tc>
      </w:tr>
      <w:tr w14:paraId="17EFFD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72B5F1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TS506</w:t>
            </w:r>
          </w:p>
        </w:tc>
        <w:tc>
          <w:tcPr>
            <w:tcW w:w="4060" w:type="dxa"/>
            <w:gridSpan w:val="2"/>
            <w:tcBorders>
              <w:top w:val="nil"/>
              <w:left w:val="nil"/>
              <w:bottom w:val="single" w:color="000000" w:sz="4" w:space="0"/>
              <w:right w:val="single" w:color="000000" w:sz="4" w:space="0"/>
            </w:tcBorders>
            <w:shd w:val="clear" w:color="auto" w:fill="FFFFFF"/>
            <w:vAlign w:val="center"/>
          </w:tcPr>
          <w:p w14:paraId="4184871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通风与照明检测控制子系统</w:t>
            </w:r>
          </w:p>
        </w:tc>
        <w:tc>
          <w:tcPr>
            <w:tcW w:w="1000" w:type="dxa"/>
            <w:tcBorders>
              <w:top w:val="nil"/>
              <w:left w:val="nil"/>
              <w:bottom w:val="single" w:color="000000" w:sz="4" w:space="0"/>
              <w:right w:val="single" w:color="000000" w:sz="4" w:space="0"/>
            </w:tcBorders>
            <w:shd w:val="clear" w:color="auto" w:fill="FFFFFF"/>
            <w:vAlign w:val="center"/>
          </w:tcPr>
          <w:p w14:paraId="4E120001">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5D559576">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0B68FCEF">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49693049">
            <w:pPr>
              <w:jc w:val="right"/>
              <w:rPr>
                <w:rFonts w:hint="default" w:ascii="Arial Narrow" w:hAnsi="Arial Narrow" w:eastAsia="Arial Narrow" w:cs="Arial Narrow"/>
                <w:i w:val="0"/>
                <w:iCs w:val="0"/>
                <w:color w:val="auto"/>
                <w:sz w:val="18"/>
                <w:szCs w:val="18"/>
                <w:highlight w:val="none"/>
                <w:u w:val="none"/>
              </w:rPr>
            </w:pPr>
          </w:p>
        </w:tc>
      </w:tr>
      <w:tr w14:paraId="6C3891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6D3D0FA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TS506-8</w:t>
            </w:r>
          </w:p>
        </w:tc>
        <w:tc>
          <w:tcPr>
            <w:tcW w:w="4060" w:type="dxa"/>
            <w:gridSpan w:val="2"/>
            <w:tcBorders>
              <w:top w:val="nil"/>
              <w:left w:val="nil"/>
              <w:bottom w:val="single" w:color="000000" w:sz="4" w:space="0"/>
              <w:right w:val="single" w:color="000000" w:sz="4" w:space="0"/>
            </w:tcBorders>
            <w:shd w:val="clear" w:color="auto" w:fill="FFFFFF"/>
            <w:vAlign w:val="center"/>
          </w:tcPr>
          <w:p w14:paraId="26D2787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控制电缆 NH-KVV-2*2.5</w:t>
            </w:r>
          </w:p>
        </w:tc>
        <w:tc>
          <w:tcPr>
            <w:tcW w:w="1000" w:type="dxa"/>
            <w:tcBorders>
              <w:top w:val="nil"/>
              <w:left w:val="nil"/>
              <w:bottom w:val="single" w:color="000000" w:sz="4" w:space="0"/>
              <w:right w:val="single" w:color="000000" w:sz="4" w:space="0"/>
            </w:tcBorders>
            <w:shd w:val="clear" w:color="auto" w:fill="FFFFFF"/>
            <w:vAlign w:val="center"/>
          </w:tcPr>
          <w:p w14:paraId="5A0532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200" w:type="dxa"/>
            <w:gridSpan w:val="2"/>
            <w:tcBorders>
              <w:top w:val="nil"/>
              <w:left w:val="nil"/>
              <w:bottom w:val="single" w:color="000000" w:sz="4" w:space="0"/>
              <w:right w:val="single" w:color="000000" w:sz="4" w:space="0"/>
            </w:tcBorders>
            <w:shd w:val="clear" w:color="auto" w:fill="FFFFFF"/>
            <w:vAlign w:val="center"/>
          </w:tcPr>
          <w:p w14:paraId="3B13ED8A">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4200</w:t>
            </w:r>
          </w:p>
        </w:tc>
        <w:tc>
          <w:tcPr>
            <w:tcW w:w="1200" w:type="dxa"/>
            <w:gridSpan w:val="2"/>
            <w:tcBorders>
              <w:top w:val="nil"/>
              <w:left w:val="nil"/>
              <w:bottom w:val="single" w:color="000000" w:sz="4" w:space="0"/>
              <w:right w:val="single" w:color="000000" w:sz="4" w:space="0"/>
            </w:tcBorders>
            <w:shd w:val="clear" w:color="auto" w:fill="FFFFFF"/>
            <w:vAlign w:val="center"/>
          </w:tcPr>
          <w:p w14:paraId="301A77DE">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1593C768">
            <w:pPr>
              <w:jc w:val="right"/>
              <w:rPr>
                <w:rFonts w:hint="default" w:ascii="Arial Narrow" w:hAnsi="Arial Narrow" w:eastAsia="Arial Narrow" w:cs="Arial Narrow"/>
                <w:i w:val="0"/>
                <w:iCs w:val="0"/>
                <w:color w:val="auto"/>
                <w:sz w:val="18"/>
                <w:szCs w:val="18"/>
                <w:highlight w:val="none"/>
                <w:u w:val="none"/>
              </w:rPr>
            </w:pPr>
          </w:p>
        </w:tc>
      </w:tr>
      <w:tr w14:paraId="684341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0965CA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TS507</w:t>
            </w:r>
          </w:p>
        </w:tc>
        <w:tc>
          <w:tcPr>
            <w:tcW w:w="4060" w:type="dxa"/>
            <w:gridSpan w:val="2"/>
            <w:tcBorders>
              <w:top w:val="nil"/>
              <w:left w:val="nil"/>
              <w:bottom w:val="single" w:color="000000" w:sz="4" w:space="0"/>
              <w:right w:val="single" w:color="000000" w:sz="4" w:space="0"/>
            </w:tcBorders>
            <w:shd w:val="clear" w:color="auto" w:fill="FFFFFF"/>
            <w:vAlign w:val="center"/>
          </w:tcPr>
          <w:p w14:paraId="65B2D5A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闭路电视监视子系统</w:t>
            </w:r>
          </w:p>
        </w:tc>
        <w:tc>
          <w:tcPr>
            <w:tcW w:w="1000" w:type="dxa"/>
            <w:tcBorders>
              <w:top w:val="nil"/>
              <w:left w:val="nil"/>
              <w:bottom w:val="single" w:color="000000" w:sz="4" w:space="0"/>
              <w:right w:val="single" w:color="000000" w:sz="4" w:space="0"/>
            </w:tcBorders>
            <w:shd w:val="clear" w:color="auto" w:fill="FFFFFF"/>
            <w:vAlign w:val="center"/>
          </w:tcPr>
          <w:p w14:paraId="21E0E224">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46D008A8">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2D3135DB">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3E193FC0">
            <w:pPr>
              <w:jc w:val="right"/>
              <w:rPr>
                <w:rFonts w:hint="default" w:ascii="Arial Narrow" w:hAnsi="Arial Narrow" w:eastAsia="Arial Narrow" w:cs="Arial Narrow"/>
                <w:i w:val="0"/>
                <w:iCs w:val="0"/>
                <w:color w:val="auto"/>
                <w:sz w:val="18"/>
                <w:szCs w:val="18"/>
                <w:highlight w:val="none"/>
                <w:u w:val="none"/>
              </w:rPr>
            </w:pPr>
          </w:p>
        </w:tc>
      </w:tr>
      <w:tr w14:paraId="52E640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3239BA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TS507-2</w:t>
            </w:r>
          </w:p>
        </w:tc>
        <w:tc>
          <w:tcPr>
            <w:tcW w:w="4060" w:type="dxa"/>
            <w:gridSpan w:val="2"/>
            <w:tcBorders>
              <w:top w:val="nil"/>
              <w:left w:val="nil"/>
              <w:bottom w:val="single" w:color="000000" w:sz="4" w:space="0"/>
              <w:right w:val="single" w:color="000000" w:sz="4" w:space="0"/>
            </w:tcBorders>
            <w:shd w:val="clear" w:color="auto" w:fill="FFFFFF"/>
            <w:vAlign w:val="center"/>
          </w:tcPr>
          <w:p w14:paraId="07633CD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枪式摄像机（隧道内）400万高清，低照度，固定</w:t>
            </w:r>
          </w:p>
        </w:tc>
        <w:tc>
          <w:tcPr>
            <w:tcW w:w="1000" w:type="dxa"/>
            <w:tcBorders>
              <w:top w:val="nil"/>
              <w:left w:val="nil"/>
              <w:bottom w:val="single" w:color="000000" w:sz="4" w:space="0"/>
              <w:right w:val="single" w:color="000000" w:sz="4" w:space="0"/>
            </w:tcBorders>
            <w:shd w:val="clear" w:color="auto" w:fill="FFFFFF"/>
            <w:vAlign w:val="center"/>
          </w:tcPr>
          <w:p w14:paraId="610A21E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395A7F94">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2</w:t>
            </w:r>
          </w:p>
        </w:tc>
        <w:tc>
          <w:tcPr>
            <w:tcW w:w="1200" w:type="dxa"/>
            <w:gridSpan w:val="2"/>
            <w:tcBorders>
              <w:top w:val="nil"/>
              <w:left w:val="nil"/>
              <w:bottom w:val="single" w:color="000000" w:sz="4" w:space="0"/>
              <w:right w:val="single" w:color="000000" w:sz="4" w:space="0"/>
            </w:tcBorders>
            <w:shd w:val="clear" w:color="auto" w:fill="FFFFFF"/>
            <w:vAlign w:val="center"/>
          </w:tcPr>
          <w:p w14:paraId="50996C49">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1E7FF8AB">
            <w:pPr>
              <w:jc w:val="right"/>
              <w:rPr>
                <w:rFonts w:hint="default" w:ascii="Arial Narrow" w:hAnsi="Arial Narrow" w:eastAsia="Arial Narrow" w:cs="Arial Narrow"/>
                <w:i w:val="0"/>
                <w:iCs w:val="0"/>
                <w:color w:val="auto"/>
                <w:sz w:val="18"/>
                <w:szCs w:val="18"/>
                <w:highlight w:val="none"/>
                <w:u w:val="none"/>
              </w:rPr>
            </w:pPr>
          </w:p>
        </w:tc>
      </w:tr>
      <w:tr w14:paraId="5CD04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15D1C1E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TS507-3</w:t>
            </w:r>
          </w:p>
        </w:tc>
        <w:tc>
          <w:tcPr>
            <w:tcW w:w="4060" w:type="dxa"/>
            <w:gridSpan w:val="2"/>
            <w:tcBorders>
              <w:top w:val="nil"/>
              <w:left w:val="nil"/>
              <w:bottom w:val="single" w:color="000000" w:sz="4" w:space="0"/>
              <w:right w:val="single" w:color="000000" w:sz="4" w:space="0"/>
            </w:tcBorders>
            <w:shd w:val="clear" w:color="auto" w:fill="FFFFFF"/>
            <w:vAlign w:val="center"/>
          </w:tcPr>
          <w:p w14:paraId="35F7CE8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半球型摄像机（隧道变电所）400万高清，低照度，遥控</w:t>
            </w:r>
          </w:p>
        </w:tc>
        <w:tc>
          <w:tcPr>
            <w:tcW w:w="1000" w:type="dxa"/>
            <w:tcBorders>
              <w:top w:val="nil"/>
              <w:left w:val="nil"/>
              <w:bottom w:val="single" w:color="000000" w:sz="4" w:space="0"/>
              <w:right w:val="single" w:color="000000" w:sz="4" w:space="0"/>
            </w:tcBorders>
            <w:shd w:val="clear" w:color="auto" w:fill="FFFFFF"/>
            <w:vAlign w:val="center"/>
          </w:tcPr>
          <w:p w14:paraId="7494FA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2949355A">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3</w:t>
            </w:r>
          </w:p>
        </w:tc>
        <w:tc>
          <w:tcPr>
            <w:tcW w:w="1200" w:type="dxa"/>
            <w:gridSpan w:val="2"/>
            <w:tcBorders>
              <w:top w:val="nil"/>
              <w:left w:val="nil"/>
              <w:bottom w:val="single" w:color="000000" w:sz="4" w:space="0"/>
              <w:right w:val="single" w:color="000000" w:sz="4" w:space="0"/>
            </w:tcBorders>
            <w:shd w:val="clear" w:color="auto" w:fill="FFFFFF"/>
            <w:vAlign w:val="center"/>
          </w:tcPr>
          <w:p w14:paraId="633CD043">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634F62F9">
            <w:pPr>
              <w:jc w:val="right"/>
              <w:rPr>
                <w:rFonts w:hint="default" w:ascii="Arial Narrow" w:hAnsi="Arial Narrow" w:eastAsia="Arial Narrow" w:cs="Arial Narrow"/>
                <w:i w:val="0"/>
                <w:iCs w:val="0"/>
                <w:color w:val="auto"/>
                <w:sz w:val="18"/>
                <w:szCs w:val="18"/>
                <w:highlight w:val="none"/>
                <w:u w:val="none"/>
              </w:rPr>
            </w:pPr>
          </w:p>
        </w:tc>
      </w:tr>
      <w:tr w14:paraId="7A0515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498EE2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TS507-4</w:t>
            </w:r>
          </w:p>
        </w:tc>
        <w:tc>
          <w:tcPr>
            <w:tcW w:w="4060" w:type="dxa"/>
            <w:gridSpan w:val="2"/>
            <w:tcBorders>
              <w:top w:val="nil"/>
              <w:left w:val="nil"/>
              <w:bottom w:val="single" w:color="000000" w:sz="4" w:space="0"/>
              <w:right w:val="single" w:color="000000" w:sz="4" w:space="0"/>
            </w:tcBorders>
            <w:shd w:val="clear" w:color="auto" w:fill="FFFFFF"/>
            <w:vAlign w:val="center"/>
          </w:tcPr>
          <w:p w14:paraId="3515C6D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监视器</w:t>
            </w:r>
          </w:p>
        </w:tc>
        <w:tc>
          <w:tcPr>
            <w:tcW w:w="1000" w:type="dxa"/>
            <w:tcBorders>
              <w:top w:val="nil"/>
              <w:left w:val="nil"/>
              <w:bottom w:val="single" w:color="000000" w:sz="4" w:space="0"/>
              <w:right w:val="single" w:color="000000" w:sz="4" w:space="0"/>
            </w:tcBorders>
            <w:shd w:val="clear" w:color="auto" w:fill="FFFFFF"/>
            <w:vAlign w:val="center"/>
          </w:tcPr>
          <w:p w14:paraId="17C0EA51">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30B7D5B8">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26B900BD">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26DAC86F">
            <w:pPr>
              <w:jc w:val="right"/>
              <w:rPr>
                <w:rFonts w:hint="default" w:ascii="Arial Narrow" w:hAnsi="Arial Narrow" w:eastAsia="Arial Narrow" w:cs="Arial Narrow"/>
                <w:i w:val="0"/>
                <w:iCs w:val="0"/>
                <w:color w:val="auto"/>
                <w:sz w:val="18"/>
                <w:szCs w:val="18"/>
                <w:highlight w:val="none"/>
                <w:u w:val="none"/>
              </w:rPr>
            </w:pPr>
          </w:p>
        </w:tc>
      </w:tr>
      <w:tr w14:paraId="7C42D1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6044DBE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TS507-4-a</w:t>
            </w:r>
          </w:p>
        </w:tc>
        <w:tc>
          <w:tcPr>
            <w:tcW w:w="4060" w:type="dxa"/>
            <w:gridSpan w:val="2"/>
            <w:tcBorders>
              <w:top w:val="nil"/>
              <w:left w:val="nil"/>
              <w:bottom w:val="single" w:color="000000" w:sz="4" w:space="0"/>
              <w:right w:val="single" w:color="000000" w:sz="4" w:space="0"/>
            </w:tcBorders>
            <w:shd w:val="clear" w:color="auto" w:fill="FFFFFF"/>
            <w:vAlign w:val="center"/>
          </w:tcPr>
          <w:p w14:paraId="1D44332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46"液晶监视器</w:t>
            </w:r>
          </w:p>
        </w:tc>
        <w:tc>
          <w:tcPr>
            <w:tcW w:w="1000" w:type="dxa"/>
            <w:tcBorders>
              <w:top w:val="nil"/>
              <w:left w:val="nil"/>
              <w:bottom w:val="single" w:color="000000" w:sz="4" w:space="0"/>
              <w:right w:val="single" w:color="000000" w:sz="4" w:space="0"/>
            </w:tcBorders>
            <w:shd w:val="clear" w:color="auto" w:fill="FFFFFF"/>
            <w:vAlign w:val="center"/>
          </w:tcPr>
          <w:p w14:paraId="7B155D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200" w:type="dxa"/>
            <w:gridSpan w:val="2"/>
            <w:tcBorders>
              <w:top w:val="nil"/>
              <w:left w:val="nil"/>
              <w:bottom w:val="single" w:color="000000" w:sz="4" w:space="0"/>
              <w:right w:val="single" w:color="000000" w:sz="4" w:space="0"/>
            </w:tcBorders>
            <w:shd w:val="clear" w:color="auto" w:fill="FFFFFF"/>
            <w:vAlign w:val="center"/>
          </w:tcPr>
          <w:p w14:paraId="260A3E2E">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8</w:t>
            </w:r>
          </w:p>
        </w:tc>
        <w:tc>
          <w:tcPr>
            <w:tcW w:w="1200" w:type="dxa"/>
            <w:gridSpan w:val="2"/>
            <w:tcBorders>
              <w:top w:val="nil"/>
              <w:left w:val="nil"/>
              <w:bottom w:val="single" w:color="000000" w:sz="4" w:space="0"/>
              <w:right w:val="single" w:color="000000" w:sz="4" w:space="0"/>
            </w:tcBorders>
            <w:shd w:val="clear" w:color="auto" w:fill="FFFFFF"/>
            <w:vAlign w:val="center"/>
          </w:tcPr>
          <w:p w14:paraId="120E0E3B">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3402F016">
            <w:pPr>
              <w:jc w:val="right"/>
              <w:rPr>
                <w:rFonts w:hint="default" w:ascii="Arial Narrow" w:hAnsi="Arial Narrow" w:eastAsia="Arial Narrow" w:cs="Arial Narrow"/>
                <w:i w:val="0"/>
                <w:iCs w:val="0"/>
                <w:color w:val="auto"/>
                <w:sz w:val="18"/>
                <w:szCs w:val="18"/>
                <w:highlight w:val="none"/>
                <w:u w:val="none"/>
              </w:rPr>
            </w:pPr>
          </w:p>
        </w:tc>
      </w:tr>
      <w:tr w14:paraId="170EEA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37CA7A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TS507-4-b</w:t>
            </w:r>
          </w:p>
        </w:tc>
        <w:tc>
          <w:tcPr>
            <w:tcW w:w="4060" w:type="dxa"/>
            <w:gridSpan w:val="2"/>
            <w:tcBorders>
              <w:top w:val="nil"/>
              <w:left w:val="nil"/>
              <w:bottom w:val="single" w:color="000000" w:sz="4" w:space="0"/>
              <w:right w:val="single" w:color="000000" w:sz="4" w:space="0"/>
            </w:tcBorders>
            <w:shd w:val="clear" w:color="auto" w:fill="FFFFFF"/>
            <w:vAlign w:val="center"/>
          </w:tcPr>
          <w:p w14:paraId="44F0B29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全息路网远景一体机</w:t>
            </w:r>
          </w:p>
        </w:tc>
        <w:tc>
          <w:tcPr>
            <w:tcW w:w="1000" w:type="dxa"/>
            <w:tcBorders>
              <w:top w:val="nil"/>
              <w:left w:val="nil"/>
              <w:bottom w:val="single" w:color="000000" w:sz="4" w:space="0"/>
              <w:right w:val="single" w:color="000000" w:sz="4" w:space="0"/>
            </w:tcBorders>
            <w:shd w:val="clear" w:color="auto" w:fill="FFFFFF"/>
            <w:vAlign w:val="center"/>
          </w:tcPr>
          <w:p w14:paraId="7C1069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116EF9E8">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14</w:t>
            </w:r>
          </w:p>
        </w:tc>
        <w:tc>
          <w:tcPr>
            <w:tcW w:w="1200" w:type="dxa"/>
            <w:gridSpan w:val="2"/>
            <w:tcBorders>
              <w:top w:val="nil"/>
              <w:left w:val="nil"/>
              <w:bottom w:val="single" w:color="000000" w:sz="4" w:space="0"/>
              <w:right w:val="single" w:color="000000" w:sz="4" w:space="0"/>
            </w:tcBorders>
            <w:shd w:val="clear" w:color="auto" w:fill="FFFFFF"/>
            <w:vAlign w:val="center"/>
          </w:tcPr>
          <w:p w14:paraId="0144BE9C">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412C9B03">
            <w:pPr>
              <w:jc w:val="right"/>
              <w:rPr>
                <w:rFonts w:hint="default" w:ascii="Arial Narrow" w:hAnsi="Arial Narrow" w:eastAsia="Arial Narrow" w:cs="Arial Narrow"/>
                <w:i w:val="0"/>
                <w:iCs w:val="0"/>
                <w:color w:val="auto"/>
                <w:sz w:val="18"/>
                <w:szCs w:val="18"/>
                <w:highlight w:val="none"/>
                <w:u w:val="none"/>
              </w:rPr>
            </w:pPr>
          </w:p>
        </w:tc>
      </w:tr>
      <w:tr w14:paraId="66E101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34256C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TS507-4-c</w:t>
            </w:r>
          </w:p>
        </w:tc>
        <w:tc>
          <w:tcPr>
            <w:tcW w:w="4060" w:type="dxa"/>
            <w:gridSpan w:val="2"/>
            <w:tcBorders>
              <w:top w:val="nil"/>
              <w:left w:val="nil"/>
              <w:bottom w:val="single" w:color="000000" w:sz="4" w:space="0"/>
              <w:right w:val="single" w:color="000000" w:sz="4" w:space="0"/>
            </w:tcBorders>
            <w:shd w:val="clear" w:color="auto" w:fill="FFFFFF"/>
            <w:vAlign w:val="center"/>
          </w:tcPr>
          <w:p w14:paraId="55E741F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全息路网近景一体机</w:t>
            </w:r>
          </w:p>
        </w:tc>
        <w:tc>
          <w:tcPr>
            <w:tcW w:w="1000" w:type="dxa"/>
            <w:tcBorders>
              <w:top w:val="nil"/>
              <w:left w:val="nil"/>
              <w:bottom w:val="single" w:color="000000" w:sz="4" w:space="0"/>
              <w:right w:val="single" w:color="000000" w:sz="4" w:space="0"/>
            </w:tcBorders>
            <w:shd w:val="clear" w:color="auto" w:fill="FFFFFF"/>
            <w:vAlign w:val="center"/>
          </w:tcPr>
          <w:p w14:paraId="477926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7B8653A9">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14</w:t>
            </w:r>
          </w:p>
        </w:tc>
        <w:tc>
          <w:tcPr>
            <w:tcW w:w="1200" w:type="dxa"/>
            <w:gridSpan w:val="2"/>
            <w:tcBorders>
              <w:top w:val="nil"/>
              <w:left w:val="nil"/>
              <w:bottom w:val="single" w:color="000000" w:sz="4" w:space="0"/>
              <w:right w:val="single" w:color="000000" w:sz="4" w:space="0"/>
            </w:tcBorders>
            <w:shd w:val="clear" w:color="auto" w:fill="FFFFFF"/>
            <w:vAlign w:val="center"/>
          </w:tcPr>
          <w:p w14:paraId="09B838FC">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26E1C3FE">
            <w:pPr>
              <w:jc w:val="right"/>
              <w:rPr>
                <w:rFonts w:hint="default" w:ascii="Arial Narrow" w:hAnsi="Arial Narrow" w:eastAsia="Arial Narrow" w:cs="Arial Narrow"/>
                <w:i w:val="0"/>
                <w:iCs w:val="0"/>
                <w:color w:val="auto"/>
                <w:sz w:val="18"/>
                <w:szCs w:val="18"/>
                <w:highlight w:val="none"/>
                <w:u w:val="none"/>
              </w:rPr>
            </w:pPr>
          </w:p>
        </w:tc>
      </w:tr>
      <w:tr w14:paraId="5C88D2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6B3A3A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TS508</w:t>
            </w:r>
          </w:p>
        </w:tc>
        <w:tc>
          <w:tcPr>
            <w:tcW w:w="4060" w:type="dxa"/>
            <w:gridSpan w:val="2"/>
            <w:tcBorders>
              <w:top w:val="nil"/>
              <w:left w:val="nil"/>
              <w:bottom w:val="single" w:color="000000" w:sz="4" w:space="0"/>
              <w:right w:val="single" w:color="000000" w:sz="4" w:space="0"/>
            </w:tcBorders>
            <w:shd w:val="clear" w:color="auto" w:fill="FFFFFF"/>
            <w:vAlign w:val="center"/>
          </w:tcPr>
          <w:p w14:paraId="6095933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中央管理与控制子系统</w:t>
            </w:r>
          </w:p>
        </w:tc>
        <w:tc>
          <w:tcPr>
            <w:tcW w:w="1000" w:type="dxa"/>
            <w:tcBorders>
              <w:top w:val="nil"/>
              <w:left w:val="nil"/>
              <w:bottom w:val="single" w:color="000000" w:sz="4" w:space="0"/>
              <w:right w:val="single" w:color="000000" w:sz="4" w:space="0"/>
            </w:tcBorders>
            <w:shd w:val="clear" w:color="auto" w:fill="FFFFFF"/>
            <w:vAlign w:val="center"/>
          </w:tcPr>
          <w:p w14:paraId="216E6487">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0495423D">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137B3173">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1C42027B">
            <w:pPr>
              <w:jc w:val="right"/>
              <w:rPr>
                <w:rFonts w:hint="default" w:ascii="Arial Narrow" w:hAnsi="Arial Narrow" w:eastAsia="Arial Narrow" w:cs="Arial Narrow"/>
                <w:i w:val="0"/>
                <w:iCs w:val="0"/>
                <w:color w:val="auto"/>
                <w:sz w:val="18"/>
                <w:szCs w:val="18"/>
                <w:highlight w:val="none"/>
                <w:u w:val="none"/>
              </w:rPr>
            </w:pPr>
          </w:p>
        </w:tc>
      </w:tr>
      <w:tr w14:paraId="307051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57EFBD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TS508-1</w:t>
            </w:r>
          </w:p>
        </w:tc>
        <w:tc>
          <w:tcPr>
            <w:tcW w:w="4060" w:type="dxa"/>
            <w:gridSpan w:val="2"/>
            <w:tcBorders>
              <w:top w:val="nil"/>
              <w:left w:val="nil"/>
              <w:bottom w:val="single" w:color="000000" w:sz="4" w:space="0"/>
              <w:right w:val="single" w:color="000000" w:sz="4" w:space="0"/>
            </w:tcBorders>
            <w:shd w:val="clear" w:color="auto" w:fill="FFFFFF"/>
            <w:vAlign w:val="center"/>
          </w:tcPr>
          <w:p w14:paraId="407B295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服务器</w:t>
            </w:r>
          </w:p>
        </w:tc>
        <w:tc>
          <w:tcPr>
            <w:tcW w:w="1000" w:type="dxa"/>
            <w:tcBorders>
              <w:top w:val="nil"/>
              <w:left w:val="nil"/>
              <w:bottom w:val="single" w:color="000000" w:sz="4" w:space="0"/>
              <w:right w:val="single" w:color="000000" w:sz="4" w:space="0"/>
            </w:tcBorders>
            <w:shd w:val="clear" w:color="auto" w:fill="FFFFFF"/>
            <w:vAlign w:val="center"/>
          </w:tcPr>
          <w:p w14:paraId="04145BCC">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16688091">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2648CF77">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4EF26724">
            <w:pPr>
              <w:jc w:val="right"/>
              <w:rPr>
                <w:rFonts w:hint="default" w:ascii="Arial Narrow" w:hAnsi="Arial Narrow" w:eastAsia="Arial Narrow" w:cs="Arial Narrow"/>
                <w:i w:val="0"/>
                <w:iCs w:val="0"/>
                <w:color w:val="auto"/>
                <w:sz w:val="18"/>
                <w:szCs w:val="18"/>
                <w:highlight w:val="none"/>
                <w:u w:val="none"/>
              </w:rPr>
            </w:pPr>
          </w:p>
        </w:tc>
      </w:tr>
      <w:tr w14:paraId="62A78B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0623F0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TS508-1-a</w:t>
            </w:r>
          </w:p>
        </w:tc>
        <w:tc>
          <w:tcPr>
            <w:tcW w:w="4060" w:type="dxa"/>
            <w:gridSpan w:val="2"/>
            <w:tcBorders>
              <w:top w:val="nil"/>
              <w:left w:val="nil"/>
              <w:bottom w:val="single" w:color="000000" w:sz="4" w:space="0"/>
              <w:right w:val="single" w:color="000000" w:sz="4" w:space="0"/>
            </w:tcBorders>
            <w:shd w:val="clear" w:color="auto" w:fill="FFFFFF"/>
            <w:vAlign w:val="center"/>
          </w:tcPr>
          <w:p w14:paraId="026C2B4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存储服务器</w:t>
            </w:r>
          </w:p>
        </w:tc>
        <w:tc>
          <w:tcPr>
            <w:tcW w:w="1000" w:type="dxa"/>
            <w:tcBorders>
              <w:top w:val="nil"/>
              <w:left w:val="nil"/>
              <w:bottom w:val="single" w:color="000000" w:sz="4" w:space="0"/>
              <w:right w:val="single" w:color="000000" w:sz="4" w:space="0"/>
            </w:tcBorders>
            <w:shd w:val="clear" w:color="auto" w:fill="FFFFFF"/>
            <w:vAlign w:val="center"/>
          </w:tcPr>
          <w:p w14:paraId="28C332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200" w:type="dxa"/>
            <w:gridSpan w:val="2"/>
            <w:tcBorders>
              <w:top w:val="nil"/>
              <w:left w:val="nil"/>
              <w:bottom w:val="single" w:color="000000" w:sz="4" w:space="0"/>
              <w:right w:val="single" w:color="000000" w:sz="4" w:space="0"/>
            </w:tcBorders>
            <w:shd w:val="clear" w:color="auto" w:fill="FFFFFF"/>
            <w:vAlign w:val="center"/>
          </w:tcPr>
          <w:p w14:paraId="0C917FCE">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656335BE">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2867D6C1">
            <w:pPr>
              <w:jc w:val="right"/>
              <w:rPr>
                <w:rFonts w:hint="default" w:ascii="Arial Narrow" w:hAnsi="Arial Narrow" w:eastAsia="Arial Narrow" w:cs="Arial Narrow"/>
                <w:i w:val="0"/>
                <w:iCs w:val="0"/>
                <w:color w:val="auto"/>
                <w:sz w:val="18"/>
                <w:szCs w:val="18"/>
                <w:highlight w:val="none"/>
                <w:u w:val="none"/>
              </w:rPr>
            </w:pPr>
          </w:p>
        </w:tc>
      </w:tr>
      <w:tr w14:paraId="087F61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2CF05EA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TS508-1-b</w:t>
            </w:r>
          </w:p>
        </w:tc>
        <w:tc>
          <w:tcPr>
            <w:tcW w:w="4060" w:type="dxa"/>
            <w:gridSpan w:val="2"/>
            <w:tcBorders>
              <w:top w:val="nil"/>
              <w:left w:val="nil"/>
              <w:bottom w:val="single" w:color="000000" w:sz="4" w:space="0"/>
              <w:right w:val="single" w:color="000000" w:sz="4" w:space="0"/>
            </w:tcBorders>
            <w:shd w:val="clear" w:color="auto" w:fill="FFFFFF"/>
            <w:vAlign w:val="center"/>
          </w:tcPr>
          <w:p w14:paraId="70A3700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设备统一接入服务器</w:t>
            </w:r>
          </w:p>
        </w:tc>
        <w:tc>
          <w:tcPr>
            <w:tcW w:w="1000" w:type="dxa"/>
            <w:tcBorders>
              <w:top w:val="nil"/>
              <w:left w:val="nil"/>
              <w:bottom w:val="single" w:color="000000" w:sz="4" w:space="0"/>
              <w:right w:val="single" w:color="000000" w:sz="4" w:space="0"/>
            </w:tcBorders>
            <w:shd w:val="clear" w:color="auto" w:fill="FFFFFF"/>
            <w:vAlign w:val="center"/>
          </w:tcPr>
          <w:p w14:paraId="23E768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200" w:type="dxa"/>
            <w:gridSpan w:val="2"/>
            <w:tcBorders>
              <w:top w:val="nil"/>
              <w:left w:val="nil"/>
              <w:bottom w:val="single" w:color="000000" w:sz="4" w:space="0"/>
              <w:right w:val="single" w:color="000000" w:sz="4" w:space="0"/>
            </w:tcBorders>
            <w:shd w:val="clear" w:color="auto" w:fill="FFFFFF"/>
            <w:vAlign w:val="center"/>
          </w:tcPr>
          <w:p w14:paraId="2CA326B2">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0F828CE4">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7974DAD0">
            <w:pPr>
              <w:jc w:val="right"/>
              <w:rPr>
                <w:rFonts w:hint="default" w:ascii="Arial Narrow" w:hAnsi="Arial Narrow" w:eastAsia="Arial Narrow" w:cs="Arial Narrow"/>
                <w:i w:val="0"/>
                <w:iCs w:val="0"/>
                <w:color w:val="auto"/>
                <w:sz w:val="18"/>
                <w:szCs w:val="18"/>
                <w:highlight w:val="none"/>
                <w:u w:val="none"/>
              </w:rPr>
            </w:pPr>
          </w:p>
        </w:tc>
      </w:tr>
      <w:tr w14:paraId="3EED02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558E46D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TS508-1-c</w:t>
            </w:r>
          </w:p>
        </w:tc>
        <w:tc>
          <w:tcPr>
            <w:tcW w:w="4060" w:type="dxa"/>
            <w:gridSpan w:val="2"/>
            <w:tcBorders>
              <w:top w:val="nil"/>
              <w:left w:val="nil"/>
              <w:bottom w:val="single" w:color="000000" w:sz="4" w:space="0"/>
              <w:right w:val="single" w:color="000000" w:sz="4" w:space="0"/>
            </w:tcBorders>
            <w:shd w:val="clear" w:color="auto" w:fill="FFFFFF"/>
            <w:vAlign w:val="center"/>
          </w:tcPr>
          <w:p w14:paraId="04C694E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业务服务器</w:t>
            </w:r>
          </w:p>
        </w:tc>
        <w:tc>
          <w:tcPr>
            <w:tcW w:w="1000" w:type="dxa"/>
            <w:tcBorders>
              <w:top w:val="nil"/>
              <w:left w:val="nil"/>
              <w:bottom w:val="single" w:color="000000" w:sz="4" w:space="0"/>
              <w:right w:val="single" w:color="000000" w:sz="4" w:space="0"/>
            </w:tcBorders>
            <w:shd w:val="clear" w:color="auto" w:fill="FFFFFF"/>
            <w:vAlign w:val="center"/>
          </w:tcPr>
          <w:p w14:paraId="7E784DC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200" w:type="dxa"/>
            <w:gridSpan w:val="2"/>
            <w:tcBorders>
              <w:top w:val="nil"/>
              <w:left w:val="nil"/>
              <w:bottom w:val="single" w:color="000000" w:sz="4" w:space="0"/>
              <w:right w:val="single" w:color="000000" w:sz="4" w:space="0"/>
            </w:tcBorders>
            <w:shd w:val="clear" w:color="auto" w:fill="FFFFFF"/>
            <w:vAlign w:val="center"/>
          </w:tcPr>
          <w:p w14:paraId="65E4A95E">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51948FB9">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07071409">
            <w:pPr>
              <w:jc w:val="right"/>
              <w:rPr>
                <w:rFonts w:hint="default" w:ascii="Arial Narrow" w:hAnsi="Arial Narrow" w:eastAsia="Arial Narrow" w:cs="Arial Narrow"/>
                <w:i w:val="0"/>
                <w:iCs w:val="0"/>
                <w:color w:val="auto"/>
                <w:sz w:val="18"/>
                <w:szCs w:val="18"/>
                <w:highlight w:val="none"/>
                <w:u w:val="none"/>
              </w:rPr>
            </w:pPr>
          </w:p>
        </w:tc>
      </w:tr>
      <w:tr w14:paraId="75460A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36C58C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TS508-1-d</w:t>
            </w:r>
          </w:p>
        </w:tc>
        <w:tc>
          <w:tcPr>
            <w:tcW w:w="4060" w:type="dxa"/>
            <w:gridSpan w:val="2"/>
            <w:tcBorders>
              <w:top w:val="nil"/>
              <w:left w:val="nil"/>
              <w:bottom w:val="single" w:color="000000" w:sz="4" w:space="0"/>
              <w:right w:val="single" w:color="000000" w:sz="4" w:space="0"/>
            </w:tcBorders>
            <w:shd w:val="clear" w:color="auto" w:fill="FFFFFF"/>
            <w:vAlign w:val="center"/>
          </w:tcPr>
          <w:p w14:paraId="026978B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全息业务服务器</w:t>
            </w:r>
          </w:p>
        </w:tc>
        <w:tc>
          <w:tcPr>
            <w:tcW w:w="1000" w:type="dxa"/>
            <w:tcBorders>
              <w:top w:val="nil"/>
              <w:left w:val="nil"/>
              <w:bottom w:val="single" w:color="000000" w:sz="4" w:space="0"/>
              <w:right w:val="single" w:color="000000" w:sz="4" w:space="0"/>
            </w:tcBorders>
            <w:shd w:val="clear" w:color="auto" w:fill="FFFFFF"/>
            <w:vAlign w:val="center"/>
          </w:tcPr>
          <w:p w14:paraId="30C2AEE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200" w:type="dxa"/>
            <w:gridSpan w:val="2"/>
            <w:tcBorders>
              <w:top w:val="nil"/>
              <w:left w:val="nil"/>
              <w:bottom w:val="single" w:color="000000" w:sz="4" w:space="0"/>
              <w:right w:val="single" w:color="000000" w:sz="4" w:space="0"/>
            </w:tcBorders>
            <w:shd w:val="clear" w:color="auto" w:fill="FFFFFF"/>
            <w:vAlign w:val="center"/>
          </w:tcPr>
          <w:p w14:paraId="3A2F45D5">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48DB73C5">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2551B498">
            <w:pPr>
              <w:jc w:val="right"/>
              <w:rPr>
                <w:rFonts w:hint="default" w:ascii="Arial Narrow" w:hAnsi="Arial Narrow" w:eastAsia="Arial Narrow" w:cs="Arial Narrow"/>
                <w:i w:val="0"/>
                <w:iCs w:val="0"/>
                <w:color w:val="auto"/>
                <w:sz w:val="18"/>
                <w:szCs w:val="18"/>
                <w:highlight w:val="none"/>
                <w:u w:val="none"/>
              </w:rPr>
            </w:pPr>
          </w:p>
        </w:tc>
      </w:tr>
      <w:tr w14:paraId="603841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5CCD54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TS508-1-e</w:t>
            </w:r>
          </w:p>
        </w:tc>
        <w:tc>
          <w:tcPr>
            <w:tcW w:w="4060" w:type="dxa"/>
            <w:gridSpan w:val="2"/>
            <w:tcBorders>
              <w:top w:val="nil"/>
              <w:left w:val="nil"/>
              <w:bottom w:val="single" w:color="000000" w:sz="4" w:space="0"/>
              <w:right w:val="single" w:color="000000" w:sz="4" w:space="0"/>
            </w:tcBorders>
            <w:shd w:val="clear" w:color="auto" w:fill="FFFFFF"/>
            <w:vAlign w:val="center"/>
          </w:tcPr>
          <w:p w14:paraId="75E1A61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数据分析服务器</w:t>
            </w:r>
          </w:p>
        </w:tc>
        <w:tc>
          <w:tcPr>
            <w:tcW w:w="1000" w:type="dxa"/>
            <w:tcBorders>
              <w:top w:val="nil"/>
              <w:left w:val="nil"/>
              <w:bottom w:val="single" w:color="000000" w:sz="4" w:space="0"/>
              <w:right w:val="single" w:color="000000" w:sz="4" w:space="0"/>
            </w:tcBorders>
            <w:shd w:val="clear" w:color="auto" w:fill="FFFFFF"/>
            <w:vAlign w:val="center"/>
          </w:tcPr>
          <w:p w14:paraId="3A906B0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200" w:type="dxa"/>
            <w:gridSpan w:val="2"/>
            <w:tcBorders>
              <w:top w:val="nil"/>
              <w:left w:val="nil"/>
              <w:bottom w:val="single" w:color="000000" w:sz="4" w:space="0"/>
              <w:right w:val="single" w:color="000000" w:sz="4" w:space="0"/>
            </w:tcBorders>
            <w:shd w:val="clear" w:color="auto" w:fill="FFFFFF"/>
            <w:vAlign w:val="center"/>
          </w:tcPr>
          <w:p w14:paraId="2B2E3A30">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359F47CA">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34D04633">
            <w:pPr>
              <w:jc w:val="right"/>
              <w:rPr>
                <w:rFonts w:hint="default" w:ascii="Arial Narrow" w:hAnsi="Arial Narrow" w:eastAsia="Arial Narrow" w:cs="Arial Narrow"/>
                <w:i w:val="0"/>
                <w:iCs w:val="0"/>
                <w:color w:val="auto"/>
                <w:sz w:val="18"/>
                <w:szCs w:val="18"/>
                <w:highlight w:val="none"/>
                <w:u w:val="none"/>
              </w:rPr>
            </w:pPr>
          </w:p>
        </w:tc>
      </w:tr>
      <w:tr w14:paraId="77A7A1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3A38F0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TS508-1-f</w:t>
            </w:r>
          </w:p>
        </w:tc>
        <w:tc>
          <w:tcPr>
            <w:tcW w:w="4060" w:type="dxa"/>
            <w:gridSpan w:val="2"/>
            <w:tcBorders>
              <w:top w:val="nil"/>
              <w:left w:val="nil"/>
              <w:bottom w:val="single" w:color="000000" w:sz="4" w:space="0"/>
              <w:right w:val="single" w:color="000000" w:sz="4" w:space="0"/>
            </w:tcBorders>
            <w:shd w:val="clear" w:color="auto" w:fill="FFFFFF"/>
            <w:vAlign w:val="center"/>
          </w:tcPr>
          <w:p w14:paraId="7C18D3F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视频解析服务器</w:t>
            </w:r>
          </w:p>
        </w:tc>
        <w:tc>
          <w:tcPr>
            <w:tcW w:w="1000" w:type="dxa"/>
            <w:tcBorders>
              <w:top w:val="nil"/>
              <w:left w:val="nil"/>
              <w:bottom w:val="single" w:color="000000" w:sz="4" w:space="0"/>
              <w:right w:val="single" w:color="000000" w:sz="4" w:space="0"/>
            </w:tcBorders>
            <w:shd w:val="clear" w:color="auto" w:fill="FFFFFF"/>
            <w:vAlign w:val="center"/>
          </w:tcPr>
          <w:p w14:paraId="0B853D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200" w:type="dxa"/>
            <w:gridSpan w:val="2"/>
            <w:tcBorders>
              <w:top w:val="nil"/>
              <w:left w:val="nil"/>
              <w:bottom w:val="single" w:color="000000" w:sz="4" w:space="0"/>
              <w:right w:val="single" w:color="000000" w:sz="4" w:space="0"/>
            </w:tcBorders>
            <w:shd w:val="clear" w:color="auto" w:fill="FFFFFF"/>
            <w:vAlign w:val="center"/>
          </w:tcPr>
          <w:p w14:paraId="1B107890">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124F7385">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5B6A7E57">
            <w:pPr>
              <w:jc w:val="right"/>
              <w:rPr>
                <w:rFonts w:hint="default" w:ascii="Arial Narrow" w:hAnsi="Arial Narrow" w:eastAsia="Arial Narrow" w:cs="Arial Narrow"/>
                <w:i w:val="0"/>
                <w:iCs w:val="0"/>
                <w:color w:val="auto"/>
                <w:sz w:val="18"/>
                <w:szCs w:val="18"/>
                <w:highlight w:val="none"/>
                <w:u w:val="none"/>
              </w:rPr>
            </w:pPr>
          </w:p>
        </w:tc>
      </w:tr>
      <w:tr w14:paraId="478A5C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2BFF3E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TS508-1-g</w:t>
            </w:r>
          </w:p>
        </w:tc>
        <w:tc>
          <w:tcPr>
            <w:tcW w:w="4060" w:type="dxa"/>
            <w:gridSpan w:val="2"/>
            <w:tcBorders>
              <w:top w:val="nil"/>
              <w:left w:val="nil"/>
              <w:bottom w:val="single" w:color="000000" w:sz="4" w:space="0"/>
              <w:right w:val="single" w:color="000000" w:sz="4" w:space="0"/>
            </w:tcBorders>
            <w:shd w:val="clear" w:color="auto" w:fill="FFFFFF"/>
            <w:vAlign w:val="center"/>
          </w:tcPr>
          <w:p w14:paraId="78515BC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展示服务器</w:t>
            </w:r>
          </w:p>
        </w:tc>
        <w:tc>
          <w:tcPr>
            <w:tcW w:w="1000" w:type="dxa"/>
            <w:tcBorders>
              <w:top w:val="nil"/>
              <w:left w:val="nil"/>
              <w:bottom w:val="single" w:color="000000" w:sz="4" w:space="0"/>
              <w:right w:val="single" w:color="000000" w:sz="4" w:space="0"/>
            </w:tcBorders>
            <w:shd w:val="clear" w:color="auto" w:fill="FFFFFF"/>
            <w:vAlign w:val="center"/>
          </w:tcPr>
          <w:p w14:paraId="101435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200" w:type="dxa"/>
            <w:gridSpan w:val="2"/>
            <w:tcBorders>
              <w:top w:val="nil"/>
              <w:left w:val="nil"/>
              <w:bottom w:val="single" w:color="000000" w:sz="4" w:space="0"/>
              <w:right w:val="single" w:color="000000" w:sz="4" w:space="0"/>
            </w:tcBorders>
            <w:shd w:val="clear" w:color="auto" w:fill="FFFFFF"/>
            <w:vAlign w:val="center"/>
          </w:tcPr>
          <w:p w14:paraId="5C541822">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2</w:t>
            </w:r>
          </w:p>
        </w:tc>
        <w:tc>
          <w:tcPr>
            <w:tcW w:w="1200" w:type="dxa"/>
            <w:gridSpan w:val="2"/>
            <w:tcBorders>
              <w:top w:val="nil"/>
              <w:left w:val="nil"/>
              <w:bottom w:val="single" w:color="000000" w:sz="4" w:space="0"/>
              <w:right w:val="single" w:color="000000" w:sz="4" w:space="0"/>
            </w:tcBorders>
            <w:shd w:val="clear" w:color="auto" w:fill="FFFFFF"/>
            <w:vAlign w:val="center"/>
          </w:tcPr>
          <w:p w14:paraId="5436D36E">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74010081">
            <w:pPr>
              <w:jc w:val="right"/>
              <w:rPr>
                <w:rFonts w:hint="default" w:ascii="Arial Narrow" w:hAnsi="Arial Narrow" w:eastAsia="Arial Narrow" w:cs="Arial Narrow"/>
                <w:i w:val="0"/>
                <w:iCs w:val="0"/>
                <w:color w:val="auto"/>
                <w:sz w:val="18"/>
                <w:szCs w:val="18"/>
                <w:highlight w:val="none"/>
                <w:u w:val="none"/>
              </w:rPr>
            </w:pPr>
          </w:p>
        </w:tc>
      </w:tr>
      <w:tr w14:paraId="622933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44053B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TS508-1-h</w:t>
            </w:r>
          </w:p>
        </w:tc>
        <w:tc>
          <w:tcPr>
            <w:tcW w:w="4060" w:type="dxa"/>
            <w:gridSpan w:val="2"/>
            <w:tcBorders>
              <w:top w:val="nil"/>
              <w:left w:val="nil"/>
              <w:bottom w:val="single" w:color="000000" w:sz="4" w:space="0"/>
              <w:right w:val="single" w:color="000000" w:sz="4" w:space="0"/>
            </w:tcBorders>
            <w:shd w:val="clear" w:color="auto" w:fill="FFFFFF"/>
            <w:vAlign w:val="center"/>
          </w:tcPr>
          <w:p w14:paraId="5A7C89D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光纤年租赁总费用</w:t>
            </w:r>
          </w:p>
        </w:tc>
        <w:tc>
          <w:tcPr>
            <w:tcW w:w="1000" w:type="dxa"/>
            <w:tcBorders>
              <w:top w:val="nil"/>
              <w:left w:val="nil"/>
              <w:bottom w:val="single" w:color="000000" w:sz="4" w:space="0"/>
              <w:right w:val="single" w:color="000000" w:sz="4" w:space="0"/>
            </w:tcBorders>
            <w:shd w:val="clear" w:color="auto" w:fill="FFFFFF"/>
            <w:vAlign w:val="center"/>
          </w:tcPr>
          <w:p w14:paraId="2FF4D5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年</w:t>
            </w:r>
          </w:p>
        </w:tc>
        <w:tc>
          <w:tcPr>
            <w:tcW w:w="1200" w:type="dxa"/>
            <w:gridSpan w:val="2"/>
            <w:tcBorders>
              <w:top w:val="nil"/>
              <w:left w:val="nil"/>
              <w:bottom w:val="single" w:color="000000" w:sz="4" w:space="0"/>
              <w:right w:val="single" w:color="000000" w:sz="4" w:space="0"/>
            </w:tcBorders>
            <w:shd w:val="clear" w:color="auto" w:fill="FFFFFF"/>
            <w:vAlign w:val="center"/>
          </w:tcPr>
          <w:p w14:paraId="7472A2DA">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2</w:t>
            </w:r>
          </w:p>
        </w:tc>
        <w:tc>
          <w:tcPr>
            <w:tcW w:w="1200" w:type="dxa"/>
            <w:gridSpan w:val="2"/>
            <w:tcBorders>
              <w:top w:val="nil"/>
              <w:left w:val="nil"/>
              <w:bottom w:val="single" w:color="000000" w:sz="4" w:space="0"/>
              <w:right w:val="single" w:color="000000" w:sz="4" w:space="0"/>
            </w:tcBorders>
            <w:shd w:val="clear" w:color="auto" w:fill="FFFFFF"/>
            <w:vAlign w:val="center"/>
          </w:tcPr>
          <w:p w14:paraId="72DE4F97">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74CD4159">
            <w:pPr>
              <w:jc w:val="right"/>
              <w:rPr>
                <w:rFonts w:hint="default" w:ascii="Arial Narrow" w:hAnsi="Arial Narrow" w:eastAsia="Arial Narrow" w:cs="Arial Narrow"/>
                <w:i w:val="0"/>
                <w:iCs w:val="0"/>
                <w:color w:val="auto"/>
                <w:sz w:val="18"/>
                <w:szCs w:val="18"/>
                <w:highlight w:val="none"/>
                <w:u w:val="none"/>
              </w:rPr>
            </w:pPr>
          </w:p>
        </w:tc>
      </w:tr>
      <w:tr w14:paraId="4D0949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5EEE8F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TS508-17</w:t>
            </w:r>
          </w:p>
        </w:tc>
        <w:tc>
          <w:tcPr>
            <w:tcW w:w="4060" w:type="dxa"/>
            <w:gridSpan w:val="2"/>
            <w:tcBorders>
              <w:top w:val="nil"/>
              <w:left w:val="nil"/>
              <w:bottom w:val="single" w:color="000000" w:sz="4" w:space="0"/>
              <w:right w:val="single" w:color="000000" w:sz="4" w:space="0"/>
            </w:tcBorders>
            <w:shd w:val="clear" w:color="auto" w:fill="FFFFFF"/>
            <w:vAlign w:val="center"/>
          </w:tcPr>
          <w:p w14:paraId="37B1226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软件</w:t>
            </w:r>
          </w:p>
        </w:tc>
        <w:tc>
          <w:tcPr>
            <w:tcW w:w="1000" w:type="dxa"/>
            <w:tcBorders>
              <w:top w:val="nil"/>
              <w:left w:val="nil"/>
              <w:bottom w:val="single" w:color="000000" w:sz="4" w:space="0"/>
              <w:right w:val="single" w:color="000000" w:sz="4" w:space="0"/>
            </w:tcBorders>
            <w:shd w:val="clear" w:color="auto" w:fill="FFFFFF"/>
            <w:vAlign w:val="center"/>
          </w:tcPr>
          <w:p w14:paraId="75A792B0">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5E131AA3">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6016712A">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271E54D3">
            <w:pPr>
              <w:jc w:val="right"/>
              <w:rPr>
                <w:rFonts w:hint="default" w:ascii="Arial Narrow" w:hAnsi="Arial Narrow" w:eastAsia="Arial Narrow" w:cs="Arial Narrow"/>
                <w:i w:val="0"/>
                <w:iCs w:val="0"/>
                <w:color w:val="auto"/>
                <w:sz w:val="18"/>
                <w:szCs w:val="18"/>
                <w:highlight w:val="none"/>
                <w:u w:val="none"/>
              </w:rPr>
            </w:pPr>
          </w:p>
        </w:tc>
      </w:tr>
      <w:tr w14:paraId="13DFAD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60B23A5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TS508-17-a</w:t>
            </w:r>
          </w:p>
        </w:tc>
        <w:tc>
          <w:tcPr>
            <w:tcW w:w="4060" w:type="dxa"/>
            <w:gridSpan w:val="2"/>
            <w:tcBorders>
              <w:top w:val="nil"/>
              <w:left w:val="nil"/>
              <w:bottom w:val="single" w:color="000000" w:sz="4" w:space="0"/>
              <w:right w:val="single" w:color="000000" w:sz="4" w:space="0"/>
            </w:tcBorders>
            <w:shd w:val="clear" w:color="auto" w:fill="FFFFFF"/>
            <w:vAlign w:val="center"/>
          </w:tcPr>
          <w:p w14:paraId="1F8F3AC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设备统一接入系统--产品管理与设备管理</w:t>
            </w:r>
          </w:p>
        </w:tc>
        <w:tc>
          <w:tcPr>
            <w:tcW w:w="1000" w:type="dxa"/>
            <w:tcBorders>
              <w:top w:val="nil"/>
              <w:left w:val="nil"/>
              <w:bottom w:val="single" w:color="000000" w:sz="4" w:space="0"/>
              <w:right w:val="single" w:color="000000" w:sz="4" w:space="0"/>
            </w:tcBorders>
            <w:shd w:val="clear" w:color="auto" w:fill="FFFFFF"/>
            <w:vAlign w:val="center"/>
          </w:tcPr>
          <w:p w14:paraId="2221A5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w:t>
            </w:r>
          </w:p>
        </w:tc>
        <w:tc>
          <w:tcPr>
            <w:tcW w:w="1200" w:type="dxa"/>
            <w:gridSpan w:val="2"/>
            <w:tcBorders>
              <w:top w:val="nil"/>
              <w:left w:val="nil"/>
              <w:bottom w:val="single" w:color="000000" w:sz="4" w:space="0"/>
              <w:right w:val="single" w:color="000000" w:sz="4" w:space="0"/>
            </w:tcBorders>
            <w:shd w:val="clear" w:color="auto" w:fill="FFFFFF"/>
            <w:vAlign w:val="center"/>
          </w:tcPr>
          <w:p w14:paraId="51F6781E">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5FB7489C">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075418E5">
            <w:pPr>
              <w:jc w:val="right"/>
              <w:rPr>
                <w:rFonts w:hint="default" w:ascii="Arial Narrow" w:hAnsi="Arial Narrow" w:eastAsia="Arial Narrow" w:cs="Arial Narrow"/>
                <w:i w:val="0"/>
                <w:iCs w:val="0"/>
                <w:color w:val="auto"/>
                <w:sz w:val="18"/>
                <w:szCs w:val="18"/>
                <w:highlight w:val="none"/>
                <w:u w:val="none"/>
              </w:rPr>
            </w:pPr>
          </w:p>
        </w:tc>
      </w:tr>
      <w:tr w14:paraId="0FEA9B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6FB2E15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TS508-17-b</w:t>
            </w:r>
          </w:p>
        </w:tc>
        <w:tc>
          <w:tcPr>
            <w:tcW w:w="4060" w:type="dxa"/>
            <w:gridSpan w:val="2"/>
            <w:tcBorders>
              <w:top w:val="nil"/>
              <w:left w:val="nil"/>
              <w:bottom w:val="single" w:color="000000" w:sz="4" w:space="0"/>
              <w:right w:val="single" w:color="000000" w:sz="4" w:space="0"/>
            </w:tcBorders>
            <w:shd w:val="clear" w:color="auto" w:fill="FFFFFF"/>
            <w:vAlign w:val="center"/>
          </w:tcPr>
          <w:p w14:paraId="2E8AA44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设备统一接入系统--设备虚拟化管理与控制</w:t>
            </w:r>
          </w:p>
        </w:tc>
        <w:tc>
          <w:tcPr>
            <w:tcW w:w="1000" w:type="dxa"/>
            <w:tcBorders>
              <w:top w:val="nil"/>
              <w:left w:val="nil"/>
              <w:bottom w:val="single" w:color="000000" w:sz="4" w:space="0"/>
              <w:right w:val="single" w:color="000000" w:sz="4" w:space="0"/>
            </w:tcBorders>
            <w:shd w:val="clear" w:color="auto" w:fill="FFFFFF"/>
            <w:vAlign w:val="center"/>
          </w:tcPr>
          <w:p w14:paraId="447217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w:t>
            </w:r>
          </w:p>
        </w:tc>
        <w:tc>
          <w:tcPr>
            <w:tcW w:w="1200" w:type="dxa"/>
            <w:gridSpan w:val="2"/>
            <w:tcBorders>
              <w:top w:val="nil"/>
              <w:left w:val="nil"/>
              <w:bottom w:val="single" w:color="000000" w:sz="4" w:space="0"/>
              <w:right w:val="single" w:color="000000" w:sz="4" w:space="0"/>
            </w:tcBorders>
            <w:shd w:val="clear" w:color="auto" w:fill="FFFFFF"/>
            <w:vAlign w:val="center"/>
          </w:tcPr>
          <w:p w14:paraId="0E3C3DE8">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6A91900C">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6AE6E5A0">
            <w:pPr>
              <w:jc w:val="right"/>
              <w:rPr>
                <w:rFonts w:hint="default" w:ascii="Arial Narrow" w:hAnsi="Arial Narrow" w:eastAsia="Arial Narrow" w:cs="Arial Narrow"/>
                <w:i w:val="0"/>
                <w:iCs w:val="0"/>
                <w:color w:val="auto"/>
                <w:sz w:val="18"/>
                <w:szCs w:val="18"/>
                <w:highlight w:val="none"/>
                <w:u w:val="none"/>
              </w:rPr>
            </w:pPr>
          </w:p>
        </w:tc>
      </w:tr>
      <w:tr w14:paraId="336B27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40C3B6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TS508-17-c</w:t>
            </w:r>
          </w:p>
        </w:tc>
        <w:tc>
          <w:tcPr>
            <w:tcW w:w="4060" w:type="dxa"/>
            <w:gridSpan w:val="2"/>
            <w:tcBorders>
              <w:top w:val="nil"/>
              <w:left w:val="nil"/>
              <w:bottom w:val="single" w:color="000000" w:sz="4" w:space="0"/>
              <w:right w:val="single" w:color="000000" w:sz="4" w:space="0"/>
            </w:tcBorders>
            <w:shd w:val="clear" w:color="auto" w:fill="FFFFFF"/>
            <w:vAlign w:val="center"/>
          </w:tcPr>
          <w:p w14:paraId="1649774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设备统一接入系统--设备监控与预警</w:t>
            </w:r>
          </w:p>
        </w:tc>
        <w:tc>
          <w:tcPr>
            <w:tcW w:w="1000" w:type="dxa"/>
            <w:tcBorders>
              <w:top w:val="nil"/>
              <w:left w:val="nil"/>
              <w:bottom w:val="single" w:color="000000" w:sz="4" w:space="0"/>
              <w:right w:val="single" w:color="000000" w:sz="4" w:space="0"/>
            </w:tcBorders>
            <w:shd w:val="clear" w:color="auto" w:fill="FFFFFF"/>
            <w:vAlign w:val="center"/>
          </w:tcPr>
          <w:p w14:paraId="157A940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w:t>
            </w:r>
          </w:p>
        </w:tc>
        <w:tc>
          <w:tcPr>
            <w:tcW w:w="1200" w:type="dxa"/>
            <w:gridSpan w:val="2"/>
            <w:tcBorders>
              <w:top w:val="nil"/>
              <w:left w:val="nil"/>
              <w:bottom w:val="single" w:color="000000" w:sz="4" w:space="0"/>
              <w:right w:val="single" w:color="000000" w:sz="4" w:space="0"/>
            </w:tcBorders>
            <w:shd w:val="clear" w:color="auto" w:fill="FFFFFF"/>
            <w:vAlign w:val="center"/>
          </w:tcPr>
          <w:p w14:paraId="4CC64FCD">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1D8DCE45">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4D5B9F3A">
            <w:pPr>
              <w:jc w:val="right"/>
              <w:rPr>
                <w:rFonts w:hint="default" w:ascii="Arial Narrow" w:hAnsi="Arial Narrow" w:eastAsia="Arial Narrow" w:cs="Arial Narrow"/>
                <w:i w:val="0"/>
                <w:iCs w:val="0"/>
                <w:color w:val="auto"/>
                <w:sz w:val="18"/>
                <w:szCs w:val="18"/>
                <w:highlight w:val="none"/>
                <w:u w:val="none"/>
              </w:rPr>
            </w:pPr>
          </w:p>
        </w:tc>
      </w:tr>
      <w:tr w14:paraId="003020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556CDC7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TS508-17-d</w:t>
            </w:r>
          </w:p>
        </w:tc>
        <w:tc>
          <w:tcPr>
            <w:tcW w:w="4060" w:type="dxa"/>
            <w:gridSpan w:val="2"/>
            <w:tcBorders>
              <w:top w:val="nil"/>
              <w:left w:val="nil"/>
              <w:bottom w:val="single" w:color="000000" w:sz="4" w:space="0"/>
              <w:right w:val="single" w:color="000000" w:sz="4" w:space="0"/>
            </w:tcBorders>
            <w:shd w:val="clear" w:color="auto" w:fill="FFFFFF"/>
            <w:vAlign w:val="center"/>
          </w:tcPr>
          <w:p w14:paraId="07082B0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设备统一接入系统--消息通知与数据管道</w:t>
            </w:r>
          </w:p>
        </w:tc>
        <w:tc>
          <w:tcPr>
            <w:tcW w:w="1000" w:type="dxa"/>
            <w:tcBorders>
              <w:top w:val="nil"/>
              <w:left w:val="nil"/>
              <w:bottom w:val="single" w:color="000000" w:sz="4" w:space="0"/>
              <w:right w:val="single" w:color="000000" w:sz="4" w:space="0"/>
            </w:tcBorders>
            <w:shd w:val="clear" w:color="auto" w:fill="FFFFFF"/>
            <w:vAlign w:val="center"/>
          </w:tcPr>
          <w:p w14:paraId="3D73D84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w:t>
            </w:r>
          </w:p>
        </w:tc>
        <w:tc>
          <w:tcPr>
            <w:tcW w:w="1200" w:type="dxa"/>
            <w:gridSpan w:val="2"/>
            <w:tcBorders>
              <w:top w:val="nil"/>
              <w:left w:val="nil"/>
              <w:bottom w:val="single" w:color="000000" w:sz="4" w:space="0"/>
              <w:right w:val="single" w:color="000000" w:sz="4" w:space="0"/>
            </w:tcBorders>
            <w:shd w:val="clear" w:color="auto" w:fill="FFFFFF"/>
            <w:vAlign w:val="center"/>
          </w:tcPr>
          <w:p w14:paraId="104CAECA">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552CE77E">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25D736A4">
            <w:pPr>
              <w:jc w:val="right"/>
              <w:rPr>
                <w:rFonts w:hint="default" w:ascii="Arial Narrow" w:hAnsi="Arial Narrow" w:eastAsia="Arial Narrow" w:cs="Arial Narrow"/>
                <w:i w:val="0"/>
                <w:iCs w:val="0"/>
                <w:color w:val="auto"/>
                <w:sz w:val="18"/>
                <w:szCs w:val="18"/>
                <w:highlight w:val="none"/>
                <w:u w:val="none"/>
              </w:rPr>
            </w:pPr>
          </w:p>
        </w:tc>
      </w:tr>
      <w:tr w14:paraId="144403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0AB4BC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TS508-17-e</w:t>
            </w:r>
          </w:p>
        </w:tc>
        <w:tc>
          <w:tcPr>
            <w:tcW w:w="4060" w:type="dxa"/>
            <w:gridSpan w:val="2"/>
            <w:tcBorders>
              <w:top w:val="nil"/>
              <w:left w:val="nil"/>
              <w:bottom w:val="single" w:color="000000" w:sz="4" w:space="0"/>
              <w:right w:val="single" w:color="000000" w:sz="4" w:space="0"/>
            </w:tcBorders>
            <w:shd w:val="clear" w:color="auto" w:fill="FFFFFF"/>
            <w:vAlign w:val="center"/>
          </w:tcPr>
          <w:p w14:paraId="617CE6A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设备统一接入系统--规则引擎</w:t>
            </w:r>
          </w:p>
        </w:tc>
        <w:tc>
          <w:tcPr>
            <w:tcW w:w="1000" w:type="dxa"/>
            <w:tcBorders>
              <w:top w:val="nil"/>
              <w:left w:val="nil"/>
              <w:bottom w:val="single" w:color="000000" w:sz="4" w:space="0"/>
              <w:right w:val="single" w:color="000000" w:sz="4" w:space="0"/>
            </w:tcBorders>
            <w:shd w:val="clear" w:color="auto" w:fill="FFFFFF"/>
            <w:vAlign w:val="center"/>
          </w:tcPr>
          <w:p w14:paraId="7E3953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w:t>
            </w:r>
          </w:p>
        </w:tc>
        <w:tc>
          <w:tcPr>
            <w:tcW w:w="1200" w:type="dxa"/>
            <w:gridSpan w:val="2"/>
            <w:tcBorders>
              <w:top w:val="nil"/>
              <w:left w:val="nil"/>
              <w:bottom w:val="single" w:color="000000" w:sz="4" w:space="0"/>
              <w:right w:val="single" w:color="000000" w:sz="4" w:space="0"/>
            </w:tcBorders>
            <w:shd w:val="clear" w:color="auto" w:fill="FFFFFF"/>
            <w:vAlign w:val="center"/>
          </w:tcPr>
          <w:p w14:paraId="4FBFC463">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3C0C9A3B">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3BE62F6F">
            <w:pPr>
              <w:jc w:val="right"/>
              <w:rPr>
                <w:rFonts w:hint="default" w:ascii="Arial Narrow" w:hAnsi="Arial Narrow" w:eastAsia="Arial Narrow" w:cs="Arial Narrow"/>
                <w:i w:val="0"/>
                <w:iCs w:val="0"/>
                <w:color w:val="auto"/>
                <w:sz w:val="18"/>
                <w:szCs w:val="18"/>
                <w:highlight w:val="none"/>
                <w:u w:val="none"/>
              </w:rPr>
            </w:pPr>
          </w:p>
        </w:tc>
      </w:tr>
      <w:tr w14:paraId="525579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78C74B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TS508-17-f</w:t>
            </w:r>
          </w:p>
        </w:tc>
        <w:tc>
          <w:tcPr>
            <w:tcW w:w="4060" w:type="dxa"/>
            <w:gridSpan w:val="2"/>
            <w:tcBorders>
              <w:top w:val="nil"/>
              <w:left w:val="nil"/>
              <w:bottom w:val="single" w:color="000000" w:sz="4" w:space="0"/>
              <w:right w:val="single" w:color="000000" w:sz="4" w:space="0"/>
            </w:tcBorders>
            <w:shd w:val="clear" w:color="auto" w:fill="FFFFFF"/>
            <w:vAlign w:val="center"/>
          </w:tcPr>
          <w:p w14:paraId="74CF7CC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设备统一接入系统--设备接入日志与系统设置</w:t>
            </w:r>
          </w:p>
        </w:tc>
        <w:tc>
          <w:tcPr>
            <w:tcW w:w="1000" w:type="dxa"/>
            <w:tcBorders>
              <w:top w:val="nil"/>
              <w:left w:val="nil"/>
              <w:bottom w:val="single" w:color="000000" w:sz="4" w:space="0"/>
              <w:right w:val="single" w:color="000000" w:sz="4" w:space="0"/>
            </w:tcBorders>
            <w:shd w:val="clear" w:color="auto" w:fill="FFFFFF"/>
            <w:vAlign w:val="center"/>
          </w:tcPr>
          <w:p w14:paraId="75BD190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w:t>
            </w:r>
          </w:p>
        </w:tc>
        <w:tc>
          <w:tcPr>
            <w:tcW w:w="1200" w:type="dxa"/>
            <w:gridSpan w:val="2"/>
            <w:tcBorders>
              <w:top w:val="nil"/>
              <w:left w:val="nil"/>
              <w:bottom w:val="single" w:color="000000" w:sz="4" w:space="0"/>
              <w:right w:val="single" w:color="000000" w:sz="4" w:space="0"/>
            </w:tcBorders>
            <w:shd w:val="clear" w:color="auto" w:fill="FFFFFF"/>
            <w:vAlign w:val="center"/>
          </w:tcPr>
          <w:p w14:paraId="776C6663">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44FB077E">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663650AB">
            <w:pPr>
              <w:jc w:val="right"/>
              <w:rPr>
                <w:rFonts w:hint="default" w:ascii="Arial Narrow" w:hAnsi="Arial Narrow" w:eastAsia="Arial Narrow" w:cs="Arial Narrow"/>
                <w:i w:val="0"/>
                <w:iCs w:val="0"/>
                <w:color w:val="auto"/>
                <w:sz w:val="18"/>
                <w:szCs w:val="18"/>
                <w:highlight w:val="none"/>
                <w:u w:val="none"/>
              </w:rPr>
            </w:pPr>
          </w:p>
        </w:tc>
      </w:tr>
      <w:tr w14:paraId="685BE6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314FAE3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TS508-17-g</w:t>
            </w:r>
          </w:p>
        </w:tc>
        <w:tc>
          <w:tcPr>
            <w:tcW w:w="4060" w:type="dxa"/>
            <w:gridSpan w:val="2"/>
            <w:tcBorders>
              <w:top w:val="nil"/>
              <w:left w:val="nil"/>
              <w:bottom w:val="single" w:color="000000" w:sz="4" w:space="0"/>
              <w:right w:val="single" w:color="000000" w:sz="4" w:space="0"/>
            </w:tcBorders>
            <w:shd w:val="clear" w:color="auto" w:fill="FFFFFF"/>
            <w:vAlign w:val="center"/>
          </w:tcPr>
          <w:p w14:paraId="100C083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设备统一接入系统--综合视图模块</w:t>
            </w:r>
          </w:p>
        </w:tc>
        <w:tc>
          <w:tcPr>
            <w:tcW w:w="1000" w:type="dxa"/>
            <w:tcBorders>
              <w:top w:val="nil"/>
              <w:left w:val="nil"/>
              <w:bottom w:val="single" w:color="000000" w:sz="4" w:space="0"/>
              <w:right w:val="single" w:color="000000" w:sz="4" w:space="0"/>
            </w:tcBorders>
            <w:shd w:val="clear" w:color="auto" w:fill="FFFFFF"/>
            <w:vAlign w:val="center"/>
          </w:tcPr>
          <w:p w14:paraId="5CE5BC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w:t>
            </w:r>
          </w:p>
        </w:tc>
        <w:tc>
          <w:tcPr>
            <w:tcW w:w="1200" w:type="dxa"/>
            <w:gridSpan w:val="2"/>
            <w:tcBorders>
              <w:top w:val="nil"/>
              <w:left w:val="nil"/>
              <w:bottom w:val="single" w:color="000000" w:sz="4" w:space="0"/>
              <w:right w:val="single" w:color="000000" w:sz="4" w:space="0"/>
            </w:tcBorders>
            <w:shd w:val="clear" w:color="auto" w:fill="FFFFFF"/>
            <w:vAlign w:val="center"/>
          </w:tcPr>
          <w:p w14:paraId="751CEFDE">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661F45BE">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71A6693E">
            <w:pPr>
              <w:jc w:val="right"/>
              <w:rPr>
                <w:rFonts w:hint="default" w:ascii="Arial Narrow" w:hAnsi="Arial Narrow" w:eastAsia="Arial Narrow" w:cs="Arial Narrow"/>
                <w:i w:val="0"/>
                <w:iCs w:val="0"/>
                <w:color w:val="auto"/>
                <w:sz w:val="18"/>
                <w:szCs w:val="18"/>
                <w:highlight w:val="none"/>
                <w:u w:val="none"/>
              </w:rPr>
            </w:pPr>
          </w:p>
        </w:tc>
      </w:tr>
      <w:tr w14:paraId="28AF55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294112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TS508-17-h</w:t>
            </w:r>
          </w:p>
        </w:tc>
        <w:tc>
          <w:tcPr>
            <w:tcW w:w="4060" w:type="dxa"/>
            <w:gridSpan w:val="2"/>
            <w:tcBorders>
              <w:top w:val="nil"/>
              <w:left w:val="nil"/>
              <w:bottom w:val="single" w:color="000000" w:sz="4" w:space="0"/>
              <w:right w:val="single" w:color="000000" w:sz="4" w:space="0"/>
            </w:tcBorders>
            <w:shd w:val="clear" w:color="auto" w:fill="FFFFFF"/>
            <w:vAlign w:val="center"/>
          </w:tcPr>
          <w:p w14:paraId="4F9239E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隧道综合管控系统--隧道多维度监测</w:t>
            </w:r>
          </w:p>
        </w:tc>
        <w:tc>
          <w:tcPr>
            <w:tcW w:w="1000" w:type="dxa"/>
            <w:tcBorders>
              <w:top w:val="nil"/>
              <w:left w:val="nil"/>
              <w:bottom w:val="single" w:color="000000" w:sz="4" w:space="0"/>
              <w:right w:val="single" w:color="000000" w:sz="4" w:space="0"/>
            </w:tcBorders>
            <w:shd w:val="clear" w:color="auto" w:fill="FFFFFF"/>
            <w:vAlign w:val="center"/>
          </w:tcPr>
          <w:p w14:paraId="4BBF96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w:t>
            </w:r>
          </w:p>
        </w:tc>
        <w:tc>
          <w:tcPr>
            <w:tcW w:w="1200" w:type="dxa"/>
            <w:gridSpan w:val="2"/>
            <w:tcBorders>
              <w:top w:val="nil"/>
              <w:left w:val="nil"/>
              <w:bottom w:val="single" w:color="000000" w:sz="4" w:space="0"/>
              <w:right w:val="single" w:color="000000" w:sz="4" w:space="0"/>
            </w:tcBorders>
            <w:shd w:val="clear" w:color="auto" w:fill="FFFFFF"/>
            <w:vAlign w:val="center"/>
          </w:tcPr>
          <w:p w14:paraId="0B8376B4">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51AD4EF2">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777C9D90">
            <w:pPr>
              <w:jc w:val="right"/>
              <w:rPr>
                <w:rFonts w:hint="default" w:ascii="Arial Narrow" w:hAnsi="Arial Narrow" w:eastAsia="Arial Narrow" w:cs="Arial Narrow"/>
                <w:i w:val="0"/>
                <w:iCs w:val="0"/>
                <w:color w:val="auto"/>
                <w:sz w:val="18"/>
                <w:szCs w:val="18"/>
                <w:highlight w:val="none"/>
                <w:u w:val="none"/>
              </w:rPr>
            </w:pPr>
          </w:p>
        </w:tc>
      </w:tr>
      <w:tr w14:paraId="28025A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305289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TS508-17-i</w:t>
            </w:r>
          </w:p>
        </w:tc>
        <w:tc>
          <w:tcPr>
            <w:tcW w:w="4060" w:type="dxa"/>
            <w:gridSpan w:val="2"/>
            <w:tcBorders>
              <w:top w:val="nil"/>
              <w:left w:val="nil"/>
              <w:bottom w:val="single" w:color="000000" w:sz="4" w:space="0"/>
              <w:right w:val="single" w:color="000000" w:sz="4" w:space="0"/>
            </w:tcBorders>
            <w:shd w:val="clear" w:color="auto" w:fill="FFFFFF"/>
            <w:vAlign w:val="center"/>
          </w:tcPr>
          <w:p w14:paraId="2892ADA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隧道综合管控系统--隧道多元化信息展示</w:t>
            </w:r>
          </w:p>
        </w:tc>
        <w:tc>
          <w:tcPr>
            <w:tcW w:w="1000" w:type="dxa"/>
            <w:tcBorders>
              <w:top w:val="nil"/>
              <w:left w:val="nil"/>
              <w:bottom w:val="single" w:color="000000" w:sz="4" w:space="0"/>
              <w:right w:val="single" w:color="000000" w:sz="4" w:space="0"/>
            </w:tcBorders>
            <w:shd w:val="clear" w:color="auto" w:fill="FFFFFF"/>
            <w:vAlign w:val="center"/>
          </w:tcPr>
          <w:p w14:paraId="3DC085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w:t>
            </w:r>
          </w:p>
        </w:tc>
        <w:tc>
          <w:tcPr>
            <w:tcW w:w="1200" w:type="dxa"/>
            <w:gridSpan w:val="2"/>
            <w:tcBorders>
              <w:top w:val="nil"/>
              <w:left w:val="nil"/>
              <w:bottom w:val="single" w:color="000000" w:sz="4" w:space="0"/>
              <w:right w:val="single" w:color="000000" w:sz="4" w:space="0"/>
            </w:tcBorders>
            <w:shd w:val="clear" w:color="auto" w:fill="FFFFFF"/>
            <w:vAlign w:val="center"/>
          </w:tcPr>
          <w:p w14:paraId="100AEFBC">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106A8DEE">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0CEB50C1">
            <w:pPr>
              <w:jc w:val="right"/>
              <w:rPr>
                <w:rFonts w:hint="default" w:ascii="Arial Narrow" w:hAnsi="Arial Narrow" w:eastAsia="Arial Narrow" w:cs="Arial Narrow"/>
                <w:i w:val="0"/>
                <w:iCs w:val="0"/>
                <w:color w:val="auto"/>
                <w:sz w:val="18"/>
                <w:szCs w:val="18"/>
                <w:highlight w:val="none"/>
                <w:u w:val="none"/>
              </w:rPr>
            </w:pPr>
          </w:p>
        </w:tc>
      </w:tr>
      <w:tr w14:paraId="17CE43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385205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TS508-17-j</w:t>
            </w:r>
          </w:p>
        </w:tc>
        <w:tc>
          <w:tcPr>
            <w:tcW w:w="4060" w:type="dxa"/>
            <w:gridSpan w:val="2"/>
            <w:tcBorders>
              <w:top w:val="nil"/>
              <w:left w:val="nil"/>
              <w:bottom w:val="single" w:color="000000" w:sz="4" w:space="0"/>
              <w:right w:val="single" w:color="000000" w:sz="4" w:space="0"/>
            </w:tcBorders>
            <w:shd w:val="clear" w:color="auto" w:fill="FFFFFF"/>
            <w:vAlign w:val="center"/>
          </w:tcPr>
          <w:p w14:paraId="667587C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隧道综合管控系统--全天可视化监控</w:t>
            </w:r>
          </w:p>
        </w:tc>
        <w:tc>
          <w:tcPr>
            <w:tcW w:w="1000" w:type="dxa"/>
            <w:tcBorders>
              <w:top w:val="nil"/>
              <w:left w:val="nil"/>
              <w:bottom w:val="single" w:color="000000" w:sz="4" w:space="0"/>
              <w:right w:val="single" w:color="000000" w:sz="4" w:space="0"/>
            </w:tcBorders>
            <w:shd w:val="clear" w:color="auto" w:fill="FFFFFF"/>
            <w:vAlign w:val="center"/>
          </w:tcPr>
          <w:p w14:paraId="5CA36E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w:t>
            </w:r>
          </w:p>
        </w:tc>
        <w:tc>
          <w:tcPr>
            <w:tcW w:w="1200" w:type="dxa"/>
            <w:gridSpan w:val="2"/>
            <w:tcBorders>
              <w:top w:val="nil"/>
              <w:left w:val="nil"/>
              <w:bottom w:val="single" w:color="000000" w:sz="4" w:space="0"/>
              <w:right w:val="single" w:color="000000" w:sz="4" w:space="0"/>
            </w:tcBorders>
            <w:shd w:val="clear" w:color="auto" w:fill="FFFFFF"/>
            <w:vAlign w:val="center"/>
          </w:tcPr>
          <w:p w14:paraId="769DC343">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36BB383D">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7E84C14B">
            <w:pPr>
              <w:jc w:val="right"/>
              <w:rPr>
                <w:rFonts w:hint="default" w:ascii="Arial Narrow" w:hAnsi="Arial Narrow" w:eastAsia="Arial Narrow" w:cs="Arial Narrow"/>
                <w:i w:val="0"/>
                <w:iCs w:val="0"/>
                <w:color w:val="auto"/>
                <w:sz w:val="18"/>
                <w:szCs w:val="18"/>
                <w:highlight w:val="none"/>
                <w:u w:val="none"/>
              </w:rPr>
            </w:pPr>
          </w:p>
        </w:tc>
      </w:tr>
      <w:tr w14:paraId="62A28C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4F02A211">
            <w:pPr>
              <w:jc w:val="center"/>
              <w:rPr>
                <w:rFonts w:hint="eastAsia" w:ascii="宋体" w:hAnsi="宋体" w:eastAsia="宋体" w:cs="宋体"/>
                <w:i w:val="0"/>
                <w:iCs w:val="0"/>
                <w:color w:val="auto"/>
                <w:sz w:val="18"/>
                <w:szCs w:val="18"/>
                <w:highlight w:val="none"/>
                <w:u w:val="none"/>
              </w:rPr>
            </w:pPr>
          </w:p>
        </w:tc>
        <w:tc>
          <w:tcPr>
            <w:tcW w:w="4060" w:type="dxa"/>
            <w:gridSpan w:val="2"/>
            <w:tcBorders>
              <w:top w:val="nil"/>
              <w:left w:val="nil"/>
              <w:bottom w:val="single" w:color="000000" w:sz="4" w:space="0"/>
              <w:right w:val="single" w:color="000000" w:sz="4" w:space="0"/>
            </w:tcBorders>
            <w:shd w:val="clear" w:color="auto" w:fill="FFFFFF"/>
            <w:vAlign w:val="center"/>
          </w:tcPr>
          <w:p w14:paraId="65DA7E57">
            <w:pPr>
              <w:jc w:val="left"/>
              <w:rPr>
                <w:rFonts w:hint="eastAsia" w:ascii="宋体" w:hAnsi="宋体" w:eastAsia="宋体" w:cs="宋体"/>
                <w:i w:val="0"/>
                <w:iCs w:val="0"/>
                <w:color w:val="auto"/>
                <w:sz w:val="18"/>
                <w:szCs w:val="18"/>
                <w:highlight w:val="none"/>
                <w:u w:val="none"/>
              </w:rPr>
            </w:pPr>
          </w:p>
        </w:tc>
        <w:tc>
          <w:tcPr>
            <w:tcW w:w="1000" w:type="dxa"/>
            <w:tcBorders>
              <w:top w:val="nil"/>
              <w:left w:val="nil"/>
              <w:bottom w:val="single" w:color="000000" w:sz="4" w:space="0"/>
              <w:right w:val="single" w:color="000000" w:sz="4" w:space="0"/>
            </w:tcBorders>
            <w:shd w:val="clear" w:color="auto" w:fill="FFFFFF"/>
            <w:vAlign w:val="center"/>
          </w:tcPr>
          <w:p w14:paraId="1F6E0CE6">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714B25CF">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700FBBC9">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28F9DA5C">
            <w:pPr>
              <w:jc w:val="right"/>
              <w:rPr>
                <w:rFonts w:hint="default" w:ascii="Arial Narrow" w:hAnsi="Arial Narrow" w:eastAsia="Arial Narrow" w:cs="Arial Narrow"/>
                <w:i w:val="0"/>
                <w:iCs w:val="0"/>
                <w:color w:val="auto"/>
                <w:sz w:val="18"/>
                <w:szCs w:val="18"/>
                <w:highlight w:val="none"/>
                <w:u w:val="none"/>
              </w:rPr>
            </w:pPr>
          </w:p>
        </w:tc>
      </w:tr>
    </w:tbl>
    <w:p w14:paraId="6591A0D4">
      <w:pPr>
        <w:bidi w:val="0"/>
        <w:rPr>
          <w:rFonts w:hint="eastAsia"/>
          <w:color w:val="auto"/>
          <w:highlight w:val="none"/>
          <w:lang w:val="en-US" w:eastAsia="zh-CN"/>
        </w:rPr>
      </w:pPr>
    </w:p>
    <w:p w14:paraId="25E7B08F">
      <w:pPr>
        <w:bidi w:val="0"/>
        <w:rPr>
          <w:rFonts w:hint="eastAsia"/>
          <w:color w:val="auto"/>
          <w:highlight w:val="none"/>
          <w:lang w:val="en-US" w:eastAsia="zh-CN"/>
        </w:rPr>
      </w:pPr>
      <w:r>
        <w:rPr>
          <w:rFonts w:hint="eastAsia"/>
          <w:color w:val="auto"/>
          <w:highlight w:val="none"/>
          <w:lang w:val="en-US" w:eastAsia="zh-CN"/>
        </w:rPr>
        <w:br w:type="page"/>
      </w:r>
    </w:p>
    <w:tbl>
      <w:tblPr>
        <w:tblStyle w:val="23"/>
        <w:tblW w:w="96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16"/>
        <w:gridCol w:w="2422"/>
        <w:gridCol w:w="1572"/>
        <w:gridCol w:w="987"/>
        <w:gridCol w:w="787"/>
        <w:gridCol w:w="397"/>
        <w:gridCol w:w="594"/>
        <w:gridCol w:w="595"/>
        <w:gridCol w:w="396"/>
        <w:gridCol w:w="794"/>
      </w:tblGrid>
      <w:tr w14:paraId="40F636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9660" w:type="dxa"/>
            <w:gridSpan w:val="10"/>
            <w:tcBorders>
              <w:top w:val="nil"/>
              <w:left w:val="nil"/>
              <w:bottom w:val="nil"/>
              <w:right w:val="nil"/>
            </w:tcBorders>
            <w:shd w:val="clear" w:color="auto" w:fill="FFFFFF"/>
            <w:vAlign w:val="top"/>
          </w:tcPr>
          <w:p w14:paraId="59D1EDA4">
            <w:pPr>
              <w:keepNext w:val="0"/>
              <w:keepLines w:val="0"/>
              <w:widowControl/>
              <w:suppressLineNumbers w:val="0"/>
              <w:jc w:val="center"/>
              <w:textAlignment w:val="top"/>
              <w:rPr>
                <w:rFonts w:hint="eastAsia" w:ascii="宋体" w:hAnsi="宋体" w:eastAsia="宋体" w:cs="宋体"/>
                <w:b/>
                <w:bCs/>
                <w:i w:val="0"/>
                <w:iCs w:val="0"/>
                <w:color w:val="auto"/>
                <w:sz w:val="36"/>
                <w:szCs w:val="36"/>
                <w:highlight w:val="none"/>
                <w:u w:val="none"/>
              </w:rPr>
            </w:pPr>
            <w:r>
              <w:rPr>
                <w:rFonts w:hint="eastAsia" w:ascii="宋体" w:hAnsi="宋体" w:eastAsia="宋体" w:cs="宋体"/>
                <w:b/>
                <w:bCs/>
                <w:i w:val="0"/>
                <w:iCs w:val="0"/>
                <w:color w:val="auto"/>
                <w:kern w:val="0"/>
                <w:sz w:val="36"/>
                <w:szCs w:val="36"/>
                <w:highlight w:val="none"/>
                <w:u w:val="none"/>
                <w:lang w:val="en-US" w:eastAsia="zh-CN" w:bidi="ar"/>
              </w:rPr>
              <w:t>工程细目工程量清单</w:t>
            </w:r>
          </w:p>
        </w:tc>
      </w:tr>
      <w:tr w14:paraId="73EB0E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9660" w:type="dxa"/>
            <w:gridSpan w:val="10"/>
            <w:tcBorders>
              <w:top w:val="nil"/>
              <w:left w:val="nil"/>
              <w:bottom w:val="nil"/>
              <w:right w:val="nil"/>
            </w:tcBorders>
            <w:shd w:val="clear" w:color="auto" w:fill="FFFFFF"/>
            <w:vAlign w:val="center"/>
          </w:tcPr>
          <w:p w14:paraId="34369DCF">
            <w:pPr>
              <w:jc w:val="right"/>
              <w:rPr>
                <w:rFonts w:hint="eastAsia" w:ascii="宋体" w:hAnsi="宋体" w:eastAsia="宋体" w:cs="宋体"/>
                <w:i w:val="0"/>
                <w:iCs w:val="0"/>
                <w:color w:val="auto"/>
                <w:sz w:val="18"/>
                <w:szCs w:val="18"/>
                <w:highlight w:val="none"/>
                <w:u w:val="none"/>
              </w:rPr>
            </w:pPr>
          </w:p>
        </w:tc>
      </w:tr>
      <w:tr w14:paraId="534298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3460" w:type="dxa"/>
            <w:gridSpan w:val="2"/>
            <w:tcBorders>
              <w:top w:val="nil"/>
              <w:left w:val="nil"/>
              <w:bottom w:val="nil"/>
              <w:right w:val="nil"/>
            </w:tcBorders>
            <w:shd w:val="clear" w:color="auto" w:fill="FFFFFF"/>
            <w:vAlign w:val="center"/>
          </w:tcPr>
          <w:p w14:paraId="19AD0CB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项目名称：2026年新昌县G104京岚线关岭隧道上行维修加固工程</w:t>
            </w:r>
          </w:p>
        </w:tc>
        <w:tc>
          <w:tcPr>
            <w:tcW w:w="3400" w:type="dxa"/>
            <w:gridSpan w:val="3"/>
            <w:tcBorders>
              <w:top w:val="nil"/>
              <w:left w:val="nil"/>
              <w:bottom w:val="nil"/>
              <w:right w:val="nil"/>
            </w:tcBorders>
            <w:shd w:val="clear" w:color="auto" w:fill="FFFFFF"/>
            <w:vAlign w:val="center"/>
          </w:tcPr>
          <w:p w14:paraId="5DCC5B3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合同段：2026年新昌县G104京岚线关岭隧道上行维修加固工程</w:t>
            </w:r>
          </w:p>
        </w:tc>
        <w:tc>
          <w:tcPr>
            <w:tcW w:w="1000" w:type="dxa"/>
            <w:gridSpan w:val="2"/>
            <w:tcBorders>
              <w:top w:val="nil"/>
              <w:left w:val="nil"/>
              <w:bottom w:val="nil"/>
              <w:right w:val="nil"/>
            </w:tcBorders>
            <w:shd w:val="clear" w:color="auto" w:fill="FFFFFF"/>
            <w:vAlign w:val="center"/>
          </w:tcPr>
          <w:p w14:paraId="19571B23">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第 9 页</w:t>
            </w:r>
          </w:p>
        </w:tc>
        <w:tc>
          <w:tcPr>
            <w:tcW w:w="1000" w:type="dxa"/>
            <w:gridSpan w:val="2"/>
            <w:tcBorders>
              <w:top w:val="nil"/>
              <w:left w:val="nil"/>
              <w:bottom w:val="nil"/>
              <w:right w:val="nil"/>
            </w:tcBorders>
            <w:shd w:val="clear" w:color="auto" w:fill="FFFFFF"/>
            <w:vAlign w:val="center"/>
          </w:tcPr>
          <w:p w14:paraId="2F7924B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共 11 页</w:t>
            </w:r>
          </w:p>
        </w:tc>
        <w:tc>
          <w:tcPr>
            <w:tcW w:w="800" w:type="dxa"/>
            <w:tcBorders>
              <w:top w:val="nil"/>
              <w:left w:val="nil"/>
              <w:bottom w:val="nil"/>
              <w:right w:val="nil"/>
            </w:tcBorders>
            <w:shd w:val="clear" w:color="auto" w:fill="FFFFFF"/>
            <w:vAlign w:val="center"/>
          </w:tcPr>
          <w:p w14:paraId="080A07C5">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表4</w:t>
            </w:r>
          </w:p>
        </w:tc>
      </w:tr>
      <w:tr w14:paraId="63E41C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9660" w:type="dxa"/>
            <w:gridSpan w:val="10"/>
            <w:tcBorders>
              <w:top w:val="single" w:color="000000" w:sz="8" w:space="0"/>
              <w:left w:val="single" w:color="000000" w:sz="8" w:space="0"/>
              <w:bottom w:val="single" w:color="000000" w:sz="4" w:space="0"/>
              <w:right w:val="single" w:color="000000" w:sz="8" w:space="0"/>
            </w:tcBorders>
            <w:shd w:val="clear" w:color="auto" w:fill="FFFFFF"/>
            <w:vAlign w:val="center"/>
          </w:tcPr>
          <w:p w14:paraId="01607012">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机电工程</w:t>
            </w:r>
          </w:p>
        </w:tc>
      </w:tr>
      <w:tr w14:paraId="7F7ECA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7CCEA308">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细目号</w:t>
            </w:r>
          </w:p>
        </w:tc>
        <w:tc>
          <w:tcPr>
            <w:tcW w:w="4060" w:type="dxa"/>
            <w:gridSpan w:val="2"/>
            <w:tcBorders>
              <w:top w:val="nil"/>
              <w:left w:val="nil"/>
              <w:bottom w:val="single" w:color="000000" w:sz="4" w:space="0"/>
              <w:right w:val="single" w:color="000000" w:sz="4" w:space="0"/>
            </w:tcBorders>
            <w:shd w:val="clear" w:color="auto" w:fill="FFFFFF"/>
            <w:vAlign w:val="center"/>
          </w:tcPr>
          <w:p w14:paraId="29390FFA">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细目名称</w:t>
            </w:r>
          </w:p>
        </w:tc>
        <w:tc>
          <w:tcPr>
            <w:tcW w:w="1000" w:type="dxa"/>
            <w:tcBorders>
              <w:top w:val="nil"/>
              <w:left w:val="nil"/>
              <w:bottom w:val="single" w:color="000000" w:sz="4" w:space="0"/>
              <w:right w:val="single" w:color="000000" w:sz="4" w:space="0"/>
            </w:tcBorders>
            <w:shd w:val="clear" w:color="auto" w:fill="FFFFFF"/>
            <w:vAlign w:val="center"/>
          </w:tcPr>
          <w:p w14:paraId="26BB1FF8">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计量单位</w:t>
            </w:r>
          </w:p>
        </w:tc>
        <w:tc>
          <w:tcPr>
            <w:tcW w:w="1200" w:type="dxa"/>
            <w:gridSpan w:val="2"/>
            <w:tcBorders>
              <w:top w:val="nil"/>
              <w:left w:val="nil"/>
              <w:bottom w:val="single" w:color="000000" w:sz="4" w:space="0"/>
              <w:right w:val="single" w:color="000000" w:sz="4" w:space="0"/>
            </w:tcBorders>
            <w:shd w:val="clear" w:color="auto" w:fill="FFFFFF"/>
            <w:vAlign w:val="center"/>
          </w:tcPr>
          <w:p w14:paraId="2790C65A">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工程数量</w:t>
            </w:r>
          </w:p>
        </w:tc>
        <w:tc>
          <w:tcPr>
            <w:tcW w:w="1200" w:type="dxa"/>
            <w:gridSpan w:val="2"/>
            <w:tcBorders>
              <w:top w:val="nil"/>
              <w:left w:val="nil"/>
              <w:bottom w:val="single" w:color="000000" w:sz="4" w:space="0"/>
              <w:right w:val="single" w:color="000000" w:sz="4" w:space="0"/>
            </w:tcBorders>
            <w:shd w:val="clear" w:color="auto" w:fill="FFFFFF"/>
            <w:vAlign w:val="center"/>
          </w:tcPr>
          <w:p w14:paraId="66D0BB4D">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单价（元）</w:t>
            </w:r>
          </w:p>
        </w:tc>
        <w:tc>
          <w:tcPr>
            <w:tcW w:w="1200" w:type="dxa"/>
            <w:gridSpan w:val="2"/>
            <w:tcBorders>
              <w:top w:val="nil"/>
              <w:left w:val="nil"/>
              <w:bottom w:val="single" w:color="000000" w:sz="4" w:space="0"/>
              <w:right w:val="single" w:color="000000" w:sz="8" w:space="0"/>
            </w:tcBorders>
            <w:shd w:val="clear" w:color="auto" w:fill="FFFFFF"/>
            <w:vAlign w:val="center"/>
          </w:tcPr>
          <w:p w14:paraId="0437F877">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合价（元）</w:t>
            </w:r>
          </w:p>
        </w:tc>
      </w:tr>
      <w:tr w14:paraId="007E69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6572E48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TS508-17-k</w:t>
            </w:r>
          </w:p>
        </w:tc>
        <w:tc>
          <w:tcPr>
            <w:tcW w:w="4060" w:type="dxa"/>
            <w:gridSpan w:val="2"/>
            <w:tcBorders>
              <w:top w:val="nil"/>
              <w:left w:val="nil"/>
              <w:bottom w:val="single" w:color="000000" w:sz="4" w:space="0"/>
              <w:right w:val="single" w:color="000000" w:sz="4" w:space="0"/>
            </w:tcBorders>
            <w:shd w:val="clear" w:color="auto" w:fill="FFFFFF"/>
            <w:vAlign w:val="center"/>
          </w:tcPr>
          <w:p w14:paraId="1CFB0C4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隧道综合管控系统--隧道大屏</w:t>
            </w:r>
          </w:p>
        </w:tc>
        <w:tc>
          <w:tcPr>
            <w:tcW w:w="1000" w:type="dxa"/>
            <w:tcBorders>
              <w:top w:val="nil"/>
              <w:left w:val="nil"/>
              <w:bottom w:val="single" w:color="000000" w:sz="4" w:space="0"/>
              <w:right w:val="single" w:color="000000" w:sz="4" w:space="0"/>
            </w:tcBorders>
            <w:shd w:val="clear" w:color="auto" w:fill="FFFFFF"/>
            <w:vAlign w:val="center"/>
          </w:tcPr>
          <w:p w14:paraId="46ED42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w:t>
            </w:r>
          </w:p>
        </w:tc>
        <w:tc>
          <w:tcPr>
            <w:tcW w:w="1200" w:type="dxa"/>
            <w:gridSpan w:val="2"/>
            <w:tcBorders>
              <w:top w:val="nil"/>
              <w:left w:val="nil"/>
              <w:bottom w:val="single" w:color="000000" w:sz="4" w:space="0"/>
              <w:right w:val="single" w:color="000000" w:sz="4" w:space="0"/>
            </w:tcBorders>
            <w:shd w:val="clear" w:color="auto" w:fill="FFFFFF"/>
            <w:vAlign w:val="center"/>
          </w:tcPr>
          <w:p w14:paraId="69FE0CC7">
            <w:pPr>
              <w:keepNext w:val="0"/>
              <w:keepLines w:val="0"/>
              <w:widowControl/>
              <w:suppressLineNumbers w:val="0"/>
              <w:jc w:val="right"/>
              <w:textAlignment w:val="center"/>
              <w:rPr>
                <w:rFonts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11856BF2">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1F100AC6">
            <w:pPr>
              <w:jc w:val="right"/>
              <w:rPr>
                <w:rFonts w:hint="default" w:ascii="Arial Narrow" w:hAnsi="Arial Narrow" w:eastAsia="Arial Narrow" w:cs="Arial Narrow"/>
                <w:i w:val="0"/>
                <w:iCs w:val="0"/>
                <w:color w:val="auto"/>
                <w:sz w:val="18"/>
                <w:szCs w:val="18"/>
                <w:highlight w:val="none"/>
                <w:u w:val="none"/>
              </w:rPr>
            </w:pPr>
          </w:p>
        </w:tc>
      </w:tr>
      <w:tr w14:paraId="729AB5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78B570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TS508-17-m</w:t>
            </w:r>
          </w:p>
        </w:tc>
        <w:tc>
          <w:tcPr>
            <w:tcW w:w="4060" w:type="dxa"/>
            <w:gridSpan w:val="2"/>
            <w:tcBorders>
              <w:top w:val="nil"/>
              <w:left w:val="nil"/>
              <w:bottom w:val="single" w:color="000000" w:sz="4" w:space="0"/>
              <w:right w:val="single" w:color="000000" w:sz="4" w:space="0"/>
            </w:tcBorders>
            <w:shd w:val="clear" w:color="auto" w:fill="FFFFFF"/>
            <w:vAlign w:val="center"/>
          </w:tcPr>
          <w:p w14:paraId="6B5C235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隧道综合管控系统--预案管理、事件管理</w:t>
            </w:r>
          </w:p>
        </w:tc>
        <w:tc>
          <w:tcPr>
            <w:tcW w:w="1000" w:type="dxa"/>
            <w:tcBorders>
              <w:top w:val="nil"/>
              <w:left w:val="nil"/>
              <w:bottom w:val="single" w:color="000000" w:sz="4" w:space="0"/>
              <w:right w:val="single" w:color="000000" w:sz="4" w:space="0"/>
            </w:tcBorders>
            <w:shd w:val="clear" w:color="auto" w:fill="FFFFFF"/>
            <w:vAlign w:val="center"/>
          </w:tcPr>
          <w:p w14:paraId="4078FC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w:t>
            </w:r>
          </w:p>
        </w:tc>
        <w:tc>
          <w:tcPr>
            <w:tcW w:w="1200" w:type="dxa"/>
            <w:gridSpan w:val="2"/>
            <w:tcBorders>
              <w:top w:val="nil"/>
              <w:left w:val="nil"/>
              <w:bottom w:val="single" w:color="000000" w:sz="4" w:space="0"/>
              <w:right w:val="single" w:color="000000" w:sz="4" w:space="0"/>
            </w:tcBorders>
            <w:shd w:val="clear" w:color="auto" w:fill="FFFFFF"/>
            <w:vAlign w:val="center"/>
          </w:tcPr>
          <w:p w14:paraId="415CC975">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029D0A36">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59198500">
            <w:pPr>
              <w:jc w:val="right"/>
              <w:rPr>
                <w:rFonts w:hint="default" w:ascii="Arial Narrow" w:hAnsi="Arial Narrow" w:eastAsia="Arial Narrow" w:cs="Arial Narrow"/>
                <w:i w:val="0"/>
                <w:iCs w:val="0"/>
                <w:color w:val="auto"/>
                <w:sz w:val="18"/>
                <w:szCs w:val="18"/>
                <w:highlight w:val="none"/>
                <w:u w:val="none"/>
              </w:rPr>
            </w:pPr>
          </w:p>
        </w:tc>
      </w:tr>
      <w:tr w14:paraId="71FF75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7C620A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TS508-17-n</w:t>
            </w:r>
          </w:p>
        </w:tc>
        <w:tc>
          <w:tcPr>
            <w:tcW w:w="4060" w:type="dxa"/>
            <w:gridSpan w:val="2"/>
            <w:tcBorders>
              <w:top w:val="nil"/>
              <w:left w:val="nil"/>
              <w:bottom w:val="single" w:color="000000" w:sz="4" w:space="0"/>
              <w:right w:val="single" w:color="000000" w:sz="4" w:space="0"/>
            </w:tcBorders>
            <w:shd w:val="clear" w:color="auto" w:fill="FFFFFF"/>
            <w:vAlign w:val="center"/>
          </w:tcPr>
          <w:p w14:paraId="1669C03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隧道综合管控系统--事件应急指挥调度</w:t>
            </w:r>
          </w:p>
        </w:tc>
        <w:tc>
          <w:tcPr>
            <w:tcW w:w="1000" w:type="dxa"/>
            <w:tcBorders>
              <w:top w:val="nil"/>
              <w:left w:val="nil"/>
              <w:bottom w:val="single" w:color="000000" w:sz="4" w:space="0"/>
              <w:right w:val="single" w:color="000000" w:sz="4" w:space="0"/>
            </w:tcBorders>
            <w:shd w:val="clear" w:color="auto" w:fill="FFFFFF"/>
            <w:vAlign w:val="center"/>
          </w:tcPr>
          <w:p w14:paraId="69997E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w:t>
            </w:r>
          </w:p>
        </w:tc>
        <w:tc>
          <w:tcPr>
            <w:tcW w:w="1200" w:type="dxa"/>
            <w:gridSpan w:val="2"/>
            <w:tcBorders>
              <w:top w:val="nil"/>
              <w:left w:val="nil"/>
              <w:bottom w:val="single" w:color="000000" w:sz="4" w:space="0"/>
              <w:right w:val="single" w:color="000000" w:sz="4" w:space="0"/>
            </w:tcBorders>
            <w:shd w:val="clear" w:color="auto" w:fill="FFFFFF"/>
            <w:vAlign w:val="center"/>
          </w:tcPr>
          <w:p w14:paraId="12AF97C8">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55E7802E">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3F90124E">
            <w:pPr>
              <w:jc w:val="right"/>
              <w:rPr>
                <w:rFonts w:hint="default" w:ascii="Arial Narrow" w:hAnsi="Arial Narrow" w:eastAsia="Arial Narrow" w:cs="Arial Narrow"/>
                <w:i w:val="0"/>
                <w:iCs w:val="0"/>
                <w:color w:val="auto"/>
                <w:sz w:val="18"/>
                <w:szCs w:val="18"/>
                <w:highlight w:val="none"/>
                <w:u w:val="none"/>
              </w:rPr>
            </w:pPr>
          </w:p>
        </w:tc>
      </w:tr>
      <w:tr w14:paraId="77817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4D8B398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TS508-17-o</w:t>
            </w:r>
          </w:p>
        </w:tc>
        <w:tc>
          <w:tcPr>
            <w:tcW w:w="4060" w:type="dxa"/>
            <w:gridSpan w:val="2"/>
            <w:tcBorders>
              <w:top w:val="nil"/>
              <w:left w:val="nil"/>
              <w:bottom w:val="single" w:color="000000" w:sz="4" w:space="0"/>
              <w:right w:val="single" w:color="000000" w:sz="4" w:space="0"/>
            </w:tcBorders>
            <w:shd w:val="clear" w:color="auto" w:fill="FFFFFF"/>
            <w:vAlign w:val="center"/>
          </w:tcPr>
          <w:p w14:paraId="06CDBAE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隧道综合管控系统--机电设备控制</w:t>
            </w:r>
          </w:p>
        </w:tc>
        <w:tc>
          <w:tcPr>
            <w:tcW w:w="1000" w:type="dxa"/>
            <w:tcBorders>
              <w:top w:val="nil"/>
              <w:left w:val="nil"/>
              <w:bottom w:val="single" w:color="000000" w:sz="4" w:space="0"/>
              <w:right w:val="single" w:color="000000" w:sz="4" w:space="0"/>
            </w:tcBorders>
            <w:shd w:val="clear" w:color="auto" w:fill="FFFFFF"/>
            <w:vAlign w:val="center"/>
          </w:tcPr>
          <w:p w14:paraId="27E1E5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w:t>
            </w:r>
          </w:p>
        </w:tc>
        <w:tc>
          <w:tcPr>
            <w:tcW w:w="1200" w:type="dxa"/>
            <w:gridSpan w:val="2"/>
            <w:tcBorders>
              <w:top w:val="nil"/>
              <w:left w:val="nil"/>
              <w:bottom w:val="single" w:color="000000" w:sz="4" w:space="0"/>
              <w:right w:val="single" w:color="000000" w:sz="4" w:space="0"/>
            </w:tcBorders>
            <w:shd w:val="clear" w:color="auto" w:fill="FFFFFF"/>
            <w:vAlign w:val="center"/>
          </w:tcPr>
          <w:p w14:paraId="262054D8">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0B2C4DA1">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0B206AF8">
            <w:pPr>
              <w:jc w:val="right"/>
              <w:rPr>
                <w:rFonts w:hint="default" w:ascii="Arial Narrow" w:hAnsi="Arial Narrow" w:eastAsia="Arial Narrow" w:cs="Arial Narrow"/>
                <w:i w:val="0"/>
                <w:iCs w:val="0"/>
                <w:color w:val="auto"/>
                <w:sz w:val="18"/>
                <w:szCs w:val="18"/>
                <w:highlight w:val="none"/>
                <w:u w:val="none"/>
              </w:rPr>
            </w:pPr>
          </w:p>
        </w:tc>
      </w:tr>
      <w:tr w14:paraId="3C6AE0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0DE761F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TS508-17-p</w:t>
            </w:r>
          </w:p>
        </w:tc>
        <w:tc>
          <w:tcPr>
            <w:tcW w:w="4060" w:type="dxa"/>
            <w:gridSpan w:val="2"/>
            <w:tcBorders>
              <w:top w:val="nil"/>
              <w:left w:val="nil"/>
              <w:bottom w:val="single" w:color="000000" w:sz="4" w:space="0"/>
              <w:right w:val="single" w:color="000000" w:sz="4" w:space="0"/>
            </w:tcBorders>
            <w:shd w:val="clear" w:color="auto" w:fill="FFFFFF"/>
            <w:vAlign w:val="center"/>
          </w:tcPr>
          <w:p w14:paraId="623D9CB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隧道综合管控系统--智能策略联动</w:t>
            </w:r>
          </w:p>
        </w:tc>
        <w:tc>
          <w:tcPr>
            <w:tcW w:w="1000" w:type="dxa"/>
            <w:tcBorders>
              <w:top w:val="nil"/>
              <w:left w:val="nil"/>
              <w:bottom w:val="single" w:color="000000" w:sz="4" w:space="0"/>
              <w:right w:val="single" w:color="000000" w:sz="4" w:space="0"/>
            </w:tcBorders>
            <w:shd w:val="clear" w:color="auto" w:fill="FFFFFF"/>
            <w:vAlign w:val="center"/>
          </w:tcPr>
          <w:p w14:paraId="71DD97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w:t>
            </w:r>
          </w:p>
        </w:tc>
        <w:tc>
          <w:tcPr>
            <w:tcW w:w="1200" w:type="dxa"/>
            <w:gridSpan w:val="2"/>
            <w:tcBorders>
              <w:top w:val="nil"/>
              <w:left w:val="nil"/>
              <w:bottom w:val="single" w:color="000000" w:sz="4" w:space="0"/>
              <w:right w:val="single" w:color="000000" w:sz="4" w:space="0"/>
            </w:tcBorders>
            <w:shd w:val="clear" w:color="auto" w:fill="FFFFFF"/>
            <w:vAlign w:val="center"/>
          </w:tcPr>
          <w:p w14:paraId="3C0DCEA5">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754B914C">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7979923D">
            <w:pPr>
              <w:jc w:val="right"/>
              <w:rPr>
                <w:rFonts w:hint="default" w:ascii="Arial Narrow" w:hAnsi="Arial Narrow" w:eastAsia="Arial Narrow" w:cs="Arial Narrow"/>
                <w:i w:val="0"/>
                <w:iCs w:val="0"/>
                <w:color w:val="auto"/>
                <w:sz w:val="18"/>
                <w:szCs w:val="18"/>
                <w:highlight w:val="none"/>
                <w:u w:val="none"/>
              </w:rPr>
            </w:pPr>
          </w:p>
        </w:tc>
      </w:tr>
      <w:tr w14:paraId="5E4B6A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32315B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TS508-17-q</w:t>
            </w:r>
          </w:p>
        </w:tc>
        <w:tc>
          <w:tcPr>
            <w:tcW w:w="4060" w:type="dxa"/>
            <w:gridSpan w:val="2"/>
            <w:tcBorders>
              <w:top w:val="nil"/>
              <w:left w:val="nil"/>
              <w:bottom w:val="single" w:color="000000" w:sz="4" w:space="0"/>
              <w:right w:val="single" w:color="000000" w:sz="4" w:space="0"/>
            </w:tcBorders>
            <w:shd w:val="clear" w:color="auto" w:fill="FFFFFF"/>
            <w:vAlign w:val="center"/>
          </w:tcPr>
          <w:p w14:paraId="433E38B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隧道综合管控系统--数字化隧道</w:t>
            </w:r>
          </w:p>
        </w:tc>
        <w:tc>
          <w:tcPr>
            <w:tcW w:w="1000" w:type="dxa"/>
            <w:tcBorders>
              <w:top w:val="nil"/>
              <w:left w:val="nil"/>
              <w:bottom w:val="single" w:color="000000" w:sz="4" w:space="0"/>
              <w:right w:val="single" w:color="000000" w:sz="4" w:space="0"/>
            </w:tcBorders>
            <w:shd w:val="clear" w:color="auto" w:fill="FFFFFF"/>
            <w:vAlign w:val="center"/>
          </w:tcPr>
          <w:p w14:paraId="5756D1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w:t>
            </w:r>
          </w:p>
        </w:tc>
        <w:tc>
          <w:tcPr>
            <w:tcW w:w="1200" w:type="dxa"/>
            <w:gridSpan w:val="2"/>
            <w:tcBorders>
              <w:top w:val="nil"/>
              <w:left w:val="nil"/>
              <w:bottom w:val="single" w:color="000000" w:sz="4" w:space="0"/>
              <w:right w:val="single" w:color="000000" w:sz="4" w:space="0"/>
            </w:tcBorders>
            <w:shd w:val="clear" w:color="auto" w:fill="FFFFFF"/>
            <w:vAlign w:val="center"/>
          </w:tcPr>
          <w:p w14:paraId="4185C52E">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74D05B7D">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0D45CEBE">
            <w:pPr>
              <w:jc w:val="right"/>
              <w:rPr>
                <w:rFonts w:hint="default" w:ascii="Arial Narrow" w:hAnsi="Arial Narrow" w:eastAsia="Arial Narrow" w:cs="Arial Narrow"/>
                <w:i w:val="0"/>
                <w:iCs w:val="0"/>
                <w:color w:val="auto"/>
                <w:sz w:val="18"/>
                <w:szCs w:val="18"/>
                <w:highlight w:val="none"/>
                <w:u w:val="none"/>
              </w:rPr>
            </w:pPr>
          </w:p>
        </w:tc>
      </w:tr>
      <w:tr w14:paraId="47D4CE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777132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TS508-17-r</w:t>
            </w:r>
          </w:p>
        </w:tc>
        <w:tc>
          <w:tcPr>
            <w:tcW w:w="4060" w:type="dxa"/>
            <w:gridSpan w:val="2"/>
            <w:tcBorders>
              <w:top w:val="nil"/>
              <w:left w:val="nil"/>
              <w:bottom w:val="single" w:color="000000" w:sz="4" w:space="0"/>
              <w:right w:val="single" w:color="000000" w:sz="4" w:space="0"/>
            </w:tcBorders>
            <w:shd w:val="clear" w:color="auto" w:fill="FFFFFF"/>
            <w:vAlign w:val="center"/>
          </w:tcPr>
          <w:p w14:paraId="19B1F90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隧道综合管控系统--系统管理与系统日志</w:t>
            </w:r>
          </w:p>
        </w:tc>
        <w:tc>
          <w:tcPr>
            <w:tcW w:w="1000" w:type="dxa"/>
            <w:tcBorders>
              <w:top w:val="nil"/>
              <w:left w:val="nil"/>
              <w:bottom w:val="single" w:color="000000" w:sz="4" w:space="0"/>
              <w:right w:val="single" w:color="000000" w:sz="4" w:space="0"/>
            </w:tcBorders>
            <w:shd w:val="clear" w:color="auto" w:fill="FFFFFF"/>
            <w:vAlign w:val="center"/>
          </w:tcPr>
          <w:p w14:paraId="63C331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w:t>
            </w:r>
          </w:p>
        </w:tc>
        <w:tc>
          <w:tcPr>
            <w:tcW w:w="1200" w:type="dxa"/>
            <w:gridSpan w:val="2"/>
            <w:tcBorders>
              <w:top w:val="nil"/>
              <w:left w:val="nil"/>
              <w:bottom w:val="single" w:color="000000" w:sz="4" w:space="0"/>
              <w:right w:val="single" w:color="000000" w:sz="4" w:space="0"/>
            </w:tcBorders>
            <w:shd w:val="clear" w:color="auto" w:fill="FFFFFF"/>
            <w:vAlign w:val="center"/>
          </w:tcPr>
          <w:p w14:paraId="443A3CF6">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24074294">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56D0EB40">
            <w:pPr>
              <w:jc w:val="right"/>
              <w:rPr>
                <w:rFonts w:hint="default" w:ascii="Arial Narrow" w:hAnsi="Arial Narrow" w:eastAsia="Arial Narrow" w:cs="Arial Narrow"/>
                <w:i w:val="0"/>
                <w:iCs w:val="0"/>
                <w:color w:val="auto"/>
                <w:sz w:val="18"/>
                <w:szCs w:val="18"/>
                <w:highlight w:val="none"/>
                <w:u w:val="none"/>
              </w:rPr>
            </w:pPr>
          </w:p>
        </w:tc>
      </w:tr>
      <w:tr w14:paraId="63873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522FDE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TS508-17-s</w:t>
            </w:r>
          </w:p>
        </w:tc>
        <w:tc>
          <w:tcPr>
            <w:tcW w:w="4060" w:type="dxa"/>
            <w:gridSpan w:val="2"/>
            <w:tcBorders>
              <w:top w:val="nil"/>
              <w:left w:val="nil"/>
              <w:bottom w:val="single" w:color="000000" w:sz="4" w:space="0"/>
              <w:right w:val="single" w:color="000000" w:sz="4" w:space="0"/>
            </w:tcBorders>
            <w:shd w:val="clear" w:color="auto" w:fill="FFFFFF"/>
            <w:vAlign w:val="center"/>
          </w:tcPr>
          <w:p w14:paraId="456FA3F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隧道综合管控系统--系统综合报表</w:t>
            </w:r>
          </w:p>
        </w:tc>
        <w:tc>
          <w:tcPr>
            <w:tcW w:w="1000" w:type="dxa"/>
            <w:tcBorders>
              <w:top w:val="nil"/>
              <w:left w:val="nil"/>
              <w:bottom w:val="single" w:color="000000" w:sz="4" w:space="0"/>
              <w:right w:val="single" w:color="000000" w:sz="4" w:space="0"/>
            </w:tcBorders>
            <w:shd w:val="clear" w:color="auto" w:fill="FFFFFF"/>
            <w:vAlign w:val="center"/>
          </w:tcPr>
          <w:p w14:paraId="44D062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w:t>
            </w:r>
          </w:p>
        </w:tc>
        <w:tc>
          <w:tcPr>
            <w:tcW w:w="1200" w:type="dxa"/>
            <w:gridSpan w:val="2"/>
            <w:tcBorders>
              <w:top w:val="nil"/>
              <w:left w:val="nil"/>
              <w:bottom w:val="single" w:color="000000" w:sz="4" w:space="0"/>
              <w:right w:val="single" w:color="000000" w:sz="4" w:space="0"/>
            </w:tcBorders>
            <w:shd w:val="clear" w:color="auto" w:fill="FFFFFF"/>
            <w:vAlign w:val="center"/>
          </w:tcPr>
          <w:p w14:paraId="7D3AD5BD">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5A331C06">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5D8239B4">
            <w:pPr>
              <w:jc w:val="right"/>
              <w:rPr>
                <w:rFonts w:hint="default" w:ascii="Arial Narrow" w:hAnsi="Arial Narrow" w:eastAsia="Arial Narrow" w:cs="Arial Narrow"/>
                <w:i w:val="0"/>
                <w:iCs w:val="0"/>
                <w:color w:val="auto"/>
                <w:sz w:val="18"/>
                <w:szCs w:val="18"/>
                <w:highlight w:val="none"/>
                <w:u w:val="none"/>
              </w:rPr>
            </w:pPr>
          </w:p>
        </w:tc>
      </w:tr>
      <w:tr w14:paraId="124494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2B9F84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TS508-17-t</w:t>
            </w:r>
          </w:p>
        </w:tc>
        <w:tc>
          <w:tcPr>
            <w:tcW w:w="4060" w:type="dxa"/>
            <w:gridSpan w:val="2"/>
            <w:tcBorders>
              <w:top w:val="nil"/>
              <w:left w:val="nil"/>
              <w:bottom w:val="single" w:color="000000" w:sz="4" w:space="0"/>
              <w:right w:val="single" w:color="000000" w:sz="4" w:space="0"/>
            </w:tcBorders>
            <w:shd w:val="clear" w:color="auto" w:fill="FFFFFF"/>
            <w:vAlign w:val="center"/>
          </w:tcPr>
          <w:p w14:paraId="02DB659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数字孪生全息隧道系统</w:t>
            </w:r>
          </w:p>
        </w:tc>
        <w:tc>
          <w:tcPr>
            <w:tcW w:w="1000" w:type="dxa"/>
            <w:tcBorders>
              <w:top w:val="nil"/>
              <w:left w:val="nil"/>
              <w:bottom w:val="single" w:color="000000" w:sz="4" w:space="0"/>
              <w:right w:val="single" w:color="000000" w:sz="4" w:space="0"/>
            </w:tcBorders>
            <w:shd w:val="clear" w:color="auto" w:fill="FFFFFF"/>
            <w:vAlign w:val="center"/>
          </w:tcPr>
          <w:p w14:paraId="679AB20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w:t>
            </w:r>
          </w:p>
        </w:tc>
        <w:tc>
          <w:tcPr>
            <w:tcW w:w="1200" w:type="dxa"/>
            <w:gridSpan w:val="2"/>
            <w:tcBorders>
              <w:top w:val="nil"/>
              <w:left w:val="nil"/>
              <w:bottom w:val="single" w:color="000000" w:sz="4" w:space="0"/>
              <w:right w:val="single" w:color="000000" w:sz="4" w:space="0"/>
            </w:tcBorders>
            <w:shd w:val="clear" w:color="auto" w:fill="FFFFFF"/>
            <w:vAlign w:val="center"/>
          </w:tcPr>
          <w:p w14:paraId="38B2CE5A">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3278C6C0">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0FD9A5F4">
            <w:pPr>
              <w:jc w:val="right"/>
              <w:rPr>
                <w:rFonts w:hint="default" w:ascii="Arial Narrow" w:hAnsi="Arial Narrow" w:eastAsia="Arial Narrow" w:cs="Arial Narrow"/>
                <w:i w:val="0"/>
                <w:iCs w:val="0"/>
                <w:color w:val="auto"/>
                <w:sz w:val="18"/>
                <w:szCs w:val="18"/>
                <w:highlight w:val="none"/>
                <w:u w:val="none"/>
              </w:rPr>
            </w:pPr>
          </w:p>
        </w:tc>
      </w:tr>
      <w:tr w14:paraId="16E2D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50C5B2D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TS508-17-u</w:t>
            </w:r>
          </w:p>
        </w:tc>
        <w:tc>
          <w:tcPr>
            <w:tcW w:w="4060" w:type="dxa"/>
            <w:gridSpan w:val="2"/>
            <w:tcBorders>
              <w:top w:val="nil"/>
              <w:left w:val="nil"/>
              <w:bottom w:val="single" w:color="000000" w:sz="4" w:space="0"/>
              <w:right w:val="single" w:color="000000" w:sz="4" w:space="0"/>
            </w:tcBorders>
            <w:shd w:val="clear" w:color="auto" w:fill="FFFFFF"/>
            <w:vAlign w:val="center"/>
          </w:tcPr>
          <w:p w14:paraId="5684A45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设备智能运维系统</w:t>
            </w:r>
          </w:p>
        </w:tc>
        <w:tc>
          <w:tcPr>
            <w:tcW w:w="1000" w:type="dxa"/>
            <w:tcBorders>
              <w:top w:val="nil"/>
              <w:left w:val="nil"/>
              <w:bottom w:val="single" w:color="000000" w:sz="4" w:space="0"/>
              <w:right w:val="single" w:color="000000" w:sz="4" w:space="0"/>
            </w:tcBorders>
            <w:shd w:val="clear" w:color="auto" w:fill="FFFFFF"/>
            <w:vAlign w:val="center"/>
          </w:tcPr>
          <w:p w14:paraId="5D45D0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w:t>
            </w:r>
          </w:p>
        </w:tc>
        <w:tc>
          <w:tcPr>
            <w:tcW w:w="1200" w:type="dxa"/>
            <w:gridSpan w:val="2"/>
            <w:tcBorders>
              <w:top w:val="nil"/>
              <w:left w:val="nil"/>
              <w:bottom w:val="single" w:color="000000" w:sz="4" w:space="0"/>
              <w:right w:val="single" w:color="000000" w:sz="4" w:space="0"/>
            </w:tcBorders>
            <w:shd w:val="clear" w:color="auto" w:fill="FFFFFF"/>
            <w:vAlign w:val="center"/>
          </w:tcPr>
          <w:p w14:paraId="29B6E1EC">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1483FE96">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7A692FE8">
            <w:pPr>
              <w:jc w:val="right"/>
              <w:rPr>
                <w:rFonts w:hint="default" w:ascii="Arial Narrow" w:hAnsi="Arial Narrow" w:eastAsia="Arial Narrow" w:cs="Arial Narrow"/>
                <w:i w:val="0"/>
                <w:iCs w:val="0"/>
                <w:color w:val="auto"/>
                <w:sz w:val="18"/>
                <w:szCs w:val="18"/>
                <w:highlight w:val="none"/>
                <w:u w:val="none"/>
              </w:rPr>
            </w:pPr>
          </w:p>
        </w:tc>
      </w:tr>
      <w:tr w14:paraId="0D6185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5925A04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TS509</w:t>
            </w:r>
          </w:p>
        </w:tc>
        <w:tc>
          <w:tcPr>
            <w:tcW w:w="4060" w:type="dxa"/>
            <w:gridSpan w:val="2"/>
            <w:tcBorders>
              <w:top w:val="nil"/>
              <w:left w:val="nil"/>
              <w:bottom w:val="single" w:color="000000" w:sz="4" w:space="0"/>
              <w:right w:val="single" w:color="000000" w:sz="4" w:space="0"/>
            </w:tcBorders>
            <w:shd w:val="clear" w:color="auto" w:fill="FFFFFF"/>
            <w:vAlign w:val="center"/>
          </w:tcPr>
          <w:p w14:paraId="1600A15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消防子系统</w:t>
            </w:r>
          </w:p>
        </w:tc>
        <w:tc>
          <w:tcPr>
            <w:tcW w:w="1000" w:type="dxa"/>
            <w:tcBorders>
              <w:top w:val="nil"/>
              <w:left w:val="nil"/>
              <w:bottom w:val="single" w:color="000000" w:sz="4" w:space="0"/>
              <w:right w:val="single" w:color="000000" w:sz="4" w:space="0"/>
            </w:tcBorders>
            <w:shd w:val="clear" w:color="auto" w:fill="FFFFFF"/>
            <w:vAlign w:val="center"/>
          </w:tcPr>
          <w:p w14:paraId="4EF1D6E9">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525680BA">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7DEBE1A1">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1DBE8F81">
            <w:pPr>
              <w:jc w:val="right"/>
              <w:rPr>
                <w:rFonts w:hint="default" w:ascii="Arial Narrow" w:hAnsi="Arial Narrow" w:eastAsia="Arial Narrow" w:cs="Arial Narrow"/>
                <w:i w:val="0"/>
                <w:iCs w:val="0"/>
                <w:color w:val="auto"/>
                <w:sz w:val="18"/>
                <w:szCs w:val="18"/>
                <w:highlight w:val="none"/>
                <w:u w:val="none"/>
              </w:rPr>
            </w:pPr>
          </w:p>
        </w:tc>
      </w:tr>
      <w:tr w14:paraId="704DB0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7E0DD7F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TS509-2</w:t>
            </w:r>
          </w:p>
        </w:tc>
        <w:tc>
          <w:tcPr>
            <w:tcW w:w="4060" w:type="dxa"/>
            <w:gridSpan w:val="2"/>
            <w:tcBorders>
              <w:top w:val="nil"/>
              <w:left w:val="nil"/>
              <w:bottom w:val="single" w:color="000000" w:sz="4" w:space="0"/>
              <w:right w:val="single" w:color="000000" w:sz="4" w:space="0"/>
            </w:tcBorders>
            <w:shd w:val="clear" w:color="auto" w:fill="FFFFFF"/>
            <w:vAlign w:val="center"/>
          </w:tcPr>
          <w:p w14:paraId="6FF4C59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消防设施与通道保养 DN150无缝钢管（168*7）（含消防管道，高低位水池检查、压力表、控制检修等）</w:t>
            </w:r>
          </w:p>
        </w:tc>
        <w:tc>
          <w:tcPr>
            <w:tcW w:w="1000" w:type="dxa"/>
            <w:tcBorders>
              <w:top w:val="nil"/>
              <w:left w:val="nil"/>
              <w:bottom w:val="single" w:color="000000" w:sz="4" w:space="0"/>
              <w:right w:val="single" w:color="000000" w:sz="4" w:space="0"/>
            </w:tcBorders>
            <w:shd w:val="clear" w:color="auto" w:fill="FFFFFF"/>
            <w:vAlign w:val="center"/>
          </w:tcPr>
          <w:p w14:paraId="7ABB2C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200" w:type="dxa"/>
            <w:gridSpan w:val="2"/>
            <w:tcBorders>
              <w:top w:val="nil"/>
              <w:left w:val="nil"/>
              <w:bottom w:val="single" w:color="000000" w:sz="4" w:space="0"/>
              <w:right w:val="single" w:color="000000" w:sz="4" w:space="0"/>
            </w:tcBorders>
            <w:shd w:val="clear" w:color="auto" w:fill="FFFFFF"/>
            <w:vAlign w:val="center"/>
          </w:tcPr>
          <w:p w14:paraId="0FC63A60">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2110</w:t>
            </w:r>
          </w:p>
        </w:tc>
        <w:tc>
          <w:tcPr>
            <w:tcW w:w="1200" w:type="dxa"/>
            <w:gridSpan w:val="2"/>
            <w:tcBorders>
              <w:top w:val="nil"/>
              <w:left w:val="nil"/>
              <w:bottom w:val="single" w:color="000000" w:sz="4" w:space="0"/>
              <w:right w:val="single" w:color="000000" w:sz="4" w:space="0"/>
            </w:tcBorders>
            <w:shd w:val="clear" w:color="auto" w:fill="FFFFFF"/>
            <w:vAlign w:val="center"/>
          </w:tcPr>
          <w:p w14:paraId="0D4B8B07">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177EB949">
            <w:pPr>
              <w:jc w:val="right"/>
              <w:rPr>
                <w:rFonts w:hint="default" w:ascii="Arial Narrow" w:hAnsi="Arial Narrow" w:eastAsia="Arial Narrow" w:cs="Arial Narrow"/>
                <w:i w:val="0"/>
                <w:iCs w:val="0"/>
                <w:color w:val="auto"/>
                <w:sz w:val="18"/>
                <w:szCs w:val="18"/>
                <w:highlight w:val="none"/>
                <w:u w:val="none"/>
              </w:rPr>
            </w:pPr>
          </w:p>
        </w:tc>
      </w:tr>
      <w:tr w14:paraId="37A21D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063DFAE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TS509-31</w:t>
            </w:r>
          </w:p>
        </w:tc>
        <w:tc>
          <w:tcPr>
            <w:tcW w:w="4060" w:type="dxa"/>
            <w:gridSpan w:val="2"/>
            <w:tcBorders>
              <w:top w:val="nil"/>
              <w:left w:val="nil"/>
              <w:bottom w:val="single" w:color="000000" w:sz="4" w:space="0"/>
              <w:right w:val="single" w:color="000000" w:sz="4" w:space="0"/>
            </w:tcBorders>
            <w:shd w:val="clear" w:color="auto" w:fill="FFFFFF"/>
            <w:vAlign w:val="center"/>
          </w:tcPr>
          <w:p w14:paraId="44D6BDB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车行横通道防火卷帘 更换</w:t>
            </w:r>
          </w:p>
        </w:tc>
        <w:tc>
          <w:tcPr>
            <w:tcW w:w="1000" w:type="dxa"/>
            <w:tcBorders>
              <w:top w:val="nil"/>
              <w:left w:val="nil"/>
              <w:bottom w:val="single" w:color="000000" w:sz="4" w:space="0"/>
              <w:right w:val="single" w:color="000000" w:sz="4" w:space="0"/>
            </w:tcBorders>
            <w:shd w:val="clear" w:color="auto" w:fill="FFFFFF"/>
            <w:vAlign w:val="center"/>
          </w:tcPr>
          <w:p w14:paraId="0B632E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58A806CC">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2</w:t>
            </w:r>
          </w:p>
        </w:tc>
        <w:tc>
          <w:tcPr>
            <w:tcW w:w="1200" w:type="dxa"/>
            <w:gridSpan w:val="2"/>
            <w:tcBorders>
              <w:top w:val="nil"/>
              <w:left w:val="nil"/>
              <w:bottom w:val="single" w:color="000000" w:sz="4" w:space="0"/>
              <w:right w:val="single" w:color="000000" w:sz="4" w:space="0"/>
            </w:tcBorders>
            <w:shd w:val="clear" w:color="auto" w:fill="FFFFFF"/>
            <w:vAlign w:val="center"/>
          </w:tcPr>
          <w:p w14:paraId="7137D033">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78F9CD39">
            <w:pPr>
              <w:jc w:val="right"/>
              <w:rPr>
                <w:rFonts w:hint="default" w:ascii="Arial Narrow" w:hAnsi="Arial Narrow" w:eastAsia="Arial Narrow" w:cs="Arial Narrow"/>
                <w:i w:val="0"/>
                <w:iCs w:val="0"/>
                <w:color w:val="auto"/>
                <w:sz w:val="18"/>
                <w:szCs w:val="18"/>
                <w:highlight w:val="none"/>
                <w:u w:val="none"/>
              </w:rPr>
            </w:pPr>
          </w:p>
        </w:tc>
      </w:tr>
      <w:tr w14:paraId="301690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71F45D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TS509-32</w:t>
            </w:r>
          </w:p>
        </w:tc>
        <w:tc>
          <w:tcPr>
            <w:tcW w:w="4060" w:type="dxa"/>
            <w:gridSpan w:val="2"/>
            <w:tcBorders>
              <w:top w:val="nil"/>
              <w:left w:val="nil"/>
              <w:bottom w:val="single" w:color="000000" w:sz="4" w:space="0"/>
              <w:right w:val="single" w:color="000000" w:sz="4" w:space="0"/>
            </w:tcBorders>
            <w:shd w:val="clear" w:color="auto" w:fill="FFFFFF"/>
            <w:vAlign w:val="center"/>
          </w:tcPr>
          <w:p w14:paraId="0BDDCD3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人行横通道防火门 更换</w:t>
            </w:r>
          </w:p>
        </w:tc>
        <w:tc>
          <w:tcPr>
            <w:tcW w:w="1000" w:type="dxa"/>
            <w:tcBorders>
              <w:top w:val="nil"/>
              <w:left w:val="nil"/>
              <w:bottom w:val="single" w:color="000000" w:sz="4" w:space="0"/>
              <w:right w:val="single" w:color="000000" w:sz="4" w:space="0"/>
            </w:tcBorders>
            <w:shd w:val="clear" w:color="auto" w:fill="FFFFFF"/>
            <w:vAlign w:val="center"/>
          </w:tcPr>
          <w:p w14:paraId="0D16DF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4441722B">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3</w:t>
            </w:r>
          </w:p>
        </w:tc>
        <w:tc>
          <w:tcPr>
            <w:tcW w:w="1200" w:type="dxa"/>
            <w:gridSpan w:val="2"/>
            <w:tcBorders>
              <w:top w:val="nil"/>
              <w:left w:val="nil"/>
              <w:bottom w:val="single" w:color="000000" w:sz="4" w:space="0"/>
              <w:right w:val="single" w:color="000000" w:sz="4" w:space="0"/>
            </w:tcBorders>
            <w:shd w:val="clear" w:color="auto" w:fill="FFFFFF"/>
            <w:vAlign w:val="center"/>
          </w:tcPr>
          <w:p w14:paraId="0503AC6A">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42C14A2F">
            <w:pPr>
              <w:jc w:val="right"/>
              <w:rPr>
                <w:rFonts w:hint="default" w:ascii="Arial Narrow" w:hAnsi="Arial Narrow" w:eastAsia="Arial Narrow" w:cs="Arial Narrow"/>
                <w:i w:val="0"/>
                <w:iCs w:val="0"/>
                <w:color w:val="auto"/>
                <w:sz w:val="18"/>
                <w:szCs w:val="18"/>
                <w:highlight w:val="none"/>
                <w:u w:val="none"/>
              </w:rPr>
            </w:pPr>
          </w:p>
        </w:tc>
      </w:tr>
      <w:tr w14:paraId="0EC50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4B264F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TS551</w:t>
            </w:r>
          </w:p>
        </w:tc>
        <w:tc>
          <w:tcPr>
            <w:tcW w:w="4060" w:type="dxa"/>
            <w:gridSpan w:val="2"/>
            <w:tcBorders>
              <w:top w:val="nil"/>
              <w:left w:val="nil"/>
              <w:bottom w:val="single" w:color="000000" w:sz="4" w:space="0"/>
              <w:right w:val="single" w:color="000000" w:sz="4" w:space="0"/>
            </w:tcBorders>
            <w:shd w:val="clear" w:color="auto" w:fill="FFFFFF"/>
            <w:vAlign w:val="center"/>
          </w:tcPr>
          <w:p w14:paraId="7DC5AAC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通风子系统维修</w:t>
            </w:r>
          </w:p>
        </w:tc>
        <w:tc>
          <w:tcPr>
            <w:tcW w:w="1000" w:type="dxa"/>
            <w:tcBorders>
              <w:top w:val="nil"/>
              <w:left w:val="nil"/>
              <w:bottom w:val="single" w:color="000000" w:sz="4" w:space="0"/>
              <w:right w:val="single" w:color="000000" w:sz="4" w:space="0"/>
            </w:tcBorders>
            <w:shd w:val="clear" w:color="auto" w:fill="FFFFFF"/>
            <w:vAlign w:val="center"/>
          </w:tcPr>
          <w:p w14:paraId="6122559D">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429AA4AE">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501166AA">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41D892CF">
            <w:pPr>
              <w:jc w:val="right"/>
              <w:rPr>
                <w:rFonts w:hint="default" w:ascii="Arial Narrow" w:hAnsi="Arial Narrow" w:eastAsia="Arial Narrow" w:cs="Arial Narrow"/>
                <w:i w:val="0"/>
                <w:iCs w:val="0"/>
                <w:color w:val="auto"/>
                <w:sz w:val="18"/>
                <w:szCs w:val="18"/>
                <w:highlight w:val="none"/>
                <w:u w:val="none"/>
              </w:rPr>
            </w:pPr>
          </w:p>
        </w:tc>
      </w:tr>
      <w:tr w14:paraId="38F645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1116D5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TS551-2</w:t>
            </w:r>
          </w:p>
        </w:tc>
        <w:tc>
          <w:tcPr>
            <w:tcW w:w="4060" w:type="dxa"/>
            <w:gridSpan w:val="2"/>
            <w:tcBorders>
              <w:top w:val="nil"/>
              <w:left w:val="nil"/>
              <w:bottom w:val="single" w:color="000000" w:sz="4" w:space="0"/>
              <w:right w:val="single" w:color="000000" w:sz="4" w:space="0"/>
            </w:tcBorders>
            <w:shd w:val="clear" w:color="auto" w:fill="FFFFFF"/>
            <w:vAlign w:val="center"/>
          </w:tcPr>
          <w:p w14:paraId="29D57F6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射流风机分解性检修</w:t>
            </w:r>
          </w:p>
        </w:tc>
        <w:tc>
          <w:tcPr>
            <w:tcW w:w="1000" w:type="dxa"/>
            <w:tcBorders>
              <w:top w:val="nil"/>
              <w:left w:val="nil"/>
              <w:bottom w:val="single" w:color="000000" w:sz="4" w:space="0"/>
              <w:right w:val="single" w:color="000000" w:sz="4" w:space="0"/>
            </w:tcBorders>
            <w:shd w:val="clear" w:color="auto" w:fill="FFFFFF"/>
            <w:vAlign w:val="center"/>
          </w:tcPr>
          <w:p w14:paraId="44394375">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71F66D5C">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349B5BB6">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2B3D9DBF">
            <w:pPr>
              <w:jc w:val="right"/>
              <w:rPr>
                <w:rFonts w:hint="default" w:ascii="Arial Narrow" w:hAnsi="Arial Narrow" w:eastAsia="Arial Narrow" w:cs="Arial Narrow"/>
                <w:i w:val="0"/>
                <w:iCs w:val="0"/>
                <w:color w:val="auto"/>
                <w:sz w:val="18"/>
                <w:szCs w:val="18"/>
                <w:highlight w:val="none"/>
                <w:u w:val="none"/>
              </w:rPr>
            </w:pPr>
          </w:p>
        </w:tc>
      </w:tr>
      <w:tr w14:paraId="6A3392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122EED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TS551-2-a</w:t>
            </w:r>
          </w:p>
        </w:tc>
        <w:tc>
          <w:tcPr>
            <w:tcW w:w="4060" w:type="dxa"/>
            <w:gridSpan w:val="2"/>
            <w:tcBorders>
              <w:top w:val="nil"/>
              <w:left w:val="nil"/>
              <w:bottom w:val="single" w:color="000000" w:sz="4" w:space="0"/>
              <w:right w:val="single" w:color="000000" w:sz="4" w:space="0"/>
            </w:tcBorders>
            <w:shd w:val="clear" w:color="auto" w:fill="FFFFFF"/>
            <w:vAlign w:val="center"/>
          </w:tcPr>
          <w:p w14:paraId="2A315B1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射流风机本体维护保养 一组两台</w:t>
            </w:r>
          </w:p>
        </w:tc>
        <w:tc>
          <w:tcPr>
            <w:tcW w:w="1000" w:type="dxa"/>
            <w:tcBorders>
              <w:top w:val="nil"/>
              <w:left w:val="nil"/>
              <w:bottom w:val="single" w:color="000000" w:sz="4" w:space="0"/>
              <w:right w:val="single" w:color="000000" w:sz="4" w:space="0"/>
            </w:tcBorders>
            <w:shd w:val="clear" w:color="auto" w:fill="FFFFFF"/>
            <w:vAlign w:val="center"/>
          </w:tcPr>
          <w:p w14:paraId="300BBC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w:t>
            </w:r>
          </w:p>
        </w:tc>
        <w:tc>
          <w:tcPr>
            <w:tcW w:w="1200" w:type="dxa"/>
            <w:gridSpan w:val="2"/>
            <w:tcBorders>
              <w:top w:val="nil"/>
              <w:left w:val="nil"/>
              <w:bottom w:val="single" w:color="000000" w:sz="4" w:space="0"/>
              <w:right w:val="single" w:color="000000" w:sz="4" w:space="0"/>
            </w:tcBorders>
            <w:shd w:val="clear" w:color="auto" w:fill="FFFFFF"/>
            <w:vAlign w:val="center"/>
          </w:tcPr>
          <w:p w14:paraId="72EB113B">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4</w:t>
            </w:r>
          </w:p>
        </w:tc>
        <w:tc>
          <w:tcPr>
            <w:tcW w:w="1200" w:type="dxa"/>
            <w:gridSpan w:val="2"/>
            <w:tcBorders>
              <w:top w:val="nil"/>
              <w:left w:val="nil"/>
              <w:bottom w:val="single" w:color="000000" w:sz="4" w:space="0"/>
              <w:right w:val="single" w:color="000000" w:sz="4" w:space="0"/>
            </w:tcBorders>
            <w:shd w:val="clear" w:color="auto" w:fill="FFFFFF"/>
            <w:vAlign w:val="center"/>
          </w:tcPr>
          <w:p w14:paraId="7C0C1045">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2A10AA04">
            <w:pPr>
              <w:jc w:val="right"/>
              <w:rPr>
                <w:rFonts w:hint="default" w:ascii="Arial Narrow" w:hAnsi="Arial Narrow" w:eastAsia="Arial Narrow" w:cs="Arial Narrow"/>
                <w:i w:val="0"/>
                <w:iCs w:val="0"/>
                <w:color w:val="auto"/>
                <w:sz w:val="18"/>
                <w:szCs w:val="18"/>
                <w:highlight w:val="none"/>
                <w:u w:val="none"/>
              </w:rPr>
            </w:pPr>
          </w:p>
        </w:tc>
      </w:tr>
      <w:tr w14:paraId="10661E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072125D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TS551-4</w:t>
            </w:r>
          </w:p>
        </w:tc>
        <w:tc>
          <w:tcPr>
            <w:tcW w:w="4060" w:type="dxa"/>
            <w:gridSpan w:val="2"/>
            <w:tcBorders>
              <w:top w:val="nil"/>
              <w:left w:val="nil"/>
              <w:bottom w:val="single" w:color="000000" w:sz="4" w:space="0"/>
              <w:right w:val="single" w:color="000000" w:sz="4" w:space="0"/>
            </w:tcBorders>
            <w:shd w:val="clear" w:color="auto" w:fill="FFFFFF"/>
            <w:vAlign w:val="center"/>
          </w:tcPr>
          <w:p w14:paraId="3AC1FEF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风机控制箱更换</w:t>
            </w:r>
          </w:p>
        </w:tc>
        <w:tc>
          <w:tcPr>
            <w:tcW w:w="1000" w:type="dxa"/>
            <w:tcBorders>
              <w:top w:val="nil"/>
              <w:left w:val="nil"/>
              <w:bottom w:val="single" w:color="000000" w:sz="4" w:space="0"/>
              <w:right w:val="single" w:color="000000" w:sz="4" w:space="0"/>
            </w:tcBorders>
            <w:shd w:val="clear" w:color="auto" w:fill="FFFFFF"/>
            <w:vAlign w:val="center"/>
          </w:tcPr>
          <w:p w14:paraId="620BC6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200" w:type="dxa"/>
            <w:gridSpan w:val="2"/>
            <w:tcBorders>
              <w:top w:val="nil"/>
              <w:left w:val="nil"/>
              <w:bottom w:val="single" w:color="000000" w:sz="4" w:space="0"/>
              <w:right w:val="single" w:color="000000" w:sz="4" w:space="0"/>
            </w:tcBorders>
            <w:shd w:val="clear" w:color="auto" w:fill="FFFFFF"/>
            <w:vAlign w:val="center"/>
          </w:tcPr>
          <w:p w14:paraId="6490313D">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4</w:t>
            </w:r>
          </w:p>
        </w:tc>
        <w:tc>
          <w:tcPr>
            <w:tcW w:w="1200" w:type="dxa"/>
            <w:gridSpan w:val="2"/>
            <w:tcBorders>
              <w:top w:val="nil"/>
              <w:left w:val="nil"/>
              <w:bottom w:val="single" w:color="000000" w:sz="4" w:space="0"/>
              <w:right w:val="single" w:color="000000" w:sz="4" w:space="0"/>
            </w:tcBorders>
            <w:shd w:val="clear" w:color="auto" w:fill="FFFFFF"/>
            <w:vAlign w:val="center"/>
          </w:tcPr>
          <w:p w14:paraId="43687F97">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6773F665">
            <w:pPr>
              <w:jc w:val="right"/>
              <w:rPr>
                <w:rFonts w:hint="default" w:ascii="Arial Narrow" w:hAnsi="Arial Narrow" w:eastAsia="Arial Narrow" w:cs="Arial Narrow"/>
                <w:i w:val="0"/>
                <w:iCs w:val="0"/>
                <w:color w:val="auto"/>
                <w:sz w:val="18"/>
                <w:szCs w:val="18"/>
                <w:highlight w:val="none"/>
                <w:u w:val="none"/>
              </w:rPr>
            </w:pPr>
          </w:p>
        </w:tc>
      </w:tr>
      <w:tr w14:paraId="19E815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11D980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TS552</w:t>
            </w:r>
          </w:p>
        </w:tc>
        <w:tc>
          <w:tcPr>
            <w:tcW w:w="4060" w:type="dxa"/>
            <w:gridSpan w:val="2"/>
            <w:tcBorders>
              <w:top w:val="nil"/>
              <w:left w:val="nil"/>
              <w:bottom w:val="single" w:color="000000" w:sz="4" w:space="0"/>
              <w:right w:val="single" w:color="000000" w:sz="4" w:space="0"/>
            </w:tcBorders>
            <w:shd w:val="clear" w:color="auto" w:fill="FFFFFF"/>
            <w:vAlign w:val="center"/>
          </w:tcPr>
          <w:p w14:paraId="69E3E06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照明子系统维修</w:t>
            </w:r>
          </w:p>
        </w:tc>
        <w:tc>
          <w:tcPr>
            <w:tcW w:w="1000" w:type="dxa"/>
            <w:tcBorders>
              <w:top w:val="nil"/>
              <w:left w:val="nil"/>
              <w:bottom w:val="single" w:color="000000" w:sz="4" w:space="0"/>
              <w:right w:val="single" w:color="000000" w:sz="4" w:space="0"/>
            </w:tcBorders>
            <w:shd w:val="clear" w:color="auto" w:fill="FFFFFF"/>
            <w:vAlign w:val="center"/>
          </w:tcPr>
          <w:p w14:paraId="0D7C24DB">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0AAD4262">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57A8ACED">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76AB4E7A">
            <w:pPr>
              <w:jc w:val="right"/>
              <w:rPr>
                <w:rFonts w:hint="default" w:ascii="Arial Narrow" w:hAnsi="Arial Narrow" w:eastAsia="Arial Narrow" w:cs="Arial Narrow"/>
                <w:i w:val="0"/>
                <w:iCs w:val="0"/>
                <w:color w:val="auto"/>
                <w:sz w:val="18"/>
                <w:szCs w:val="18"/>
                <w:highlight w:val="none"/>
                <w:u w:val="none"/>
              </w:rPr>
            </w:pPr>
          </w:p>
        </w:tc>
      </w:tr>
      <w:tr w14:paraId="5B9A80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61828A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TS552-2</w:t>
            </w:r>
          </w:p>
        </w:tc>
        <w:tc>
          <w:tcPr>
            <w:tcW w:w="4060" w:type="dxa"/>
            <w:gridSpan w:val="2"/>
            <w:tcBorders>
              <w:top w:val="nil"/>
              <w:left w:val="nil"/>
              <w:bottom w:val="single" w:color="000000" w:sz="4" w:space="0"/>
              <w:right w:val="single" w:color="000000" w:sz="4" w:space="0"/>
            </w:tcBorders>
            <w:shd w:val="clear" w:color="auto" w:fill="FFFFFF"/>
            <w:vAlign w:val="center"/>
          </w:tcPr>
          <w:p w14:paraId="4E98B93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应急诱导灯（LED 10W） 更换</w:t>
            </w:r>
          </w:p>
        </w:tc>
        <w:tc>
          <w:tcPr>
            <w:tcW w:w="1000" w:type="dxa"/>
            <w:tcBorders>
              <w:top w:val="nil"/>
              <w:left w:val="nil"/>
              <w:bottom w:val="single" w:color="000000" w:sz="4" w:space="0"/>
              <w:right w:val="single" w:color="000000" w:sz="4" w:space="0"/>
            </w:tcBorders>
            <w:shd w:val="clear" w:color="auto" w:fill="FFFFFF"/>
            <w:vAlign w:val="center"/>
          </w:tcPr>
          <w:p w14:paraId="76E2F3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7241F109">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74</w:t>
            </w:r>
          </w:p>
        </w:tc>
        <w:tc>
          <w:tcPr>
            <w:tcW w:w="1200" w:type="dxa"/>
            <w:gridSpan w:val="2"/>
            <w:tcBorders>
              <w:top w:val="nil"/>
              <w:left w:val="nil"/>
              <w:bottom w:val="single" w:color="000000" w:sz="4" w:space="0"/>
              <w:right w:val="single" w:color="000000" w:sz="4" w:space="0"/>
            </w:tcBorders>
            <w:shd w:val="clear" w:color="auto" w:fill="FFFFFF"/>
            <w:vAlign w:val="center"/>
          </w:tcPr>
          <w:p w14:paraId="67C34C25">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2B34A2BC">
            <w:pPr>
              <w:jc w:val="right"/>
              <w:rPr>
                <w:rFonts w:hint="default" w:ascii="Arial Narrow" w:hAnsi="Arial Narrow" w:eastAsia="Arial Narrow" w:cs="Arial Narrow"/>
                <w:i w:val="0"/>
                <w:iCs w:val="0"/>
                <w:color w:val="auto"/>
                <w:sz w:val="18"/>
                <w:szCs w:val="18"/>
                <w:highlight w:val="none"/>
                <w:u w:val="none"/>
              </w:rPr>
            </w:pPr>
          </w:p>
        </w:tc>
      </w:tr>
      <w:tr w14:paraId="6B197A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095173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TS552-3</w:t>
            </w:r>
          </w:p>
        </w:tc>
        <w:tc>
          <w:tcPr>
            <w:tcW w:w="4060" w:type="dxa"/>
            <w:gridSpan w:val="2"/>
            <w:tcBorders>
              <w:top w:val="nil"/>
              <w:left w:val="nil"/>
              <w:bottom w:val="single" w:color="000000" w:sz="4" w:space="0"/>
              <w:right w:val="single" w:color="000000" w:sz="4" w:space="0"/>
            </w:tcBorders>
            <w:shd w:val="clear" w:color="auto" w:fill="FFFFFF"/>
            <w:vAlign w:val="center"/>
          </w:tcPr>
          <w:p w14:paraId="0CE6373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更换标志灯</w:t>
            </w:r>
          </w:p>
        </w:tc>
        <w:tc>
          <w:tcPr>
            <w:tcW w:w="1000" w:type="dxa"/>
            <w:tcBorders>
              <w:top w:val="nil"/>
              <w:left w:val="nil"/>
              <w:bottom w:val="single" w:color="000000" w:sz="4" w:space="0"/>
              <w:right w:val="single" w:color="000000" w:sz="4" w:space="0"/>
            </w:tcBorders>
            <w:shd w:val="clear" w:color="auto" w:fill="FFFFFF"/>
            <w:vAlign w:val="center"/>
          </w:tcPr>
          <w:p w14:paraId="585C9B18">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648D7BCA">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538D7507">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407DBD06">
            <w:pPr>
              <w:jc w:val="right"/>
              <w:rPr>
                <w:rFonts w:hint="default" w:ascii="Arial Narrow" w:hAnsi="Arial Narrow" w:eastAsia="Arial Narrow" w:cs="Arial Narrow"/>
                <w:i w:val="0"/>
                <w:iCs w:val="0"/>
                <w:color w:val="auto"/>
                <w:sz w:val="18"/>
                <w:szCs w:val="18"/>
                <w:highlight w:val="none"/>
                <w:u w:val="none"/>
              </w:rPr>
            </w:pPr>
          </w:p>
        </w:tc>
      </w:tr>
      <w:tr w14:paraId="762979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4F04CAD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TS552-3-a</w:t>
            </w:r>
          </w:p>
        </w:tc>
        <w:tc>
          <w:tcPr>
            <w:tcW w:w="4060" w:type="dxa"/>
            <w:gridSpan w:val="2"/>
            <w:tcBorders>
              <w:top w:val="nil"/>
              <w:left w:val="nil"/>
              <w:bottom w:val="single" w:color="000000" w:sz="4" w:space="0"/>
              <w:right w:val="single" w:color="000000" w:sz="4" w:space="0"/>
            </w:tcBorders>
            <w:shd w:val="clear" w:color="auto" w:fill="FFFFFF"/>
            <w:vAlign w:val="center"/>
          </w:tcPr>
          <w:p w14:paraId="451117F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隧道内车道指示器 更换 红叉绿箭，双面式，600mm×600mm</w:t>
            </w:r>
          </w:p>
        </w:tc>
        <w:tc>
          <w:tcPr>
            <w:tcW w:w="1000" w:type="dxa"/>
            <w:tcBorders>
              <w:top w:val="nil"/>
              <w:left w:val="nil"/>
              <w:bottom w:val="single" w:color="000000" w:sz="4" w:space="0"/>
              <w:right w:val="single" w:color="000000" w:sz="4" w:space="0"/>
            </w:tcBorders>
            <w:shd w:val="clear" w:color="auto" w:fill="FFFFFF"/>
            <w:vAlign w:val="center"/>
          </w:tcPr>
          <w:p w14:paraId="6B0978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46BCA78C">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8</w:t>
            </w:r>
          </w:p>
        </w:tc>
        <w:tc>
          <w:tcPr>
            <w:tcW w:w="1200" w:type="dxa"/>
            <w:gridSpan w:val="2"/>
            <w:tcBorders>
              <w:top w:val="nil"/>
              <w:left w:val="nil"/>
              <w:bottom w:val="single" w:color="000000" w:sz="4" w:space="0"/>
              <w:right w:val="single" w:color="000000" w:sz="4" w:space="0"/>
            </w:tcBorders>
            <w:shd w:val="clear" w:color="auto" w:fill="FFFFFF"/>
            <w:vAlign w:val="center"/>
          </w:tcPr>
          <w:p w14:paraId="02FE0FA6">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34B90EA9">
            <w:pPr>
              <w:jc w:val="right"/>
              <w:rPr>
                <w:rFonts w:hint="default" w:ascii="Arial Narrow" w:hAnsi="Arial Narrow" w:eastAsia="Arial Narrow" w:cs="Arial Narrow"/>
                <w:i w:val="0"/>
                <w:iCs w:val="0"/>
                <w:color w:val="auto"/>
                <w:sz w:val="18"/>
                <w:szCs w:val="18"/>
                <w:highlight w:val="none"/>
                <w:u w:val="none"/>
              </w:rPr>
            </w:pPr>
          </w:p>
        </w:tc>
      </w:tr>
      <w:tr w14:paraId="1A9494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0F20121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TS552-3-b</w:t>
            </w:r>
          </w:p>
        </w:tc>
        <w:tc>
          <w:tcPr>
            <w:tcW w:w="4060" w:type="dxa"/>
            <w:gridSpan w:val="2"/>
            <w:tcBorders>
              <w:top w:val="nil"/>
              <w:left w:val="nil"/>
              <w:bottom w:val="single" w:color="000000" w:sz="4" w:space="0"/>
              <w:right w:val="single" w:color="000000" w:sz="4" w:space="0"/>
            </w:tcBorders>
            <w:shd w:val="clear" w:color="auto" w:fill="FFFFFF"/>
            <w:vAlign w:val="center"/>
          </w:tcPr>
          <w:p w14:paraId="6374117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消防标志灯（LED 10W）维修更换</w:t>
            </w:r>
          </w:p>
        </w:tc>
        <w:tc>
          <w:tcPr>
            <w:tcW w:w="1000" w:type="dxa"/>
            <w:tcBorders>
              <w:top w:val="nil"/>
              <w:left w:val="nil"/>
              <w:bottom w:val="single" w:color="000000" w:sz="4" w:space="0"/>
              <w:right w:val="single" w:color="000000" w:sz="4" w:space="0"/>
            </w:tcBorders>
            <w:shd w:val="clear" w:color="auto" w:fill="FFFFFF"/>
            <w:vAlign w:val="center"/>
          </w:tcPr>
          <w:p w14:paraId="43DF866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455B1717">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5</w:t>
            </w:r>
          </w:p>
        </w:tc>
        <w:tc>
          <w:tcPr>
            <w:tcW w:w="1200" w:type="dxa"/>
            <w:gridSpan w:val="2"/>
            <w:tcBorders>
              <w:top w:val="nil"/>
              <w:left w:val="nil"/>
              <w:bottom w:val="single" w:color="000000" w:sz="4" w:space="0"/>
              <w:right w:val="single" w:color="000000" w:sz="4" w:space="0"/>
            </w:tcBorders>
            <w:shd w:val="clear" w:color="auto" w:fill="FFFFFF"/>
            <w:vAlign w:val="center"/>
          </w:tcPr>
          <w:p w14:paraId="64083E44">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42A6C8CB">
            <w:pPr>
              <w:jc w:val="right"/>
              <w:rPr>
                <w:rFonts w:hint="default" w:ascii="Arial Narrow" w:hAnsi="Arial Narrow" w:eastAsia="Arial Narrow" w:cs="Arial Narrow"/>
                <w:i w:val="0"/>
                <w:iCs w:val="0"/>
                <w:color w:val="auto"/>
                <w:sz w:val="18"/>
                <w:szCs w:val="18"/>
                <w:highlight w:val="none"/>
                <w:u w:val="none"/>
              </w:rPr>
            </w:pPr>
          </w:p>
        </w:tc>
      </w:tr>
      <w:tr w14:paraId="355877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5906760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TS552-3-c</w:t>
            </w:r>
          </w:p>
        </w:tc>
        <w:tc>
          <w:tcPr>
            <w:tcW w:w="4060" w:type="dxa"/>
            <w:gridSpan w:val="2"/>
            <w:tcBorders>
              <w:top w:val="nil"/>
              <w:left w:val="nil"/>
              <w:bottom w:val="single" w:color="000000" w:sz="4" w:space="0"/>
              <w:right w:val="single" w:color="000000" w:sz="4" w:space="0"/>
            </w:tcBorders>
            <w:shd w:val="clear" w:color="auto" w:fill="FFFFFF"/>
            <w:vAlign w:val="center"/>
          </w:tcPr>
          <w:p w14:paraId="0DB762D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人行横通道标志灯（LED 15W） 更换</w:t>
            </w:r>
          </w:p>
        </w:tc>
        <w:tc>
          <w:tcPr>
            <w:tcW w:w="1000" w:type="dxa"/>
            <w:tcBorders>
              <w:top w:val="nil"/>
              <w:left w:val="nil"/>
              <w:bottom w:val="single" w:color="000000" w:sz="4" w:space="0"/>
              <w:right w:val="single" w:color="000000" w:sz="4" w:space="0"/>
            </w:tcBorders>
            <w:shd w:val="clear" w:color="auto" w:fill="FFFFFF"/>
            <w:vAlign w:val="center"/>
          </w:tcPr>
          <w:p w14:paraId="650476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2BFE144A">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3</w:t>
            </w:r>
          </w:p>
        </w:tc>
        <w:tc>
          <w:tcPr>
            <w:tcW w:w="1200" w:type="dxa"/>
            <w:gridSpan w:val="2"/>
            <w:tcBorders>
              <w:top w:val="nil"/>
              <w:left w:val="nil"/>
              <w:bottom w:val="single" w:color="000000" w:sz="4" w:space="0"/>
              <w:right w:val="single" w:color="000000" w:sz="4" w:space="0"/>
            </w:tcBorders>
            <w:shd w:val="clear" w:color="auto" w:fill="FFFFFF"/>
            <w:vAlign w:val="center"/>
          </w:tcPr>
          <w:p w14:paraId="308327EC">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2734AA55">
            <w:pPr>
              <w:jc w:val="right"/>
              <w:rPr>
                <w:rFonts w:hint="default" w:ascii="Arial Narrow" w:hAnsi="Arial Narrow" w:eastAsia="Arial Narrow" w:cs="Arial Narrow"/>
                <w:i w:val="0"/>
                <w:iCs w:val="0"/>
                <w:color w:val="auto"/>
                <w:sz w:val="18"/>
                <w:szCs w:val="18"/>
                <w:highlight w:val="none"/>
                <w:u w:val="none"/>
              </w:rPr>
            </w:pPr>
          </w:p>
        </w:tc>
      </w:tr>
      <w:tr w14:paraId="398228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53F4AD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TS552-3-d</w:t>
            </w:r>
          </w:p>
        </w:tc>
        <w:tc>
          <w:tcPr>
            <w:tcW w:w="4060" w:type="dxa"/>
            <w:gridSpan w:val="2"/>
            <w:tcBorders>
              <w:top w:val="nil"/>
              <w:left w:val="nil"/>
              <w:bottom w:val="single" w:color="000000" w:sz="4" w:space="0"/>
              <w:right w:val="single" w:color="000000" w:sz="4" w:space="0"/>
            </w:tcBorders>
            <w:shd w:val="clear" w:color="auto" w:fill="FFFFFF"/>
            <w:vAlign w:val="center"/>
          </w:tcPr>
          <w:p w14:paraId="1753CC6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车行横通道标志灯（LED 15W） 更换</w:t>
            </w:r>
          </w:p>
        </w:tc>
        <w:tc>
          <w:tcPr>
            <w:tcW w:w="1000" w:type="dxa"/>
            <w:tcBorders>
              <w:top w:val="nil"/>
              <w:left w:val="nil"/>
              <w:bottom w:val="single" w:color="000000" w:sz="4" w:space="0"/>
              <w:right w:val="single" w:color="000000" w:sz="4" w:space="0"/>
            </w:tcBorders>
            <w:shd w:val="clear" w:color="auto" w:fill="FFFFFF"/>
            <w:vAlign w:val="center"/>
          </w:tcPr>
          <w:p w14:paraId="683ACF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7FB9222F">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2</w:t>
            </w:r>
          </w:p>
        </w:tc>
        <w:tc>
          <w:tcPr>
            <w:tcW w:w="1200" w:type="dxa"/>
            <w:gridSpan w:val="2"/>
            <w:tcBorders>
              <w:top w:val="nil"/>
              <w:left w:val="nil"/>
              <w:bottom w:val="single" w:color="000000" w:sz="4" w:space="0"/>
              <w:right w:val="single" w:color="000000" w:sz="4" w:space="0"/>
            </w:tcBorders>
            <w:shd w:val="clear" w:color="auto" w:fill="FFFFFF"/>
            <w:vAlign w:val="center"/>
          </w:tcPr>
          <w:p w14:paraId="5DE78940">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1B3A7497">
            <w:pPr>
              <w:jc w:val="right"/>
              <w:rPr>
                <w:rFonts w:hint="default" w:ascii="Arial Narrow" w:hAnsi="Arial Narrow" w:eastAsia="Arial Narrow" w:cs="Arial Narrow"/>
                <w:i w:val="0"/>
                <w:iCs w:val="0"/>
                <w:color w:val="auto"/>
                <w:sz w:val="18"/>
                <w:szCs w:val="18"/>
                <w:highlight w:val="none"/>
                <w:u w:val="none"/>
              </w:rPr>
            </w:pPr>
          </w:p>
        </w:tc>
      </w:tr>
      <w:tr w14:paraId="733029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6E530B5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TS553</w:t>
            </w:r>
          </w:p>
        </w:tc>
        <w:tc>
          <w:tcPr>
            <w:tcW w:w="4060" w:type="dxa"/>
            <w:gridSpan w:val="2"/>
            <w:tcBorders>
              <w:top w:val="nil"/>
              <w:left w:val="nil"/>
              <w:bottom w:val="single" w:color="000000" w:sz="4" w:space="0"/>
              <w:right w:val="single" w:color="000000" w:sz="4" w:space="0"/>
            </w:tcBorders>
            <w:shd w:val="clear" w:color="auto" w:fill="FFFFFF"/>
            <w:vAlign w:val="center"/>
          </w:tcPr>
          <w:p w14:paraId="28A0C3E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火灾检测与报警子系统维修</w:t>
            </w:r>
          </w:p>
        </w:tc>
        <w:tc>
          <w:tcPr>
            <w:tcW w:w="1000" w:type="dxa"/>
            <w:tcBorders>
              <w:top w:val="nil"/>
              <w:left w:val="nil"/>
              <w:bottom w:val="single" w:color="000000" w:sz="4" w:space="0"/>
              <w:right w:val="single" w:color="000000" w:sz="4" w:space="0"/>
            </w:tcBorders>
            <w:shd w:val="clear" w:color="auto" w:fill="FFFFFF"/>
            <w:vAlign w:val="center"/>
          </w:tcPr>
          <w:p w14:paraId="515F2C8D">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03AE8461">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10DDE7E9">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059EBB9A">
            <w:pPr>
              <w:jc w:val="right"/>
              <w:rPr>
                <w:rFonts w:hint="default" w:ascii="Arial Narrow" w:hAnsi="Arial Narrow" w:eastAsia="Arial Narrow" w:cs="Arial Narrow"/>
                <w:i w:val="0"/>
                <w:iCs w:val="0"/>
                <w:color w:val="auto"/>
                <w:sz w:val="18"/>
                <w:szCs w:val="18"/>
                <w:highlight w:val="none"/>
                <w:u w:val="none"/>
              </w:rPr>
            </w:pPr>
          </w:p>
        </w:tc>
      </w:tr>
      <w:tr w14:paraId="244991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32D387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TS553-1</w:t>
            </w:r>
          </w:p>
        </w:tc>
        <w:tc>
          <w:tcPr>
            <w:tcW w:w="4060" w:type="dxa"/>
            <w:gridSpan w:val="2"/>
            <w:tcBorders>
              <w:top w:val="nil"/>
              <w:left w:val="nil"/>
              <w:bottom w:val="single" w:color="000000" w:sz="4" w:space="0"/>
              <w:right w:val="single" w:color="000000" w:sz="4" w:space="0"/>
            </w:tcBorders>
            <w:shd w:val="clear" w:color="auto" w:fill="FFFFFF"/>
            <w:vAlign w:val="center"/>
          </w:tcPr>
          <w:p w14:paraId="2FCB1C9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火灾自动报警控制器主机更换</w:t>
            </w:r>
          </w:p>
        </w:tc>
        <w:tc>
          <w:tcPr>
            <w:tcW w:w="1000" w:type="dxa"/>
            <w:tcBorders>
              <w:top w:val="nil"/>
              <w:left w:val="nil"/>
              <w:bottom w:val="single" w:color="000000" w:sz="4" w:space="0"/>
              <w:right w:val="single" w:color="000000" w:sz="4" w:space="0"/>
            </w:tcBorders>
            <w:shd w:val="clear" w:color="auto" w:fill="FFFFFF"/>
            <w:vAlign w:val="center"/>
          </w:tcPr>
          <w:p w14:paraId="3C01A1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1D1993AB">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0943883D">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1856B72F">
            <w:pPr>
              <w:jc w:val="right"/>
              <w:rPr>
                <w:rFonts w:hint="default" w:ascii="Arial Narrow" w:hAnsi="Arial Narrow" w:eastAsia="Arial Narrow" w:cs="Arial Narrow"/>
                <w:i w:val="0"/>
                <w:iCs w:val="0"/>
                <w:color w:val="auto"/>
                <w:sz w:val="18"/>
                <w:szCs w:val="18"/>
                <w:highlight w:val="none"/>
                <w:u w:val="none"/>
              </w:rPr>
            </w:pPr>
          </w:p>
        </w:tc>
      </w:tr>
      <w:tr w14:paraId="61482D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649C1D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TS555</w:t>
            </w:r>
          </w:p>
        </w:tc>
        <w:tc>
          <w:tcPr>
            <w:tcW w:w="4060" w:type="dxa"/>
            <w:gridSpan w:val="2"/>
            <w:tcBorders>
              <w:top w:val="nil"/>
              <w:left w:val="nil"/>
              <w:bottom w:val="single" w:color="000000" w:sz="4" w:space="0"/>
              <w:right w:val="single" w:color="000000" w:sz="4" w:space="0"/>
            </w:tcBorders>
            <w:shd w:val="clear" w:color="auto" w:fill="FFFFFF"/>
            <w:vAlign w:val="center"/>
          </w:tcPr>
          <w:p w14:paraId="02C1782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交通监控与诱导子系统维修</w:t>
            </w:r>
          </w:p>
        </w:tc>
        <w:tc>
          <w:tcPr>
            <w:tcW w:w="1000" w:type="dxa"/>
            <w:tcBorders>
              <w:top w:val="nil"/>
              <w:left w:val="nil"/>
              <w:bottom w:val="single" w:color="000000" w:sz="4" w:space="0"/>
              <w:right w:val="single" w:color="000000" w:sz="4" w:space="0"/>
            </w:tcBorders>
            <w:shd w:val="clear" w:color="auto" w:fill="FFFFFF"/>
            <w:vAlign w:val="center"/>
          </w:tcPr>
          <w:p w14:paraId="45D38F1C">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5CAF9BCD">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2FEB05C6">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20C0F2B5">
            <w:pPr>
              <w:jc w:val="right"/>
              <w:rPr>
                <w:rFonts w:hint="default" w:ascii="Arial Narrow" w:hAnsi="Arial Narrow" w:eastAsia="Arial Narrow" w:cs="Arial Narrow"/>
                <w:i w:val="0"/>
                <w:iCs w:val="0"/>
                <w:color w:val="auto"/>
                <w:sz w:val="18"/>
                <w:szCs w:val="18"/>
                <w:highlight w:val="none"/>
                <w:u w:val="none"/>
              </w:rPr>
            </w:pPr>
          </w:p>
        </w:tc>
      </w:tr>
      <w:tr w14:paraId="7D66FA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216D85F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TS555-1</w:t>
            </w:r>
          </w:p>
        </w:tc>
        <w:tc>
          <w:tcPr>
            <w:tcW w:w="4060" w:type="dxa"/>
            <w:gridSpan w:val="2"/>
            <w:tcBorders>
              <w:top w:val="nil"/>
              <w:left w:val="nil"/>
              <w:bottom w:val="single" w:color="000000" w:sz="4" w:space="0"/>
              <w:right w:val="single" w:color="000000" w:sz="4" w:space="0"/>
            </w:tcBorders>
            <w:shd w:val="clear" w:color="auto" w:fill="FFFFFF"/>
            <w:vAlign w:val="center"/>
          </w:tcPr>
          <w:p w14:paraId="3477B19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更换系统设备（部件）</w:t>
            </w:r>
          </w:p>
        </w:tc>
        <w:tc>
          <w:tcPr>
            <w:tcW w:w="1000" w:type="dxa"/>
            <w:tcBorders>
              <w:top w:val="nil"/>
              <w:left w:val="nil"/>
              <w:bottom w:val="single" w:color="000000" w:sz="4" w:space="0"/>
              <w:right w:val="single" w:color="000000" w:sz="4" w:space="0"/>
            </w:tcBorders>
            <w:shd w:val="clear" w:color="auto" w:fill="FFFFFF"/>
            <w:vAlign w:val="center"/>
          </w:tcPr>
          <w:p w14:paraId="0D5C428F">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6D3994D6">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300357E0">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49425E14">
            <w:pPr>
              <w:jc w:val="right"/>
              <w:rPr>
                <w:rFonts w:hint="default" w:ascii="Arial Narrow" w:hAnsi="Arial Narrow" w:eastAsia="Arial Narrow" w:cs="Arial Narrow"/>
                <w:i w:val="0"/>
                <w:iCs w:val="0"/>
                <w:color w:val="auto"/>
                <w:sz w:val="18"/>
                <w:szCs w:val="18"/>
                <w:highlight w:val="none"/>
                <w:u w:val="none"/>
              </w:rPr>
            </w:pPr>
          </w:p>
        </w:tc>
      </w:tr>
      <w:tr w14:paraId="571D92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0499CB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TS555-1-a</w:t>
            </w:r>
          </w:p>
        </w:tc>
        <w:tc>
          <w:tcPr>
            <w:tcW w:w="4060" w:type="dxa"/>
            <w:gridSpan w:val="2"/>
            <w:tcBorders>
              <w:top w:val="nil"/>
              <w:left w:val="nil"/>
              <w:bottom w:val="single" w:color="000000" w:sz="4" w:space="0"/>
              <w:right w:val="single" w:color="000000" w:sz="4" w:space="0"/>
            </w:tcBorders>
            <w:shd w:val="clear" w:color="auto" w:fill="FFFFFF"/>
            <w:vAlign w:val="center"/>
          </w:tcPr>
          <w:p w14:paraId="71AA682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隧道外照度仪更换 1-7000cd/m2，雨刷防护罩</w:t>
            </w:r>
          </w:p>
        </w:tc>
        <w:tc>
          <w:tcPr>
            <w:tcW w:w="1000" w:type="dxa"/>
            <w:tcBorders>
              <w:top w:val="nil"/>
              <w:left w:val="nil"/>
              <w:bottom w:val="single" w:color="000000" w:sz="4" w:space="0"/>
              <w:right w:val="single" w:color="000000" w:sz="4" w:space="0"/>
            </w:tcBorders>
            <w:shd w:val="clear" w:color="auto" w:fill="FFFFFF"/>
            <w:vAlign w:val="center"/>
          </w:tcPr>
          <w:p w14:paraId="3EE2771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6CF4AD31">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65EC080B">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774C2BC5">
            <w:pPr>
              <w:jc w:val="right"/>
              <w:rPr>
                <w:rFonts w:hint="default" w:ascii="Arial Narrow" w:hAnsi="Arial Narrow" w:eastAsia="Arial Narrow" w:cs="Arial Narrow"/>
                <w:i w:val="0"/>
                <w:iCs w:val="0"/>
                <w:color w:val="auto"/>
                <w:sz w:val="18"/>
                <w:szCs w:val="18"/>
                <w:highlight w:val="none"/>
                <w:u w:val="none"/>
              </w:rPr>
            </w:pPr>
          </w:p>
        </w:tc>
      </w:tr>
      <w:tr w14:paraId="0F98FB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3380AC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TS555-1-b</w:t>
            </w:r>
          </w:p>
        </w:tc>
        <w:tc>
          <w:tcPr>
            <w:tcW w:w="4060" w:type="dxa"/>
            <w:gridSpan w:val="2"/>
            <w:tcBorders>
              <w:top w:val="nil"/>
              <w:left w:val="nil"/>
              <w:bottom w:val="single" w:color="000000" w:sz="4" w:space="0"/>
              <w:right w:val="single" w:color="000000" w:sz="4" w:space="0"/>
            </w:tcBorders>
            <w:shd w:val="clear" w:color="auto" w:fill="FFFFFF"/>
            <w:vAlign w:val="center"/>
          </w:tcPr>
          <w:p w14:paraId="2C258A3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隧道内照度仪更换 1-500cd/m2</w:t>
            </w:r>
          </w:p>
        </w:tc>
        <w:tc>
          <w:tcPr>
            <w:tcW w:w="1000" w:type="dxa"/>
            <w:tcBorders>
              <w:top w:val="nil"/>
              <w:left w:val="nil"/>
              <w:bottom w:val="single" w:color="000000" w:sz="4" w:space="0"/>
              <w:right w:val="single" w:color="000000" w:sz="4" w:space="0"/>
            </w:tcBorders>
            <w:shd w:val="clear" w:color="auto" w:fill="FFFFFF"/>
            <w:vAlign w:val="center"/>
          </w:tcPr>
          <w:p w14:paraId="71A4890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5972F68E">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37D5E4D4">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63736169">
            <w:pPr>
              <w:jc w:val="right"/>
              <w:rPr>
                <w:rFonts w:hint="default" w:ascii="Arial Narrow" w:hAnsi="Arial Narrow" w:eastAsia="Arial Narrow" w:cs="Arial Narrow"/>
                <w:i w:val="0"/>
                <w:iCs w:val="0"/>
                <w:color w:val="auto"/>
                <w:sz w:val="18"/>
                <w:szCs w:val="18"/>
                <w:highlight w:val="none"/>
                <w:u w:val="none"/>
              </w:rPr>
            </w:pPr>
          </w:p>
        </w:tc>
      </w:tr>
      <w:tr w14:paraId="6C56BD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210461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TS555-1-c</w:t>
            </w:r>
          </w:p>
        </w:tc>
        <w:tc>
          <w:tcPr>
            <w:tcW w:w="4060" w:type="dxa"/>
            <w:gridSpan w:val="2"/>
            <w:tcBorders>
              <w:top w:val="nil"/>
              <w:left w:val="nil"/>
              <w:bottom w:val="single" w:color="000000" w:sz="4" w:space="0"/>
              <w:right w:val="single" w:color="000000" w:sz="4" w:space="0"/>
            </w:tcBorders>
            <w:shd w:val="clear" w:color="auto" w:fill="FFFFFF"/>
            <w:vAlign w:val="center"/>
          </w:tcPr>
          <w:p w14:paraId="132298C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风速仪更换 0-30m/s</w:t>
            </w:r>
          </w:p>
        </w:tc>
        <w:tc>
          <w:tcPr>
            <w:tcW w:w="1000" w:type="dxa"/>
            <w:tcBorders>
              <w:top w:val="nil"/>
              <w:left w:val="nil"/>
              <w:bottom w:val="single" w:color="000000" w:sz="4" w:space="0"/>
              <w:right w:val="single" w:color="000000" w:sz="4" w:space="0"/>
            </w:tcBorders>
            <w:shd w:val="clear" w:color="auto" w:fill="FFFFFF"/>
            <w:vAlign w:val="center"/>
          </w:tcPr>
          <w:p w14:paraId="7BCA409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283E660A">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10C94A64">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78592A2A">
            <w:pPr>
              <w:jc w:val="right"/>
              <w:rPr>
                <w:rFonts w:hint="default" w:ascii="Arial Narrow" w:hAnsi="Arial Narrow" w:eastAsia="Arial Narrow" w:cs="Arial Narrow"/>
                <w:i w:val="0"/>
                <w:iCs w:val="0"/>
                <w:color w:val="auto"/>
                <w:sz w:val="18"/>
                <w:szCs w:val="18"/>
                <w:highlight w:val="none"/>
                <w:u w:val="none"/>
              </w:rPr>
            </w:pPr>
          </w:p>
        </w:tc>
      </w:tr>
      <w:tr w14:paraId="66B83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320C8E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TS555-1-d</w:t>
            </w:r>
          </w:p>
        </w:tc>
        <w:tc>
          <w:tcPr>
            <w:tcW w:w="4060" w:type="dxa"/>
            <w:gridSpan w:val="2"/>
            <w:tcBorders>
              <w:top w:val="nil"/>
              <w:left w:val="nil"/>
              <w:bottom w:val="single" w:color="000000" w:sz="4" w:space="0"/>
              <w:right w:val="single" w:color="000000" w:sz="4" w:space="0"/>
            </w:tcBorders>
            <w:shd w:val="clear" w:color="auto" w:fill="FFFFFF"/>
            <w:vAlign w:val="center"/>
          </w:tcPr>
          <w:p w14:paraId="1D56A07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一氧化碳和能见度仪更换 CO: 0-250ppm，能见度：25-1000m，NO2: 0-10ppm</w:t>
            </w:r>
          </w:p>
        </w:tc>
        <w:tc>
          <w:tcPr>
            <w:tcW w:w="1000" w:type="dxa"/>
            <w:tcBorders>
              <w:top w:val="nil"/>
              <w:left w:val="nil"/>
              <w:bottom w:val="single" w:color="000000" w:sz="4" w:space="0"/>
              <w:right w:val="single" w:color="000000" w:sz="4" w:space="0"/>
            </w:tcBorders>
            <w:shd w:val="clear" w:color="auto" w:fill="FFFFFF"/>
            <w:vAlign w:val="center"/>
          </w:tcPr>
          <w:p w14:paraId="64361C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3AEFCD89">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7CEA6337">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10E6A91C">
            <w:pPr>
              <w:jc w:val="right"/>
              <w:rPr>
                <w:rFonts w:hint="default" w:ascii="Arial Narrow" w:hAnsi="Arial Narrow" w:eastAsia="Arial Narrow" w:cs="Arial Narrow"/>
                <w:i w:val="0"/>
                <w:iCs w:val="0"/>
                <w:color w:val="auto"/>
                <w:sz w:val="18"/>
                <w:szCs w:val="18"/>
                <w:highlight w:val="none"/>
                <w:u w:val="none"/>
              </w:rPr>
            </w:pPr>
          </w:p>
        </w:tc>
      </w:tr>
      <w:tr w14:paraId="712A1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1A11236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TS559</w:t>
            </w:r>
          </w:p>
        </w:tc>
        <w:tc>
          <w:tcPr>
            <w:tcW w:w="4060" w:type="dxa"/>
            <w:gridSpan w:val="2"/>
            <w:tcBorders>
              <w:top w:val="nil"/>
              <w:left w:val="nil"/>
              <w:bottom w:val="single" w:color="000000" w:sz="4" w:space="0"/>
              <w:right w:val="single" w:color="000000" w:sz="4" w:space="0"/>
            </w:tcBorders>
            <w:shd w:val="clear" w:color="auto" w:fill="FFFFFF"/>
            <w:vAlign w:val="center"/>
          </w:tcPr>
          <w:p w14:paraId="1122A31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消防子系统维修</w:t>
            </w:r>
          </w:p>
        </w:tc>
        <w:tc>
          <w:tcPr>
            <w:tcW w:w="1000" w:type="dxa"/>
            <w:tcBorders>
              <w:top w:val="nil"/>
              <w:left w:val="nil"/>
              <w:bottom w:val="single" w:color="000000" w:sz="4" w:space="0"/>
              <w:right w:val="single" w:color="000000" w:sz="4" w:space="0"/>
            </w:tcBorders>
            <w:shd w:val="clear" w:color="auto" w:fill="FFFFFF"/>
            <w:vAlign w:val="center"/>
          </w:tcPr>
          <w:p w14:paraId="4557CCD6">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74840B4A">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549A2F06">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14D2A81D">
            <w:pPr>
              <w:jc w:val="right"/>
              <w:rPr>
                <w:rFonts w:hint="default" w:ascii="Arial Narrow" w:hAnsi="Arial Narrow" w:eastAsia="Arial Narrow" w:cs="Arial Narrow"/>
                <w:i w:val="0"/>
                <w:iCs w:val="0"/>
                <w:color w:val="auto"/>
                <w:sz w:val="18"/>
                <w:szCs w:val="18"/>
                <w:highlight w:val="none"/>
                <w:u w:val="none"/>
              </w:rPr>
            </w:pPr>
          </w:p>
        </w:tc>
      </w:tr>
      <w:tr w14:paraId="316ED5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04690D4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TS559-1</w:t>
            </w:r>
          </w:p>
        </w:tc>
        <w:tc>
          <w:tcPr>
            <w:tcW w:w="4060" w:type="dxa"/>
            <w:gridSpan w:val="2"/>
            <w:tcBorders>
              <w:top w:val="nil"/>
              <w:left w:val="nil"/>
              <w:bottom w:val="single" w:color="000000" w:sz="4" w:space="0"/>
              <w:right w:val="single" w:color="000000" w:sz="4" w:space="0"/>
            </w:tcBorders>
            <w:shd w:val="clear" w:color="auto" w:fill="FFFFFF"/>
            <w:vAlign w:val="center"/>
          </w:tcPr>
          <w:p w14:paraId="616DF10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更换系统设备</w:t>
            </w:r>
          </w:p>
        </w:tc>
        <w:tc>
          <w:tcPr>
            <w:tcW w:w="1000" w:type="dxa"/>
            <w:tcBorders>
              <w:top w:val="nil"/>
              <w:left w:val="nil"/>
              <w:bottom w:val="single" w:color="000000" w:sz="4" w:space="0"/>
              <w:right w:val="single" w:color="000000" w:sz="4" w:space="0"/>
            </w:tcBorders>
            <w:shd w:val="clear" w:color="auto" w:fill="FFFFFF"/>
            <w:vAlign w:val="center"/>
          </w:tcPr>
          <w:p w14:paraId="25FCDD8A">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23B10898">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620C183B">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022F90D1">
            <w:pPr>
              <w:jc w:val="right"/>
              <w:rPr>
                <w:rFonts w:hint="default" w:ascii="Arial Narrow" w:hAnsi="Arial Narrow" w:eastAsia="Arial Narrow" w:cs="Arial Narrow"/>
                <w:i w:val="0"/>
                <w:iCs w:val="0"/>
                <w:color w:val="auto"/>
                <w:sz w:val="18"/>
                <w:szCs w:val="18"/>
                <w:highlight w:val="none"/>
                <w:u w:val="none"/>
              </w:rPr>
            </w:pPr>
          </w:p>
        </w:tc>
      </w:tr>
      <w:tr w14:paraId="67D572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412A41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TS559-1-a</w:t>
            </w:r>
          </w:p>
        </w:tc>
        <w:tc>
          <w:tcPr>
            <w:tcW w:w="4060" w:type="dxa"/>
            <w:gridSpan w:val="2"/>
            <w:tcBorders>
              <w:top w:val="nil"/>
              <w:left w:val="nil"/>
              <w:bottom w:val="single" w:color="000000" w:sz="4" w:space="0"/>
              <w:right w:val="single" w:color="000000" w:sz="4" w:space="0"/>
            </w:tcBorders>
            <w:shd w:val="clear" w:color="auto" w:fill="FFFFFF"/>
            <w:vAlign w:val="center"/>
          </w:tcPr>
          <w:p w14:paraId="5D374BB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消防箱设备设施 更换维修（含根据现状消防箱缺损的水龙带、灭火器、枪头等进行维修与更换）</w:t>
            </w:r>
          </w:p>
        </w:tc>
        <w:tc>
          <w:tcPr>
            <w:tcW w:w="1000" w:type="dxa"/>
            <w:tcBorders>
              <w:top w:val="nil"/>
              <w:left w:val="nil"/>
              <w:bottom w:val="single" w:color="000000" w:sz="4" w:space="0"/>
              <w:right w:val="single" w:color="000000" w:sz="4" w:space="0"/>
            </w:tcBorders>
            <w:shd w:val="clear" w:color="auto" w:fill="FFFFFF"/>
            <w:vAlign w:val="center"/>
          </w:tcPr>
          <w:p w14:paraId="7E65345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7638FAF4">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10</w:t>
            </w:r>
          </w:p>
        </w:tc>
        <w:tc>
          <w:tcPr>
            <w:tcW w:w="1200" w:type="dxa"/>
            <w:gridSpan w:val="2"/>
            <w:tcBorders>
              <w:top w:val="nil"/>
              <w:left w:val="nil"/>
              <w:bottom w:val="single" w:color="000000" w:sz="4" w:space="0"/>
              <w:right w:val="single" w:color="000000" w:sz="4" w:space="0"/>
            </w:tcBorders>
            <w:shd w:val="clear" w:color="auto" w:fill="FFFFFF"/>
            <w:vAlign w:val="center"/>
          </w:tcPr>
          <w:p w14:paraId="41510DBD">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1925838D">
            <w:pPr>
              <w:jc w:val="right"/>
              <w:rPr>
                <w:rFonts w:hint="default" w:ascii="Arial Narrow" w:hAnsi="Arial Narrow" w:eastAsia="Arial Narrow" w:cs="Arial Narrow"/>
                <w:i w:val="0"/>
                <w:iCs w:val="0"/>
                <w:color w:val="auto"/>
                <w:sz w:val="18"/>
                <w:szCs w:val="18"/>
                <w:highlight w:val="none"/>
                <w:u w:val="none"/>
              </w:rPr>
            </w:pPr>
          </w:p>
        </w:tc>
      </w:tr>
      <w:tr w14:paraId="73FF0A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0CD6172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TS559-1-b</w:t>
            </w:r>
          </w:p>
        </w:tc>
        <w:tc>
          <w:tcPr>
            <w:tcW w:w="4060" w:type="dxa"/>
            <w:gridSpan w:val="2"/>
            <w:tcBorders>
              <w:top w:val="nil"/>
              <w:left w:val="nil"/>
              <w:bottom w:val="single" w:color="000000" w:sz="4" w:space="0"/>
              <w:right w:val="single" w:color="000000" w:sz="4" w:space="0"/>
            </w:tcBorders>
            <w:shd w:val="clear" w:color="auto" w:fill="FFFFFF"/>
            <w:vAlign w:val="center"/>
          </w:tcPr>
          <w:p w14:paraId="68518D4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室外浅100型消火栓维修、更换</w:t>
            </w:r>
          </w:p>
        </w:tc>
        <w:tc>
          <w:tcPr>
            <w:tcW w:w="1000" w:type="dxa"/>
            <w:tcBorders>
              <w:top w:val="nil"/>
              <w:left w:val="nil"/>
              <w:bottom w:val="single" w:color="000000" w:sz="4" w:space="0"/>
              <w:right w:val="single" w:color="000000" w:sz="4" w:space="0"/>
            </w:tcBorders>
            <w:shd w:val="clear" w:color="auto" w:fill="FFFFFF"/>
            <w:vAlign w:val="center"/>
          </w:tcPr>
          <w:p w14:paraId="32C8C0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7BD73106">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4</w:t>
            </w:r>
          </w:p>
        </w:tc>
        <w:tc>
          <w:tcPr>
            <w:tcW w:w="1200" w:type="dxa"/>
            <w:gridSpan w:val="2"/>
            <w:tcBorders>
              <w:top w:val="nil"/>
              <w:left w:val="nil"/>
              <w:bottom w:val="single" w:color="000000" w:sz="4" w:space="0"/>
              <w:right w:val="single" w:color="000000" w:sz="4" w:space="0"/>
            </w:tcBorders>
            <w:shd w:val="clear" w:color="auto" w:fill="FFFFFF"/>
            <w:vAlign w:val="center"/>
          </w:tcPr>
          <w:p w14:paraId="38F74A1B">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5097688D">
            <w:pPr>
              <w:jc w:val="right"/>
              <w:rPr>
                <w:rFonts w:hint="default" w:ascii="Arial Narrow" w:hAnsi="Arial Narrow" w:eastAsia="Arial Narrow" w:cs="Arial Narrow"/>
                <w:i w:val="0"/>
                <w:iCs w:val="0"/>
                <w:color w:val="auto"/>
                <w:sz w:val="18"/>
                <w:szCs w:val="18"/>
                <w:highlight w:val="none"/>
                <w:u w:val="none"/>
              </w:rPr>
            </w:pPr>
          </w:p>
        </w:tc>
      </w:tr>
      <w:tr w14:paraId="170CE1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6A582C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TS559-1-c</w:t>
            </w:r>
          </w:p>
        </w:tc>
        <w:tc>
          <w:tcPr>
            <w:tcW w:w="4060" w:type="dxa"/>
            <w:gridSpan w:val="2"/>
            <w:tcBorders>
              <w:top w:val="nil"/>
              <w:left w:val="nil"/>
              <w:bottom w:val="single" w:color="000000" w:sz="4" w:space="0"/>
              <w:right w:val="single" w:color="000000" w:sz="4" w:space="0"/>
            </w:tcBorders>
            <w:shd w:val="clear" w:color="auto" w:fill="FFFFFF"/>
            <w:vAlign w:val="center"/>
          </w:tcPr>
          <w:p w14:paraId="098C134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消防栓设备箱 更换维修（含根据现状消防箱破损程度，对锈蚀、破损消防箱的维修与更换）</w:t>
            </w:r>
          </w:p>
        </w:tc>
        <w:tc>
          <w:tcPr>
            <w:tcW w:w="1000" w:type="dxa"/>
            <w:tcBorders>
              <w:top w:val="nil"/>
              <w:left w:val="nil"/>
              <w:bottom w:val="single" w:color="000000" w:sz="4" w:space="0"/>
              <w:right w:val="single" w:color="000000" w:sz="4" w:space="0"/>
            </w:tcBorders>
            <w:shd w:val="clear" w:color="auto" w:fill="FFFFFF"/>
            <w:vAlign w:val="center"/>
          </w:tcPr>
          <w:p w14:paraId="77A3F3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654DA912">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37</w:t>
            </w:r>
          </w:p>
        </w:tc>
        <w:tc>
          <w:tcPr>
            <w:tcW w:w="1200" w:type="dxa"/>
            <w:gridSpan w:val="2"/>
            <w:tcBorders>
              <w:top w:val="nil"/>
              <w:left w:val="nil"/>
              <w:bottom w:val="single" w:color="000000" w:sz="4" w:space="0"/>
              <w:right w:val="single" w:color="000000" w:sz="4" w:space="0"/>
            </w:tcBorders>
            <w:shd w:val="clear" w:color="auto" w:fill="FFFFFF"/>
            <w:vAlign w:val="center"/>
          </w:tcPr>
          <w:p w14:paraId="464A3D64">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2507D1F5">
            <w:pPr>
              <w:jc w:val="right"/>
              <w:rPr>
                <w:rFonts w:hint="default" w:ascii="Arial Narrow" w:hAnsi="Arial Narrow" w:eastAsia="Arial Narrow" w:cs="Arial Narrow"/>
                <w:i w:val="0"/>
                <w:iCs w:val="0"/>
                <w:color w:val="auto"/>
                <w:sz w:val="18"/>
                <w:szCs w:val="18"/>
                <w:highlight w:val="none"/>
                <w:u w:val="none"/>
              </w:rPr>
            </w:pPr>
          </w:p>
        </w:tc>
      </w:tr>
      <w:tr w14:paraId="19991C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0B082A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TS559-1-d</w:t>
            </w:r>
          </w:p>
        </w:tc>
        <w:tc>
          <w:tcPr>
            <w:tcW w:w="4060" w:type="dxa"/>
            <w:gridSpan w:val="2"/>
            <w:tcBorders>
              <w:top w:val="nil"/>
              <w:left w:val="nil"/>
              <w:bottom w:val="single" w:color="000000" w:sz="4" w:space="0"/>
              <w:right w:val="single" w:color="000000" w:sz="4" w:space="0"/>
            </w:tcBorders>
            <w:shd w:val="clear" w:color="auto" w:fill="FFFFFF"/>
            <w:vAlign w:val="center"/>
          </w:tcPr>
          <w:p w14:paraId="079E969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水成膜泡沫原液罐 30L 更换 30L3%AFFF泡沫液罐(1.5mm厚哑光不锈钢板)</w:t>
            </w:r>
          </w:p>
        </w:tc>
        <w:tc>
          <w:tcPr>
            <w:tcW w:w="1000" w:type="dxa"/>
            <w:tcBorders>
              <w:top w:val="nil"/>
              <w:left w:val="nil"/>
              <w:bottom w:val="single" w:color="000000" w:sz="4" w:space="0"/>
              <w:right w:val="single" w:color="000000" w:sz="4" w:space="0"/>
            </w:tcBorders>
            <w:shd w:val="clear" w:color="auto" w:fill="FFFFFF"/>
            <w:vAlign w:val="center"/>
          </w:tcPr>
          <w:p w14:paraId="07896F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6542AD60">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37</w:t>
            </w:r>
          </w:p>
        </w:tc>
        <w:tc>
          <w:tcPr>
            <w:tcW w:w="1200" w:type="dxa"/>
            <w:gridSpan w:val="2"/>
            <w:tcBorders>
              <w:top w:val="nil"/>
              <w:left w:val="nil"/>
              <w:bottom w:val="single" w:color="000000" w:sz="4" w:space="0"/>
              <w:right w:val="single" w:color="000000" w:sz="4" w:space="0"/>
            </w:tcBorders>
            <w:shd w:val="clear" w:color="auto" w:fill="FFFFFF"/>
            <w:vAlign w:val="center"/>
          </w:tcPr>
          <w:p w14:paraId="33D9BEF2">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7288E713">
            <w:pPr>
              <w:jc w:val="right"/>
              <w:rPr>
                <w:rFonts w:hint="default" w:ascii="Arial Narrow" w:hAnsi="Arial Narrow" w:eastAsia="Arial Narrow" w:cs="Arial Narrow"/>
                <w:i w:val="0"/>
                <w:iCs w:val="0"/>
                <w:color w:val="auto"/>
                <w:sz w:val="18"/>
                <w:szCs w:val="18"/>
                <w:highlight w:val="none"/>
                <w:u w:val="none"/>
              </w:rPr>
            </w:pPr>
          </w:p>
        </w:tc>
      </w:tr>
      <w:tr w14:paraId="44A0A6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1DD41B9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TS603</w:t>
            </w:r>
          </w:p>
        </w:tc>
        <w:tc>
          <w:tcPr>
            <w:tcW w:w="4060" w:type="dxa"/>
            <w:gridSpan w:val="2"/>
            <w:tcBorders>
              <w:top w:val="nil"/>
              <w:left w:val="nil"/>
              <w:bottom w:val="single" w:color="000000" w:sz="4" w:space="0"/>
              <w:right w:val="single" w:color="000000" w:sz="4" w:space="0"/>
            </w:tcBorders>
            <w:shd w:val="clear" w:color="auto" w:fill="FFFFFF"/>
            <w:vAlign w:val="center"/>
          </w:tcPr>
          <w:p w14:paraId="1B35076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供配电设备</w:t>
            </w:r>
          </w:p>
        </w:tc>
        <w:tc>
          <w:tcPr>
            <w:tcW w:w="1000" w:type="dxa"/>
            <w:tcBorders>
              <w:top w:val="nil"/>
              <w:left w:val="nil"/>
              <w:bottom w:val="single" w:color="000000" w:sz="4" w:space="0"/>
              <w:right w:val="single" w:color="000000" w:sz="4" w:space="0"/>
            </w:tcBorders>
            <w:shd w:val="clear" w:color="auto" w:fill="FFFFFF"/>
            <w:vAlign w:val="center"/>
          </w:tcPr>
          <w:p w14:paraId="23FBE92B">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48F3EDEB">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4D4FB26A">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169C6D51">
            <w:pPr>
              <w:jc w:val="right"/>
              <w:rPr>
                <w:rFonts w:hint="default" w:ascii="Arial Narrow" w:hAnsi="Arial Narrow" w:eastAsia="Arial Narrow" w:cs="Arial Narrow"/>
                <w:i w:val="0"/>
                <w:iCs w:val="0"/>
                <w:color w:val="auto"/>
                <w:sz w:val="18"/>
                <w:szCs w:val="18"/>
                <w:highlight w:val="none"/>
                <w:u w:val="none"/>
              </w:rPr>
            </w:pPr>
          </w:p>
        </w:tc>
      </w:tr>
      <w:tr w14:paraId="483E01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179280CD">
            <w:pPr>
              <w:jc w:val="center"/>
              <w:rPr>
                <w:rFonts w:hint="eastAsia" w:ascii="宋体" w:hAnsi="宋体" w:eastAsia="宋体" w:cs="宋体"/>
                <w:i w:val="0"/>
                <w:iCs w:val="0"/>
                <w:color w:val="auto"/>
                <w:sz w:val="18"/>
                <w:szCs w:val="18"/>
                <w:highlight w:val="none"/>
                <w:u w:val="none"/>
              </w:rPr>
            </w:pPr>
          </w:p>
        </w:tc>
        <w:tc>
          <w:tcPr>
            <w:tcW w:w="4060" w:type="dxa"/>
            <w:gridSpan w:val="2"/>
            <w:tcBorders>
              <w:top w:val="nil"/>
              <w:left w:val="nil"/>
              <w:bottom w:val="single" w:color="000000" w:sz="4" w:space="0"/>
              <w:right w:val="single" w:color="000000" w:sz="4" w:space="0"/>
            </w:tcBorders>
            <w:shd w:val="clear" w:color="auto" w:fill="FFFFFF"/>
            <w:vAlign w:val="center"/>
          </w:tcPr>
          <w:p w14:paraId="61F88220">
            <w:pPr>
              <w:jc w:val="left"/>
              <w:rPr>
                <w:rFonts w:hint="eastAsia" w:ascii="宋体" w:hAnsi="宋体" w:eastAsia="宋体" w:cs="宋体"/>
                <w:i w:val="0"/>
                <w:iCs w:val="0"/>
                <w:color w:val="auto"/>
                <w:sz w:val="18"/>
                <w:szCs w:val="18"/>
                <w:highlight w:val="none"/>
                <w:u w:val="none"/>
              </w:rPr>
            </w:pPr>
          </w:p>
        </w:tc>
        <w:tc>
          <w:tcPr>
            <w:tcW w:w="1000" w:type="dxa"/>
            <w:tcBorders>
              <w:top w:val="nil"/>
              <w:left w:val="nil"/>
              <w:bottom w:val="single" w:color="000000" w:sz="4" w:space="0"/>
              <w:right w:val="single" w:color="000000" w:sz="4" w:space="0"/>
            </w:tcBorders>
            <w:shd w:val="clear" w:color="auto" w:fill="FFFFFF"/>
            <w:vAlign w:val="center"/>
          </w:tcPr>
          <w:p w14:paraId="041DCCBE">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48A05FF9">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25A0D0DD">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5630D37D">
            <w:pPr>
              <w:jc w:val="right"/>
              <w:rPr>
                <w:rFonts w:hint="default" w:ascii="Arial Narrow" w:hAnsi="Arial Narrow" w:eastAsia="Arial Narrow" w:cs="Arial Narrow"/>
                <w:i w:val="0"/>
                <w:iCs w:val="0"/>
                <w:color w:val="auto"/>
                <w:sz w:val="18"/>
                <w:szCs w:val="18"/>
                <w:highlight w:val="none"/>
                <w:u w:val="none"/>
              </w:rPr>
            </w:pPr>
          </w:p>
        </w:tc>
      </w:tr>
    </w:tbl>
    <w:p w14:paraId="1CF83DAA">
      <w:pPr>
        <w:widowControl/>
        <w:ind w:left="42" w:right="42"/>
        <w:jc w:val="both"/>
        <w:rPr>
          <w:rFonts w:hint="eastAsia" w:ascii="宋体" w:hAnsi="宋体" w:eastAsia="宋体" w:cs="宋体"/>
          <w:color w:val="auto"/>
          <w:kern w:val="2"/>
          <w:sz w:val="24"/>
          <w:szCs w:val="24"/>
          <w:highlight w:val="none"/>
          <w:lang w:val="en-US" w:eastAsia="zh-CN" w:bidi="ar-SA"/>
        </w:rPr>
      </w:pPr>
    </w:p>
    <w:p w14:paraId="28684BDF">
      <w:pPr>
        <w:widowControl/>
        <w:ind w:left="42" w:right="42"/>
        <w:jc w:val="both"/>
        <w:rPr>
          <w:rFonts w:hint="eastAsia" w:ascii="宋体" w:hAnsi="宋体" w:eastAsia="宋体" w:cs="宋体"/>
          <w:color w:val="auto"/>
          <w:kern w:val="2"/>
          <w:sz w:val="24"/>
          <w:szCs w:val="24"/>
          <w:highlight w:val="none"/>
          <w:lang w:val="en-US" w:eastAsia="zh-CN" w:bidi="ar-SA"/>
        </w:rPr>
      </w:pPr>
    </w:p>
    <w:p w14:paraId="6B759E0F">
      <w:pPr>
        <w:widowControl/>
        <w:ind w:left="42" w:right="42"/>
        <w:jc w:val="both"/>
        <w:rPr>
          <w:rFonts w:hint="eastAsia" w:ascii="宋体" w:hAnsi="宋体" w:eastAsia="宋体" w:cs="宋体"/>
          <w:color w:val="auto"/>
          <w:kern w:val="2"/>
          <w:sz w:val="24"/>
          <w:szCs w:val="24"/>
          <w:highlight w:val="none"/>
          <w:lang w:val="en-US" w:eastAsia="zh-CN" w:bidi="ar-SA"/>
        </w:rPr>
      </w:pPr>
    </w:p>
    <w:p w14:paraId="5425554B">
      <w:pP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br w:type="page"/>
      </w:r>
    </w:p>
    <w:tbl>
      <w:tblPr>
        <w:tblStyle w:val="23"/>
        <w:tblW w:w="96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06"/>
        <w:gridCol w:w="2410"/>
        <w:gridCol w:w="1554"/>
        <w:gridCol w:w="969"/>
        <w:gridCol w:w="774"/>
        <w:gridCol w:w="392"/>
        <w:gridCol w:w="591"/>
        <w:gridCol w:w="587"/>
        <w:gridCol w:w="394"/>
        <w:gridCol w:w="783"/>
      </w:tblGrid>
      <w:tr w14:paraId="740BB9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9660" w:type="dxa"/>
            <w:gridSpan w:val="10"/>
            <w:tcBorders>
              <w:top w:val="nil"/>
              <w:left w:val="nil"/>
              <w:bottom w:val="nil"/>
              <w:right w:val="nil"/>
            </w:tcBorders>
            <w:shd w:val="clear" w:color="auto" w:fill="FFFFFF"/>
            <w:vAlign w:val="top"/>
          </w:tcPr>
          <w:p w14:paraId="4E770C99">
            <w:pPr>
              <w:keepNext w:val="0"/>
              <w:keepLines w:val="0"/>
              <w:widowControl/>
              <w:suppressLineNumbers w:val="0"/>
              <w:jc w:val="center"/>
              <w:textAlignment w:val="top"/>
              <w:rPr>
                <w:rFonts w:hint="eastAsia" w:ascii="宋体" w:hAnsi="宋体" w:eastAsia="宋体" w:cs="宋体"/>
                <w:b/>
                <w:bCs/>
                <w:i w:val="0"/>
                <w:iCs w:val="0"/>
                <w:color w:val="auto"/>
                <w:sz w:val="36"/>
                <w:szCs w:val="36"/>
                <w:highlight w:val="none"/>
                <w:u w:val="none"/>
              </w:rPr>
            </w:pPr>
            <w:r>
              <w:rPr>
                <w:rFonts w:hint="eastAsia" w:ascii="宋体" w:hAnsi="宋体" w:eastAsia="宋体" w:cs="宋体"/>
                <w:b/>
                <w:bCs/>
                <w:i w:val="0"/>
                <w:iCs w:val="0"/>
                <w:color w:val="auto"/>
                <w:kern w:val="0"/>
                <w:sz w:val="36"/>
                <w:szCs w:val="36"/>
                <w:highlight w:val="none"/>
                <w:u w:val="none"/>
                <w:lang w:val="en-US" w:eastAsia="zh-CN" w:bidi="ar"/>
              </w:rPr>
              <w:t>工程细目工程量清单</w:t>
            </w:r>
          </w:p>
        </w:tc>
      </w:tr>
      <w:tr w14:paraId="3D39D3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9660" w:type="dxa"/>
            <w:gridSpan w:val="10"/>
            <w:tcBorders>
              <w:top w:val="nil"/>
              <w:left w:val="nil"/>
              <w:bottom w:val="nil"/>
              <w:right w:val="nil"/>
            </w:tcBorders>
            <w:shd w:val="clear" w:color="auto" w:fill="FFFFFF"/>
            <w:vAlign w:val="center"/>
          </w:tcPr>
          <w:p w14:paraId="7FCD6FFC">
            <w:pPr>
              <w:jc w:val="right"/>
              <w:rPr>
                <w:rFonts w:hint="eastAsia" w:ascii="宋体" w:hAnsi="宋体" w:eastAsia="宋体" w:cs="宋体"/>
                <w:i w:val="0"/>
                <w:iCs w:val="0"/>
                <w:color w:val="auto"/>
                <w:sz w:val="18"/>
                <w:szCs w:val="18"/>
                <w:highlight w:val="none"/>
                <w:u w:val="none"/>
              </w:rPr>
            </w:pPr>
          </w:p>
        </w:tc>
      </w:tr>
      <w:tr w14:paraId="5614AC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3460" w:type="dxa"/>
            <w:gridSpan w:val="2"/>
            <w:tcBorders>
              <w:top w:val="nil"/>
              <w:left w:val="nil"/>
              <w:bottom w:val="nil"/>
              <w:right w:val="nil"/>
            </w:tcBorders>
            <w:shd w:val="clear" w:color="auto" w:fill="FFFFFF"/>
            <w:vAlign w:val="center"/>
          </w:tcPr>
          <w:p w14:paraId="6D29AF1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项目名称：2026年新昌县G104京岚线关岭隧道上行维修加固工程</w:t>
            </w:r>
          </w:p>
        </w:tc>
        <w:tc>
          <w:tcPr>
            <w:tcW w:w="3400" w:type="dxa"/>
            <w:gridSpan w:val="3"/>
            <w:tcBorders>
              <w:top w:val="nil"/>
              <w:left w:val="nil"/>
              <w:bottom w:val="nil"/>
              <w:right w:val="nil"/>
            </w:tcBorders>
            <w:shd w:val="clear" w:color="auto" w:fill="FFFFFF"/>
            <w:vAlign w:val="center"/>
          </w:tcPr>
          <w:p w14:paraId="03204E6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合同段：2026年新昌县G104京岚线关岭隧道上行维修加固工程</w:t>
            </w:r>
          </w:p>
        </w:tc>
        <w:tc>
          <w:tcPr>
            <w:tcW w:w="1000" w:type="dxa"/>
            <w:gridSpan w:val="2"/>
            <w:tcBorders>
              <w:top w:val="nil"/>
              <w:left w:val="nil"/>
              <w:bottom w:val="nil"/>
              <w:right w:val="nil"/>
            </w:tcBorders>
            <w:shd w:val="clear" w:color="auto" w:fill="FFFFFF"/>
            <w:vAlign w:val="center"/>
          </w:tcPr>
          <w:p w14:paraId="2915F41B">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第 10 页</w:t>
            </w:r>
          </w:p>
        </w:tc>
        <w:tc>
          <w:tcPr>
            <w:tcW w:w="1000" w:type="dxa"/>
            <w:gridSpan w:val="2"/>
            <w:tcBorders>
              <w:top w:val="nil"/>
              <w:left w:val="nil"/>
              <w:bottom w:val="nil"/>
              <w:right w:val="nil"/>
            </w:tcBorders>
            <w:shd w:val="clear" w:color="auto" w:fill="FFFFFF"/>
            <w:vAlign w:val="center"/>
          </w:tcPr>
          <w:p w14:paraId="0140693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共 11 页</w:t>
            </w:r>
          </w:p>
        </w:tc>
        <w:tc>
          <w:tcPr>
            <w:tcW w:w="800" w:type="dxa"/>
            <w:tcBorders>
              <w:top w:val="nil"/>
              <w:left w:val="nil"/>
              <w:bottom w:val="nil"/>
              <w:right w:val="nil"/>
            </w:tcBorders>
            <w:shd w:val="clear" w:color="auto" w:fill="FFFFFF"/>
            <w:vAlign w:val="center"/>
          </w:tcPr>
          <w:p w14:paraId="57C56B71">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表4</w:t>
            </w:r>
          </w:p>
        </w:tc>
      </w:tr>
      <w:tr w14:paraId="797644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9660" w:type="dxa"/>
            <w:gridSpan w:val="10"/>
            <w:tcBorders>
              <w:top w:val="single" w:color="000000" w:sz="8" w:space="0"/>
              <w:left w:val="single" w:color="000000" w:sz="8" w:space="0"/>
              <w:bottom w:val="single" w:color="000000" w:sz="4" w:space="0"/>
              <w:right w:val="single" w:color="000000" w:sz="8" w:space="0"/>
            </w:tcBorders>
            <w:shd w:val="clear" w:color="auto" w:fill="FFFFFF"/>
            <w:vAlign w:val="center"/>
          </w:tcPr>
          <w:p w14:paraId="52131E9A">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机电工程</w:t>
            </w:r>
          </w:p>
        </w:tc>
      </w:tr>
      <w:tr w14:paraId="115686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47381DB5">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细目号</w:t>
            </w:r>
          </w:p>
        </w:tc>
        <w:tc>
          <w:tcPr>
            <w:tcW w:w="4060" w:type="dxa"/>
            <w:gridSpan w:val="2"/>
            <w:tcBorders>
              <w:top w:val="nil"/>
              <w:left w:val="nil"/>
              <w:bottom w:val="single" w:color="000000" w:sz="4" w:space="0"/>
              <w:right w:val="single" w:color="000000" w:sz="4" w:space="0"/>
            </w:tcBorders>
            <w:shd w:val="clear" w:color="auto" w:fill="FFFFFF"/>
            <w:vAlign w:val="center"/>
          </w:tcPr>
          <w:p w14:paraId="79813460">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细目名称</w:t>
            </w:r>
          </w:p>
        </w:tc>
        <w:tc>
          <w:tcPr>
            <w:tcW w:w="1000" w:type="dxa"/>
            <w:tcBorders>
              <w:top w:val="nil"/>
              <w:left w:val="nil"/>
              <w:bottom w:val="single" w:color="000000" w:sz="4" w:space="0"/>
              <w:right w:val="single" w:color="000000" w:sz="4" w:space="0"/>
            </w:tcBorders>
            <w:shd w:val="clear" w:color="auto" w:fill="FFFFFF"/>
            <w:vAlign w:val="center"/>
          </w:tcPr>
          <w:p w14:paraId="02D14965">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计量单位</w:t>
            </w:r>
          </w:p>
        </w:tc>
        <w:tc>
          <w:tcPr>
            <w:tcW w:w="1200" w:type="dxa"/>
            <w:gridSpan w:val="2"/>
            <w:tcBorders>
              <w:top w:val="nil"/>
              <w:left w:val="nil"/>
              <w:bottom w:val="single" w:color="000000" w:sz="4" w:space="0"/>
              <w:right w:val="single" w:color="000000" w:sz="4" w:space="0"/>
            </w:tcBorders>
            <w:shd w:val="clear" w:color="auto" w:fill="FFFFFF"/>
            <w:vAlign w:val="center"/>
          </w:tcPr>
          <w:p w14:paraId="1DD7E512">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工程数量</w:t>
            </w:r>
          </w:p>
        </w:tc>
        <w:tc>
          <w:tcPr>
            <w:tcW w:w="1200" w:type="dxa"/>
            <w:gridSpan w:val="2"/>
            <w:tcBorders>
              <w:top w:val="nil"/>
              <w:left w:val="nil"/>
              <w:bottom w:val="single" w:color="000000" w:sz="4" w:space="0"/>
              <w:right w:val="single" w:color="000000" w:sz="4" w:space="0"/>
            </w:tcBorders>
            <w:shd w:val="clear" w:color="auto" w:fill="FFFFFF"/>
            <w:vAlign w:val="center"/>
          </w:tcPr>
          <w:p w14:paraId="70A10B49">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单价（元）</w:t>
            </w:r>
          </w:p>
        </w:tc>
        <w:tc>
          <w:tcPr>
            <w:tcW w:w="1200" w:type="dxa"/>
            <w:gridSpan w:val="2"/>
            <w:tcBorders>
              <w:top w:val="nil"/>
              <w:left w:val="nil"/>
              <w:bottom w:val="single" w:color="000000" w:sz="4" w:space="0"/>
              <w:right w:val="single" w:color="000000" w:sz="8" w:space="0"/>
            </w:tcBorders>
            <w:shd w:val="clear" w:color="auto" w:fill="FFFFFF"/>
            <w:vAlign w:val="center"/>
          </w:tcPr>
          <w:p w14:paraId="1FBD3DC3">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合价（元）</w:t>
            </w:r>
          </w:p>
        </w:tc>
      </w:tr>
      <w:tr w14:paraId="674ED7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56D682F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TS603-1</w:t>
            </w:r>
          </w:p>
        </w:tc>
        <w:tc>
          <w:tcPr>
            <w:tcW w:w="4060" w:type="dxa"/>
            <w:gridSpan w:val="2"/>
            <w:tcBorders>
              <w:top w:val="nil"/>
              <w:left w:val="nil"/>
              <w:bottom w:val="single" w:color="000000" w:sz="4" w:space="0"/>
              <w:right w:val="single" w:color="000000" w:sz="4" w:space="0"/>
            </w:tcBorders>
            <w:shd w:val="clear" w:color="auto" w:fill="FFFFFF"/>
            <w:vAlign w:val="center"/>
          </w:tcPr>
          <w:p w14:paraId="74987CA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高低压配电</w:t>
            </w:r>
          </w:p>
        </w:tc>
        <w:tc>
          <w:tcPr>
            <w:tcW w:w="1000" w:type="dxa"/>
            <w:tcBorders>
              <w:top w:val="nil"/>
              <w:left w:val="nil"/>
              <w:bottom w:val="single" w:color="000000" w:sz="4" w:space="0"/>
              <w:right w:val="single" w:color="000000" w:sz="4" w:space="0"/>
            </w:tcBorders>
            <w:shd w:val="clear" w:color="auto" w:fill="FFFFFF"/>
            <w:vAlign w:val="center"/>
          </w:tcPr>
          <w:p w14:paraId="54FEFDC5">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1DD3BCD9">
            <w:pPr>
              <w:jc w:val="right"/>
              <w:rPr>
                <w:rFonts w:hint="eastAsia"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59FB8CEE">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1D936DB3">
            <w:pPr>
              <w:jc w:val="right"/>
              <w:rPr>
                <w:rFonts w:hint="default" w:ascii="Arial Narrow" w:hAnsi="Arial Narrow" w:eastAsia="Arial Narrow" w:cs="Arial Narrow"/>
                <w:i w:val="0"/>
                <w:iCs w:val="0"/>
                <w:color w:val="auto"/>
                <w:sz w:val="18"/>
                <w:szCs w:val="18"/>
                <w:highlight w:val="none"/>
                <w:u w:val="none"/>
              </w:rPr>
            </w:pPr>
          </w:p>
        </w:tc>
      </w:tr>
      <w:tr w14:paraId="292EA7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63DAA5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TS603-1-a</w:t>
            </w:r>
          </w:p>
        </w:tc>
        <w:tc>
          <w:tcPr>
            <w:tcW w:w="4060" w:type="dxa"/>
            <w:gridSpan w:val="2"/>
            <w:tcBorders>
              <w:top w:val="nil"/>
              <w:left w:val="nil"/>
              <w:bottom w:val="single" w:color="000000" w:sz="4" w:space="0"/>
              <w:right w:val="single" w:color="000000" w:sz="4" w:space="0"/>
            </w:tcBorders>
            <w:shd w:val="clear" w:color="auto" w:fill="FFFFFF"/>
            <w:vAlign w:val="center"/>
          </w:tcPr>
          <w:p w14:paraId="0AA6D69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高压开关柜</w:t>
            </w:r>
          </w:p>
        </w:tc>
        <w:tc>
          <w:tcPr>
            <w:tcW w:w="1000" w:type="dxa"/>
            <w:tcBorders>
              <w:top w:val="nil"/>
              <w:left w:val="nil"/>
              <w:bottom w:val="single" w:color="000000" w:sz="4" w:space="0"/>
              <w:right w:val="single" w:color="000000" w:sz="4" w:space="0"/>
            </w:tcBorders>
            <w:shd w:val="clear" w:color="auto" w:fill="FFFFFF"/>
            <w:vAlign w:val="center"/>
          </w:tcPr>
          <w:p w14:paraId="09E00AB5">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73C676ED">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443E0CBA">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10DEE063">
            <w:pPr>
              <w:jc w:val="right"/>
              <w:rPr>
                <w:rFonts w:hint="default" w:ascii="Arial Narrow" w:hAnsi="Arial Narrow" w:eastAsia="Arial Narrow" w:cs="Arial Narrow"/>
                <w:i w:val="0"/>
                <w:iCs w:val="0"/>
                <w:color w:val="auto"/>
                <w:sz w:val="18"/>
                <w:szCs w:val="18"/>
                <w:highlight w:val="none"/>
                <w:u w:val="none"/>
              </w:rPr>
            </w:pPr>
          </w:p>
        </w:tc>
      </w:tr>
      <w:tr w14:paraId="101D49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6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08AABF1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TS603-1-a-a</w:t>
            </w:r>
          </w:p>
        </w:tc>
        <w:tc>
          <w:tcPr>
            <w:tcW w:w="4060" w:type="dxa"/>
            <w:gridSpan w:val="2"/>
            <w:tcBorders>
              <w:top w:val="nil"/>
              <w:left w:val="nil"/>
              <w:bottom w:val="single" w:color="000000" w:sz="4" w:space="0"/>
              <w:right w:val="single" w:color="000000" w:sz="4" w:space="0"/>
            </w:tcBorders>
            <w:shd w:val="clear" w:color="auto" w:fill="FFFFFF"/>
            <w:vAlign w:val="center"/>
          </w:tcPr>
          <w:p w14:paraId="3C649EB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高压开关柜（进线）</w:t>
            </w:r>
          </w:p>
        </w:tc>
        <w:tc>
          <w:tcPr>
            <w:tcW w:w="1000" w:type="dxa"/>
            <w:tcBorders>
              <w:top w:val="nil"/>
              <w:left w:val="nil"/>
              <w:bottom w:val="single" w:color="000000" w:sz="4" w:space="0"/>
              <w:right w:val="single" w:color="000000" w:sz="4" w:space="0"/>
            </w:tcBorders>
            <w:shd w:val="clear" w:color="auto" w:fill="FFFFFF"/>
            <w:vAlign w:val="center"/>
          </w:tcPr>
          <w:p w14:paraId="455340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3957ACDC">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242B6C1F">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6E09FAB0">
            <w:pPr>
              <w:jc w:val="right"/>
              <w:rPr>
                <w:rFonts w:hint="default" w:ascii="Arial Narrow" w:hAnsi="Arial Narrow" w:eastAsia="Arial Narrow" w:cs="Arial Narrow"/>
                <w:i w:val="0"/>
                <w:iCs w:val="0"/>
                <w:color w:val="auto"/>
                <w:sz w:val="18"/>
                <w:szCs w:val="18"/>
                <w:highlight w:val="none"/>
                <w:u w:val="none"/>
              </w:rPr>
            </w:pPr>
          </w:p>
        </w:tc>
      </w:tr>
      <w:tr w14:paraId="072F82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266A18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TS603-1-a-b</w:t>
            </w:r>
          </w:p>
        </w:tc>
        <w:tc>
          <w:tcPr>
            <w:tcW w:w="4060" w:type="dxa"/>
            <w:gridSpan w:val="2"/>
            <w:tcBorders>
              <w:top w:val="nil"/>
              <w:left w:val="nil"/>
              <w:bottom w:val="single" w:color="000000" w:sz="4" w:space="0"/>
              <w:right w:val="single" w:color="000000" w:sz="4" w:space="0"/>
            </w:tcBorders>
            <w:shd w:val="clear" w:color="auto" w:fill="FFFFFF"/>
            <w:vAlign w:val="center"/>
          </w:tcPr>
          <w:p w14:paraId="41DC163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高压开关柜（总屏）</w:t>
            </w:r>
          </w:p>
        </w:tc>
        <w:tc>
          <w:tcPr>
            <w:tcW w:w="1000" w:type="dxa"/>
            <w:tcBorders>
              <w:top w:val="nil"/>
              <w:left w:val="nil"/>
              <w:bottom w:val="single" w:color="000000" w:sz="4" w:space="0"/>
              <w:right w:val="single" w:color="000000" w:sz="4" w:space="0"/>
            </w:tcBorders>
            <w:shd w:val="clear" w:color="auto" w:fill="FFFFFF"/>
            <w:vAlign w:val="center"/>
          </w:tcPr>
          <w:p w14:paraId="1AA01C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3AD27B0E">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7596D17F">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1FB2B0F8">
            <w:pPr>
              <w:jc w:val="right"/>
              <w:rPr>
                <w:rFonts w:hint="default" w:ascii="Arial Narrow" w:hAnsi="Arial Narrow" w:eastAsia="Arial Narrow" w:cs="Arial Narrow"/>
                <w:i w:val="0"/>
                <w:iCs w:val="0"/>
                <w:color w:val="auto"/>
                <w:sz w:val="18"/>
                <w:szCs w:val="18"/>
                <w:highlight w:val="none"/>
                <w:u w:val="none"/>
              </w:rPr>
            </w:pPr>
          </w:p>
        </w:tc>
      </w:tr>
      <w:tr w14:paraId="3938E4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6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09D247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TS603-1-a-c</w:t>
            </w:r>
          </w:p>
        </w:tc>
        <w:tc>
          <w:tcPr>
            <w:tcW w:w="4060" w:type="dxa"/>
            <w:gridSpan w:val="2"/>
            <w:tcBorders>
              <w:top w:val="nil"/>
              <w:left w:val="nil"/>
              <w:bottom w:val="single" w:color="000000" w:sz="4" w:space="0"/>
              <w:right w:val="single" w:color="000000" w:sz="4" w:space="0"/>
            </w:tcBorders>
            <w:shd w:val="clear" w:color="auto" w:fill="FFFFFF"/>
            <w:vAlign w:val="center"/>
          </w:tcPr>
          <w:p w14:paraId="1134AB5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高压开关柜（计量）</w:t>
            </w:r>
          </w:p>
        </w:tc>
        <w:tc>
          <w:tcPr>
            <w:tcW w:w="1000" w:type="dxa"/>
            <w:tcBorders>
              <w:top w:val="nil"/>
              <w:left w:val="nil"/>
              <w:bottom w:val="single" w:color="000000" w:sz="4" w:space="0"/>
              <w:right w:val="single" w:color="000000" w:sz="4" w:space="0"/>
            </w:tcBorders>
            <w:shd w:val="clear" w:color="auto" w:fill="FFFFFF"/>
            <w:vAlign w:val="center"/>
          </w:tcPr>
          <w:p w14:paraId="14DB68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1B766BC0">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4BDDA05F">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039711EE">
            <w:pPr>
              <w:jc w:val="right"/>
              <w:rPr>
                <w:rFonts w:hint="default" w:ascii="Arial Narrow" w:hAnsi="Arial Narrow" w:eastAsia="Arial Narrow" w:cs="Arial Narrow"/>
                <w:i w:val="0"/>
                <w:iCs w:val="0"/>
                <w:color w:val="auto"/>
                <w:sz w:val="18"/>
                <w:szCs w:val="18"/>
                <w:highlight w:val="none"/>
                <w:u w:val="none"/>
              </w:rPr>
            </w:pPr>
          </w:p>
        </w:tc>
      </w:tr>
      <w:tr w14:paraId="3C1E86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66EEFD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TS603-1-a-d</w:t>
            </w:r>
          </w:p>
        </w:tc>
        <w:tc>
          <w:tcPr>
            <w:tcW w:w="4060" w:type="dxa"/>
            <w:gridSpan w:val="2"/>
            <w:tcBorders>
              <w:top w:val="nil"/>
              <w:left w:val="nil"/>
              <w:bottom w:val="single" w:color="000000" w:sz="4" w:space="0"/>
              <w:right w:val="single" w:color="000000" w:sz="4" w:space="0"/>
            </w:tcBorders>
            <w:shd w:val="clear" w:color="auto" w:fill="FFFFFF"/>
            <w:vAlign w:val="center"/>
          </w:tcPr>
          <w:p w14:paraId="5AA5E1D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高压开关柜（PT及过电压抑制）</w:t>
            </w:r>
          </w:p>
        </w:tc>
        <w:tc>
          <w:tcPr>
            <w:tcW w:w="1000" w:type="dxa"/>
            <w:tcBorders>
              <w:top w:val="nil"/>
              <w:left w:val="nil"/>
              <w:bottom w:val="single" w:color="000000" w:sz="4" w:space="0"/>
              <w:right w:val="single" w:color="000000" w:sz="4" w:space="0"/>
            </w:tcBorders>
            <w:shd w:val="clear" w:color="auto" w:fill="FFFFFF"/>
            <w:vAlign w:val="center"/>
          </w:tcPr>
          <w:p w14:paraId="342F84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7134694A">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700955A1">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794A921B">
            <w:pPr>
              <w:jc w:val="right"/>
              <w:rPr>
                <w:rFonts w:hint="default" w:ascii="Arial Narrow" w:hAnsi="Arial Narrow" w:eastAsia="Arial Narrow" w:cs="Arial Narrow"/>
                <w:i w:val="0"/>
                <w:iCs w:val="0"/>
                <w:color w:val="auto"/>
                <w:sz w:val="18"/>
                <w:szCs w:val="18"/>
                <w:highlight w:val="none"/>
                <w:u w:val="none"/>
              </w:rPr>
            </w:pPr>
          </w:p>
        </w:tc>
      </w:tr>
      <w:tr w14:paraId="73CA62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0C034BD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TS603-1-a-e</w:t>
            </w:r>
          </w:p>
        </w:tc>
        <w:tc>
          <w:tcPr>
            <w:tcW w:w="4060" w:type="dxa"/>
            <w:gridSpan w:val="2"/>
            <w:tcBorders>
              <w:top w:val="nil"/>
              <w:left w:val="nil"/>
              <w:bottom w:val="single" w:color="000000" w:sz="4" w:space="0"/>
              <w:right w:val="single" w:color="000000" w:sz="4" w:space="0"/>
            </w:tcBorders>
            <w:shd w:val="clear" w:color="auto" w:fill="FFFFFF"/>
            <w:vAlign w:val="center"/>
          </w:tcPr>
          <w:p w14:paraId="6992879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高压开关柜（馈电）</w:t>
            </w:r>
          </w:p>
        </w:tc>
        <w:tc>
          <w:tcPr>
            <w:tcW w:w="1000" w:type="dxa"/>
            <w:tcBorders>
              <w:top w:val="nil"/>
              <w:left w:val="nil"/>
              <w:bottom w:val="single" w:color="000000" w:sz="4" w:space="0"/>
              <w:right w:val="single" w:color="000000" w:sz="4" w:space="0"/>
            </w:tcBorders>
            <w:shd w:val="clear" w:color="auto" w:fill="FFFFFF"/>
            <w:vAlign w:val="center"/>
          </w:tcPr>
          <w:p w14:paraId="36C94E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71F8CDCA">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3</w:t>
            </w:r>
          </w:p>
        </w:tc>
        <w:tc>
          <w:tcPr>
            <w:tcW w:w="1200" w:type="dxa"/>
            <w:gridSpan w:val="2"/>
            <w:tcBorders>
              <w:top w:val="nil"/>
              <w:left w:val="nil"/>
              <w:bottom w:val="single" w:color="000000" w:sz="4" w:space="0"/>
              <w:right w:val="single" w:color="000000" w:sz="4" w:space="0"/>
            </w:tcBorders>
            <w:shd w:val="clear" w:color="auto" w:fill="FFFFFF"/>
            <w:vAlign w:val="center"/>
          </w:tcPr>
          <w:p w14:paraId="53231F77">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49CFE958">
            <w:pPr>
              <w:jc w:val="right"/>
              <w:rPr>
                <w:rFonts w:hint="default" w:ascii="Arial Narrow" w:hAnsi="Arial Narrow" w:eastAsia="Arial Narrow" w:cs="Arial Narrow"/>
                <w:i w:val="0"/>
                <w:iCs w:val="0"/>
                <w:color w:val="auto"/>
                <w:sz w:val="18"/>
                <w:szCs w:val="18"/>
                <w:highlight w:val="none"/>
                <w:u w:val="none"/>
              </w:rPr>
            </w:pPr>
          </w:p>
        </w:tc>
      </w:tr>
      <w:tr w14:paraId="76FCBC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5C53603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TS603-1-a-f</w:t>
            </w:r>
          </w:p>
        </w:tc>
        <w:tc>
          <w:tcPr>
            <w:tcW w:w="4060" w:type="dxa"/>
            <w:gridSpan w:val="2"/>
            <w:tcBorders>
              <w:top w:val="nil"/>
              <w:left w:val="nil"/>
              <w:bottom w:val="single" w:color="000000" w:sz="4" w:space="0"/>
              <w:right w:val="single" w:color="000000" w:sz="4" w:space="0"/>
            </w:tcBorders>
            <w:shd w:val="clear" w:color="auto" w:fill="FFFFFF"/>
            <w:vAlign w:val="center"/>
          </w:tcPr>
          <w:p w14:paraId="3FDBD60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高压开关柜(母线屏)</w:t>
            </w:r>
          </w:p>
        </w:tc>
        <w:tc>
          <w:tcPr>
            <w:tcW w:w="1000" w:type="dxa"/>
            <w:tcBorders>
              <w:top w:val="nil"/>
              <w:left w:val="nil"/>
              <w:bottom w:val="single" w:color="000000" w:sz="4" w:space="0"/>
              <w:right w:val="single" w:color="000000" w:sz="4" w:space="0"/>
            </w:tcBorders>
            <w:shd w:val="clear" w:color="auto" w:fill="FFFFFF"/>
            <w:vAlign w:val="center"/>
          </w:tcPr>
          <w:p w14:paraId="4FDC1C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7CEF3CDB">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20A518C5">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4B5A0C3D">
            <w:pPr>
              <w:jc w:val="right"/>
              <w:rPr>
                <w:rFonts w:hint="default" w:ascii="Arial Narrow" w:hAnsi="Arial Narrow" w:eastAsia="Arial Narrow" w:cs="Arial Narrow"/>
                <w:i w:val="0"/>
                <w:iCs w:val="0"/>
                <w:color w:val="auto"/>
                <w:sz w:val="18"/>
                <w:szCs w:val="18"/>
                <w:highlight w:val="none"/>
                <w:u w:val="none"/>
              </w:rPr>
            </w:pPr>
          </w:p>
        </w:tc>
      </w:tr>
      <w:tr w14:paraId="3C995C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7CEAEF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TS603-1-b</w:t>
            </w:r>
          </w:p>
        </w:tc>
        <w:tc>
          <w:tcPr>
            <w:tcW w:w="4060" w:type="dxa"/>
            <w:gridSpan w:val="2"/>
            <w:tcBorders>
              <w:top w:val="nil"/>
              <w:left w:val="nil"/>
              <w:bottom w:val="single" w:color="000000" w:sz="4" w:space="0"/>
              <w:right w:val="single" w:color="000000" w:sz="4" w:space="0"/>
            </w:tcBorders>
            <w:shd w:val="clear" w:color="auto" w:fill="FFFFFF"/>
            <w:vAlign w:val="center"/>
          </w:tcPr>
          <w:p w14:paraId="0919E92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低压开关柜</w:t>
            </w:r>
          </w:p>
        </w:tc>
        <w:tc>
          <w:tcPr>
            <w:tcW w:w="1000" w:type="dxa"/>
            <w:tcBorders>
              <w:top w:val="nil"/>
              <w:left w:val="nil"/>
              <w:bottom w:val="single" w:color="000000" w:sz="4" w:space="0"/>
              <w:right w:val="single" w:color="000000" w:sz="4" w:space="0"/>
            </w:tcBorders>
            <w:shd w:val="clear" w:color="auto" w:fill="FFFFFF"/>
            <w:vAlign w:val="center"/>
          </w:tcPr>
          <w:p w14:paraId="3A197FB7">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3B0DDCF2">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2F55C914">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384636B4">
            <w:pPr>
              <w:jc w:val="right"/>
              <w:rPr>
                <w:rFonts w:hint="default" w:ascii="Arial Narrow" w:hAnsi="Arial Narrow" w:eastAsia="Arial Narrow" w:cs="Arial Narrow"/>
                <w:i w:val="0"/>
                <w:iCs w:val="0"/>
                <w:color w:val="auto"/>
                <w:sz w:val="18"/>
                <w:szCs w:val="18"/>
                <w:highlight w:val="none"/>
                <w:u w:val="none"/>
              </w:rPr>
            </w:pPr>
          </w:p>
        </w:tc>
      </w:tr>
      <w:tr w14:paraId="60C319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6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73BCC1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TS603-1-b-a</w:t>
            </w:r>
          </w:p>
        </w:tc>
        <w:tc>
          <w:tcPr>
            <w:tcW w:w="4060" w:type="dxa"/>
            <w:gridSpan w:val="2"/>
            <w:tcBorders>
              <w:top w:val="nil"/>
              <w:left w:val="nil"/>
              <w:bottom w:val="single" w:color="000000" w:sz="4" w:space="0"/>
              <w:right w:val="single" w:color="000000" w:sz="4" w:space="0"/>
            </w:tcBorders>
            <w:shd w:val="clear" w:color="auto" w:fill="FFFFFF"/>
            <w:vAlign w:val="center"/>
          </w:tcPr>
          <w:p w14:paraId="0101561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低压开关柜（总柜）</w:t>
            </w:r>
          </w:p>
        </w:tc>
        <w:tc>
          <w:tcPr>
            <w:tcW w:w="1000" w:type="dxa"/>
            <w:tcBorders>
              <w:top w:val="nil"/>
              <w:left w:val="nil"/>
              <w:bottom w:val="single" w:color="000000" w:sz="4" w:space="0"/>
              <w:right w:val="single" w:color="000000" w:sz="4" w:space="0"/>
            </w:tcBorders>
            <w:shd w:val="clear" w:color="auto" w:fill="FFFFFF"/>
            <w:vAlign w:val="center"/>
          </w:tcPr>
          <w:p w14:paraId="7F9C57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73CCFF81">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2041A96B">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44ACE299">
            <w:pPr>
              <w:jc w:val="right"/>
              <w:rPr>
                <w:rFonts w:hint="default" w:ascii="Arial Narrow" w:hAnsi="Arial Narrow" w:eastAsia="Arial Narrow" w:cs="Arial Narrow"/>
                <w:i w:val="0"/>
                <w:iCs w:val="0"/>
                <w:color w:val="auto"/>
                <w:sz w:val="18"/>
                <w:szCs w:val="18"/>
                <w:highlight w:val="none"/>
                <w:u w:val="none"/>
              </w:rPr>
            </w:pPr>
          </w:p>
        </w:tc>
      </w:tr>
      <w:tr w14:paraId="389948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39DD00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TS603-1-b-b</w:t>
            </w:r>
          </w:p>
        </w:tc>
        <w:tc>
          <w:tcPr>
            <w:tcW w:w="4060" w:type="dxa"/>
            <w:gridSpan w:val="2"/>
            <w:tcBorders>
              <w:top w:val="nil"/>
              <w:left w:val="nil"/>
              <w:bottom w:val="single" w:color="000000" w:sz="4" w:space="0"/>
              <w:right w:val="single" w:color="000000" w:sz="4" w:space="0"/>
            </w:tcBorders>
            <w:shd w:val="clear" w:color="auto" w:fill="FFFFFF"/>
            <w:vAlign w:val="center"/>
          </w:tcPr>
          <w:p w14:paraId="2537FAE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低压开关柜（馈电）</w:t>
            </w:r>
          </w:p>
        </w:tc>
        <w:tc>
          <w:tcPr>
            <w:tcW w:w="1000" w:type="dxa"/>
            <w:tcBorders>
              <w:top w:val="nil"/>
              <w:left w:val="nil"/>
              <w:bottom w:val="single" w:color="000000" w:sz="4" w:space="0"/>
              <w:right w:val="single" w:color="000000" w:sz="4" w:space="0"/>
            </w:tcBorders>
            <w:shd w:val="clear" w:color="auto" w:fill="FFFFFF"/>
            <w:vAlign w:val="center"/>
          </w:tcPr>
          <w:p w14:paraId="0F644B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1FDB6451">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3</w:t>
            </w:r>
          </w:p>
        </w:tc>
        <w:tc>
          <w:tcPr>
            <w:tcW w:w="1200" w:type="dxa"/>
            <w:gridSpan w:val="2"/>
            <w:tcBorders>
              <w:top w:val="nil"/>
              <w:left w:val="nil"/>
              <w:bottom w:val="single" w:color="000000" w:sz="4" w:space="0"/>
              <w:right w:val="single" w:color="000000" w:sz="4" w:space="0"/>
            </w:tcBorders>
            <w:shd w:val="clear" w:color="auto" w:fill="FFFFFF"/>
            <w:vAlign w:val="center"/>
          </w:tcPr>
          <w:p w14:paraId="1CECEC04">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6EE905FB">
            <w:pPr>
              <w:jc w:val="right"/>
              <w:rPr>
                <w:rFonts w:hint="default" w:ascii="Arial Narrow" w:hAnsi="Arial Narrow" w:eastAsia="Arial Narrow" w:cs="Arial Narrow"/>
                <w:i w:val="0"/>
                <w:iCs w:val="0"/>
                <w:color w:val="auto"/>
                <w:sz w:val="18"/>
                <w:szCs w:val="18"/>
                <w:highlight w:val="none"/>
                <w:u w:val="none"/>
              </w:rPr>
            </w:pPr>
          </w:p>
        </w:tc>
      </w:tr>
      <w:tr w14:paraId="183A8B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041764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TS603-1-b-c</w:t>
            </w:r>
          </w:p>
        </w:tc>
        <w:tc>
          <w:tcPr>
            <w:tcW w:w="4060" w:type="dxa"/>
            <w:gridSpan w:val="2"/>
            <w:tcBorders>
              <w:top w:val="nil"/>
              <w:left w:val="nil"/>
              <w:bottom w:val="single" w:color="000000" w:sz="4" w:space="0"/>
              <w:right w:val="single" w:color="000000" w:sz="4" w:space="0"/>
            </w:tcBorders>
            <w:shd w:val="clear" w:color="auto" w:fill="FFFFFF"/>
            <w:vAlign w:val="center"/>
          </w:tcPr>
          <w:p w14:paraId="0116247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低压开关柜（补偿）</w:t>
            </w:r>
          </w:p>
        </w:tc>
        <w:tc>
          <w:tcPr>
            <w:tcW w:w="1000" w:type="dxa"/>
            <w:tcBorders>
              <w:top w:val="nil"/>
              <w:left w:val="nil"/>
              <w:bottom w:val="single" w:color="000000" w:sz="4" w:space="0"/>
              <w:right w:val="single" w:color="000000" w:sz="4" w:space="0"/>
            </w:tcBorders>
            <w:shd w:val="clear" w:color="auto" w:fill="FFFFFF"/>
            <w:vAlign w:val="center"/>
          </w:tcPr>
          <w:p w14:paraId="026600F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22229F6D">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18E07F6E">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59F8246B">
            <w:pPr>
              <w:jc w:val="right"/>
              <w:rPr>
                <w:rFonts w:hint="default" w:ascii="Arial Narrow" w:hAnsi="Arial Narrow" w:eastAsia="Arial Narrow" w:cs="Arial Narrow"/>
                <w:i w:val="0"/>
                <w:iCs w:val="0"/>
                <w:color w:val="auto"/>
                <w:sz w:val="18"/>
                <w:szCs w:val="18"/>
                <w:highlight w:val="none"/>
                <w:u w:val="none"/>
              </w:rPr>
            </w:pPr>
          </w:p>
        </w:tc>
      </w:tr>
      <w:tr w14:paraId="02D3E6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68201C7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TS603-1-c</w:t>
            </w:r>
          </w:p>
        </w:tc>
        <w:tc>
          <w:tcPr>
            <w:tcW w:w="4060" w:type="dxa"/>
            <w:gridSpan w:val="2"/>
            <w:tcBorders>
              <w:top w:val="nil"/>
              <w:left w:val="nil"/>
              <w:bottom w:val="single" w:color="000000" w:sz="4" w:space="0"/>
              <w:right w:val="single" w:color="000000" w:sz="4" w:space="0"/>
            </w:tcBorders>
            <w:shd w:val="clear" w:color="auto" w:fill="FFFFFF"/>
            <w:vAlign w:val="center"/>
          </w:tcPr>
          <w:p w14:paraId="2859ECD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直流屏   60Ah/220v</w:t>
            </w:r>
          </w:p>
        </w:tc>
        <w:tc>
          <w:tcPr>
            <w:tcW w:w="1000" w:type="dxa"/>
            <w:tcBorders>
              <w:top w:val="nil"/>
              <w:left w:val="nil"/>
              <w:bottom w:val="single" w:color="000000" w:sz="4" w:space="0"/>
              <w:right w:val="single" w:color="000000" w:sz="4" w:space="0"/>
            </w:tcBorders>
            <w:shd w:val="clear" w:color="auto" w:fill="FFFFFF"/>
            <w:vAlign w:val="center"/>
          </w:tcPr>
          <w:p w14:paraId="64B2F3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2085173D">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04FAEF67">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61226AD6">
            <w:pPr>
              <w:jc w:val="right"/>
              <w:rPr>
                <w:rFonts w:hint="default" w:ascii="Arial Narrow" w:hAnsi="Arial Narrow" w:eastAsia="Arial Narrow" w:cs="Arial Narrow"/>
                <w:i w:val="0"/>
                <w:iCs w:val="0"/>
                <w:color w:val="auto"/>
                <w:sz w:val="18"/>
                <w:szCs w:val="18"/>
                <w:highlight w:val="none"/>
                <w:u w:val="none"/>
              </w:rPr>
            </w:pPr>
          </w:p>
        </w:tc>
      </w:tr>
      <w:tr w14:paraId="089CF4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294611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TS603-1-i</w:t>
            </w:r>
          </w:p>
        </w:tc>
        <w:tc>
          <w:tcPr>
            <w:tcW w:w="4060" w:type="dxa"/>
            <w:gridSpan w:val="2"/>
            <w:tcBorders>
              <w:top w:val="nil"/>
              <w:left w:val="nil"/>
              <w:bottom w:val="single" w:color="000000" w:sz="4" w:space="0"/>
              <w:right w:val="single" w:color="000000" w:sz="4" w:space="0"/>
            </w:tcBorders>
            <w:shd w:val="clear" w:color="auto" w:fill="FFFFFF"/>
            <w:vAlign w:val="center"/>
          </w:tcPr>
          <w:p w14:paraId="1FF2EB3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母线槽</w:t>
            </w:r>
          </w:p>
        </w:tc>
        <w:tc>
          <w:tcPr>
            <w:tcW w:w="1000" w:type="dxa"/>
            <w:tcBorders>
              <w:top w:val="nil"/>
              <w:left w:val="nil"/>
              <w:bottom w:val="single" w:color="000000" w:sz="4" w:space="0"/>
              <w:right w:val="single" w:color="000000" w:sz="4" w:space="0"/>
            </w:tcBorders>
            <w:shd w:val="clear" w:color="auto" w:fill="FFFFFF"/>
            <w:vAlign w:val="center"/>
          </w:tcPr>
          <w:p w14:paraId="2651C913">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2DEA6F10">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247B4763">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1B4CDC5D">
            <w:pPr>
              <w:jc w:val="right"/>
              <w:rPr>
                <w:rFonts w:hint="default" w:ascii="Arial Narrow" w:hAnsi="Arial Narrow" w:eastAsia="Arial Narrow" w:cs="Arial Narrow"/>
                <w:i w:val="0"/>
                <w:iCs w:val="0"/>
                <w:color w:val="auto"/>
                <w:sz w:val="18"/>
                <w:szCs w:val="18"/>
                <w:highlight w:val="none"/>
                <w:u w:val="none"/>
              </w:rPr>
            </w:pPr>
          </w:p>
        </w:tc>
      </w:tr>
      <w:tr w14:paraId="7FC79A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62A8F7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TS603-1-i-a</w:t>
            </w:r>
          </w:p>
        </w:tc>
        <w:tc>
          <w:tcPr>
            <w:tcW w:w="4060" w:type="dxa"/>
            <w:gridSpan w:val="2"/>
            <w:tcBorders>
              <w:top w:val="nil"/>
              <w:left w:val="nil"/>
              <w:bottom w:val="single" w:color="000000" w:sz="4" w:space="0"/>
              <w:right w:val="single" w:color="000000" w:sz="4" w:space="0"/>
            </w:tcBorders>
            <w:shd w:val="clear" w:color="auto" w:fill="FFFFFF"/>
            <w:vAlign w:val="center"/>
          </w:tcPr>
          <w:p w14:paraId="6A08115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母线槽 BMC-1600A</w:t>
            </w:r>
          </w:p>
        </w:tc>
        <w:tc>
          <w:tcPr>
            <w:tcW w:w="1000" w:type="dxa"/>
            <w:tcBorders>
              <w:top w:val="nil"/>
              <w:left w:val="nil"/>
              <w:bottom w:val="single" w:color="000000" w:sz="4" w:space="0"/>
              <w:right w:val="single" w:color="000000" w:sz="4" w:space="0"/>
            </w:tcBorders>
            <w:shd w:val="clear" w:color="auto" w:fill="FFFFFF"/>
            <w:vAlign w:val="center"/>
          </w:tcPr>
          <w:p w14:paraId="32AC07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200" w:type="dxa"/>
            <w:gridSpan w:val="2"/>
            <w:tcBorders>
              <w:top w:val="nil"/>
              <w:left w:val="nil"/>
              <w:bottom w:val="single" w:color="000000" w:sz="4" w:space="0"/>
              <w:right w:val="single" w:color="000000" w:sz="4" w:space="0"/>
            </w:tcBorders>
            <w:shd w:val="clear" w:color="auto" w:fill="FFFFFF"/>
            <w:vAlign w:val="center"/>
          </w:tcPr>
          <w:p w14:paraId="7C1ACAD2">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15</w:t>
            </w:r>
          </w:p>
        </w:tc>
        <w:tc>
          <w:tcPr>
            <w:tcW w:w="1200" w:type="dxa"/>
            <w:gridSpan w:val="2"/>
            <w:tcBorders>
              <w:top w:val="nil"/>
              <w:left w:val="nil"/>
              <w:bottom w:val="single" w:color="000000" w:sz="4" w:space="0"/>
              <w:right w:val="single" w:color="000000" w:sz="4" w:space="0"/>
            </w:tcBorders>
            <w:shd w:val="clear" w:color="auto" w:fill="FFFFFF"/>
            <w:vAlign w:val="center"/>
          </w:tcPr>
          <w:p w14:paraId="7630164B">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1CDF55D7">
            <w:pPr>
              <w:jc w:val="right"/>
              <w:rPr>
                <w:rFonts w:hint="default" w:ascii="Arial Narrow" w:hAnsi="Arial Narrow" w:eastAsia="Arial Narrow" w:cs="Arial Narrow"/>
                <w:i w:val="0"/>
                <w:iCs w:val="0"/>
                <w:color w:val="auto"/>
                <w:sz w:val="18"/>
                <w:szCs w:val="18"/>
                <w:highlight w:val="none"/>
                <w:u w:val="none"/>
              </w:rPr>
            </w:pPr>
          </w:p>
        </w:tc>
      </w:tr>
      <w:tr w14:paraId="473AAA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36BFBD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TS603-1-i-b</w:t>
            </w:r>
          </w:p>
        </w:tc>
        <w:tc>
          <w:tcPr>
            <w:tcW w:w="4060" w:type="dxa"/>
            <w:gridSpan w:val="2"/>
            <w:tcBorders>
              <w:top w:val="nil"/>
              <w:left w:val="nil"/>
              <w:bottom w:val="single" w:color="000000" w:sz="4" w:space="0"/>
              <w:right w:val="single" w:color="000000" w:sz="4" w:space="0"/>
            </w:tcBorders>
            <w:shd w:val="clear" w:color="auto" w:fill="FFFFFF"/>
            <w:vAlign w:val="center"/>
          </w:tcPr>
          <w:p w14:paraId="2BDF580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母线槽 BMC-800A</w:t>
            </w:r>
          </w:p>
        </w:tc>
        <w:tc>
          <w:tcPr>
            <w:tcW w:w="1000" w:type="dxa"/>
            <w:tcBorders>
              <w:top w:val="nil"/>
              <w:left w:val="nil"/>
              <w:bottom w:val="single" w:color="000000" w:sz="4" w:space="0"/>
              <w:right w:val="single" w:color="000000" w:sz="4" w:space="0"/>
            </w:tcBorders>
            <w:shd w:val="clear" w:color="auto" w:fill="FFFFFF"/>
            <w:vAlign w:val="center"/>
          </w:tcPr>
          <w:p w14:paraId="77160A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200" w:type="dxa"/>
            <w:gridSpan w:val="2"/>
            <w:tcBorders>
              <w:top w:val="nil"/>
              <w:left w:val="nil"/>
              <w:bottom w:val="single" w:color="000000" w:sz="4" w:space="0"/>
              <w:right w:val="single" w:color="000000" w:sz="4" w:space="0"/>
            </w:tcBorders>
            <w:shd w:val="clear" w:color="auto" w:fill="FFFFFF"/>
            <w:vAlign w:val="center"/>
          </w:tcPr>
          <w:p w14:paraId="518B8435">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15</w:t>
            </w:r>
          </w:p>
        </w:tc>
        <w:tc>
          <w:tcPr>
            <w:tcW w:w="1200" w:type="dxa"/>
            <w:gridSpan w:val="2"/>
            <w:tcBorders>
              <w:top w:val="nil"/>
              <w:left w:val="nil"/>
              <w:bottom w:val="single" w:color="000000" w:sz="4" w:space="0"/>
              <w:right w:val="single" w:color="000000" w:sz="4" w:space="0"/>
            </w:tcBorders>
            <w:shd w:val="clear" w:color="auto" w:fill="FFFFFF"/>
            <w:vAlign w:val="center"/>
          </w:tcPr>
          <w:p w14:paraId="3F69AC88">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34C25A23">
            <w:pPr>
              <w:jc w:val="right"/>
              <w:rPr>
                <w:rFonts w:hint="default" w:ascii="Arial Narrow" w:hAnsi="Arial Narrow" w:eastAsia="Arial Narrow" w:cs="Arial Narrow"/>
                <w:i w:val="0"/>
                <w:iCs w:val="0"/>
                <w:color w:val="auto"/>
                <w:sz w:val="18"/>
                <w:szCs w:val="18"/>
                <w:highlight w:val="none"/>
                <w:u w:val="none"/>
              </w:rPr>
            </w:pPr>
          </w:p>
        </w:tc>
      </w:tr>
      <w:tr w14:paraId="0CBC95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321403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TS603-2</w:t>
            </w:r>
          </w:p>
        </w:tc>
        <w:tc>
          <w:tcPr>
            <w:tcW w:w="4060" w:type="dxa"/>
            <w:gridSpan w:val="2"/>
            <w:tcBorders>
              <w:top w:val="nil"/>
              <w:left w:val="nil"/>
              <w:bottom w:val="single" w:color="000000" w:sz="4" w:space="0"/>
              <w:right w:val="single" w:color="000000" w:sz="4" w:space="0"/>
            </w:tcBorders>
            <w:shd w:val="clear" w:color="auto" w:fill="FFFFFF"/>
            <w:vAlign w:val="center"/>
          </w:tcPr>
          <w:p w14:paraId="28BD2CF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干式变压器　SCBH19-10/0.4KV-800KVA</w:t>
            </w:r>
          </w:p>
        </w:tc>
        <w:tc>
          <w:tcPr>
            <w:tcW w:w="1000" w:type="dxa"/>
            <w:tcBorders>
              <w:top w:val="nil"/>
              <w:left w:val="nil"/>
              <w:bottom w:val="single" w:color="000000" w:sz="4" w:space="0"/>
              <w:right w:val="single" w:color="000000" w:sz="4" w:space="0"/>
            </w:tcBorders>
            <w:shd w:val="clear" w:color="auto" w:fill="FFFFFF"/>
            <w:vAlign w:val="center"/>
          </w:tcPr>
          <w:p w14:paraId="5EBA824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200" w:type="dxa"/>
            <w:gridSpan w:val="2"/>
            <w:tcBorders>
              <w:top w:val="nil"/>
              <w:left w:val="nil"/>
              <w:bottom w:val="single" w:color="000000" w:sz="4" w:space="0"/>
              <w:right w:val="single" w:color="000000" w:sz="4" w:space="0"/>
            </w:tcBorders>
            <w:shd w:val="clear" w:color="auto" w:fill="FFFFFF"/>
            <w:vAlign w:val="center"/>
          </w:tcPr>
          <w:p w14:paraId="19F8C615">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58ED7C67">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4C53ED16">
            <w:pPr>
              <w:jc w:val="right"/>
              <w:rPr>
                <w:rFonts w:hint="default" w:ascii="Arial Narrow" w:hAnsi="Arial Narrow" w:eastAsia="Arial Narrow" w:cs="Arial Narrow"/>
                <w:i w:val="0"/>
                <w:iCs w:val="0"/>
                <w:color w:val="auto"/>
                <w:sz w:val="18"/>
                <w:szCs w:val="18"/>
                <w:highlight w:val="none"/>
                <w:u w:val="none"/>
              </w:rPr>
            </w:pPr>
          </w:p>
        </w:tc>
      </w:tr>
      <w:tr w14:paraId="24BD35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6907A32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TS604</w:t>
            </w:r>
          </w:p>
        </w:tc>
        <w:tc>
          <w:tcPr>
            <w:tcW w:w="4060" w:type="dxa"/>
            <w:gridSpan w:val="2"/>
            <w:tcBorders>
              <w:top w:val="nil"/>
              <w:left w:val="nil"/>
              <w:bottom w:val="single" w:color="000000" w:sz="4" w:space="0"/>
              <w:right w:val="single" w:color="000000" w:sz="4" w:space="0"/>
            </w:tcBorders>
            <w:shd w:val="clear" w:color="auto" w:fill="FFFFFF"/>
            <w:vAlign w:val="center"/>
          </w:tcPr>
          <w:p w14:paraId="1745642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UPS电源</w:t>
            </w:r>
          </w:p>
        </w:tc>
        <w:tc>
          <w:tcPr>
            <w:tcW w:w="1000" w:type="dxa"/>
            <w:tcBorders>
              <w:top w:val="nil"/>
              <w:left w:val="nil"/>
              <w:bottom w:val="single" w:color="000000" w:sz="4" w:space="0"/>
              <w:right w:val="single" w:color="000000" w:sz="4" w:space="0"/>
            </w:tcBorders>
            <w:shd w:val="clear" w:color="auto" w:fill="FFFFFF"/>
            <w:vAlign w:val="center"/>
          </w:tcPr>
          <w:p w14:paraId="07A8874E">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02EAA4DA">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3739A4D5">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12458D29">
            <w:pPr>
              <w:jc w:val="right"/>
              <w:rPr>
                <w:rFonts w:hint="default" w:ascii="Arial Narrow" w:hAnsi="Arial Narrow" w:eastAsia="Arial Narrow" w:cs="Arial Narrow"/>
                <w:i w:val="0"/>
                <w:iCs w:val="0"/>
                <w:color w:val="auto"/>
                <w:sz w:val="18"/>
                <w:szCs w:val="18"/>
                <w:highlight w:val="none"/>
                <w:u w:val="none"/>
              </w:rPr>
            </w:pPr>
          </w:p>
        </w:tc>
      </w:tr>
      <w:tr w14:paraId="3EBF4F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475F917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TS604-1</w:t>
            </w:r>
          </w:p>
        </w:tc>
        <w:tc>
          <w:tcPr>
            <w:tcW w:w="4060" w:type="dxa"/>
            <w:gridSpan w:val="2"/>
            <w:tcBorders>
              <w:top w:val="nil"/>
              <w:left w:val="nil"/>
              <w:bottom w:val="single" w:color="000000" w:sz="4" w:space="0"/>
              <w:right w:val="single" w:color="000000" w:sz="4" w:space="0"/>
            </w:tcBorders>
            <w:shd w:val="clear" w:color="auto" w:fill="FFFFFF"/>
            <w:vAlign w:val="center"/>
          </w:tcPr>
          <w:p w14:paraId="797A6A1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UPS电源</w:t>
            </w:r>
          </w:p>
        </w:tc>
        <w:tc>
          <w:tcPr>
            <w:tcW w:w="1000" w:type="dxa"/>
            <w:tcBorders>
              <w:top w:val="nil"/>
              <w:left w:val="nil"/>
              <w:bottom w:val="single" w:color="000000" w:sz="4" w:space="0"/>
              <w:right w:val="single" w:color="000000" w:sz="4" w:space="0"/>
            </w:tcBorders>
            <w:shd w:val="clear" w:color="auto" w:fill="FFFFFF"/>
            <w:vAlign w:val="center"/>
          </w:tcPr>
          <w:p w14:paraId="161AC1E2">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2BC7B3E6">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1DC1FF9E">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62669653">
            <w:pPr>
              <w:jc w:val="right"/>
              <w:rPr>
                <w:rFonts w:hint="default" w:ascii="Arial Narrow" w:hAnsi="Arial Narrow" w:eastAsia="Arial Narrow" w:cs="Arial Narrow"/>
                <w:i w:val="0"/>
                <w:iCs w:val="0"/>
                <w:color w:val="auto"/>
                <w:sz w:val="18"/>
                <w:szCs w:val="18"/>
                <w:highlight w:val="none"/>
                <w:u w:val="none"/>
              </w:rPr>
            </w:pPr>
          </w:p>
        </w:tc>
      </w:tr>
      <w:tr w14:paraId="6CE54C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197FD2B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TS604-1-a</w:t>
            </w:r>
          </w:p>
        </w:tc>
        <w:tc>
          <w:tcPr>
            <w:tcW w:w="4060" w:type="dxa"/>
            <w:gridSpan w:val="2"/>
            <w:tcBorders>
              <w:top w:val="nil"/>
              <w:left w:val="nil"/>
              <w:bottom w:val="single" w:color="000000" w:sz="4" w:space="0"/>
              <w:right w:val="single" w:color="000000" w:sz="4" w:space="0"/>
            </w:tcBorders>
            <w:shd w:val="clear" w:color="auto" w:fill="FFFFFF"/>
            <w:vAlign w:val="center"/>
          </w:tcPr>
          <w:p w14:paraId="03B18DD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消防设备应急电源 FEPS-5KVA，后备电池≥3h</w:t>
            </w:r>
          </w:p>
        </w:tc>
        <w:tc>
          <w:tcPr>
            <w:tcW w:w="1000" w:type="dxa"/>
            <w:tcBorders>
              <w:top w:val="nil"/>
              <w:left w:val="nil"/>
              <w:bottom w:val="single" w:color="000000" w:sz="4" w:space="0"/>
              <w:right w:val="single" w:color="000000" w:sz="4" w:space="0"/>
            </w:tcBorders>
            <w:shd w:val="clear" w:color="auto" w:fill="FFFFFF"/>
            <w:vAlign w:val="center"/>
          </w:tcPr>
          <w:p w14:paraId="126F06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490524FC">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42492AAE">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5FDF03D4">
            <w:pPr>
              <w:jc w:val="right"/>
              <w:rPr>
                <w:rFonts w:hint="default" w:ascii="Arial Narrow" w:hAnsi="Arial Narrow" w:eastAsia="Arial Narrow" w:cs="Arial Narrow"/>
                <w:i w:val="0"/>
                <w:iCs w:val="0"/>
                <w:color w:val="auto"/>
                <w:sz w:val="18"/>
                <w:szCs w:val="18"/>
                <w:highlight w:val="none"/>
                <w:u w:val="none"/>
              </w:rPr>
            </w:pPr>
          </w:p>
        </w:tc>
      </w:tr>
      <w:tr w14:paraId="0303CA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1D9B59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TS605</w:t>
            </w:r>
          </w:p>
        </w:tc>
        <w:tc>
          <w:tcPr>
            <w:tcW w:w="4060" w:type="dxa"/>
            <w:gridSpan w:val="2"/>
            <w:tcBorders>
              <w:top w:val="nil"/>
              <w:left w:val="nil"/>
              <w:bottom w:val="single" w:color="000000" w:sz="4" w:space="0"/>
              <w:right w:val="single" w:color="000000" w:sz="4" w:space="0"/>
            </w:tcBorders>
            <w:shd w:val="clear" w:color="auto" w:fill="FFFFFF"/>
            <w:vAlign w:val="center"/>
          </w:tcPr>
          <w:p w14:paraId="68906DD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柴油发电机组</w:t>
            </w:r>
          </w:p>
        </w:tc>
        <w:tc>
          <w:tcPr>
            <w:tcW w:w="1000" w:type="dxa"/>
            <w:tcBorders>
              <w:top w:val="nil"/>
              <w:left w:val="nil"/>
              <w:bottom w:val="single" w:color="000000" w:sz="4" w:space="0"/>
              <w:right w:val="single" w:color="000000" w:sz="4" w:space="0"/>
            </w:tcBorders>
            <w:shd w:val="clear" w:color="auto" w:fill="FFFFFF"/>
            <w:vAlign w:val="center"/>
          </w:tcPr>
          <w:p w14:paraId="2180557B">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402D8171">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269F0CDD">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037A4B15">
            <w:pPr>
              <w:jc w:val="right"/>
              <w:rPr>
                <w:rFonts w:hint="default" w:ascii="Arial Narrow" w:hAnsi="Arial Narrow" w:eastAsia="Arial Narrow" w:cs="Arial Narrow"/>
                <w:i w:val="0"/>
                <w:iCs w:val="0"/>
                <w:color w:val="auto"/>
                <w:sz w:val="18"/>
                <w:szCs w:val="18"/>
                <w:highlight w:val="none"/>
                <w:u w:val="none"/>
              </w:rPr>
            </w:pPr>
          </w:p>
        </w:tc>
      </w:tr>
      <w:tr w14:paraId="08CFBB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5476304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TS605-1</w:t>
            </w:r>
          </w:p>
        </w:tc>
        <w:tc>
          <w:tcPr>
            <w:tcW w:w="4060" w:type="dxa"/>
            <w:gridSpan w:val="2"/>
            <w:tcBorders>
              <w:top w:val="nil"/>
              <w:left w:val="nil"/>
              <w:bottom w:val="single" w:color="000000" w:sz="4" w:space="0"/>
              <w:right w:val="single" w:color="000000" w:sz="4" w:space="0"/>
            </w:tcBorders>
            <w:shd w:val="clear" w:color="auto" w:fill="FFFFFF"/>
            <w:vAlign w:val="center"/>
          </w:tcPr>
          <w:p w14:paraId="11A98E6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柴油发电机组 400KW</w:t>
            </w:r>
          </w:p>
        </w:tc>
        <w:tc>
          <w:tcPr>
            <w:tcW w:w="1000" w:type="dxa"/>
            <w:tcBorders>
              <w:top w:val="nil"/>
              <w:left w:val="nil"/>
              <w:bottom w:val="single" w:color="000000" w:sz="4" w:space="0"/>
              <w:right w:val="single" w:color="000000" w:sz="4" w:space="0"/>
            </w:tcBorders>
            <w:shd w:val="clear" w:color="auto" w:fill="FFFFFF"/>
            <w:vAlign w:val="center"/>
          </w:tcPr>
          <w:p w14:paraId="779CFA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7FE766F0">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0952F755">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689496F8">
            <w:pPr>
              <w:jc w:val="right"/>
              <w:rPr>
                <w:rFonts w:hint="default" w:ascii="Arial Narrow" w:hAnsi="Arial Narrow" w:eastAsia="Arial Narrow" w:cs="Arial Narrow"/>
                <w:i w:val="0"/>
                <w:iCs w:val="0"/>
                <w:color w:val="auto"/>
                <w:sz w:val="18"/>
                <w:szCs w:val="18"/>
                <w:highlight w:val="none"/>
                <w:u w:val="none"/>
              </w:rPr>
            </w:pPr>
          </w:p>
        </w:tc>
      </w:tr>
      <w:tr w14:paraId="5695DC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2CEB9D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TS606</w:t>
            </w:r>
          </w:p>
        </w:tc>
        <w:tc>
          <w:tcPr>
            <w:tcW w:w="4060" w:type="dxa"/>
            <w:gridSpan w:val="2"/>
            <w:tcBorders>
              <w:top w:val="nil"/>
              <w:left w:val="nil"/>
              <w:bottom w:val="single" w:color="000000" w:sz="4" w:space="0"/>
              <w:right w:val="single" w:color="000000" w:sz="4" w:space="0"/>
            </w:tcBorders>
            <w:shd w:val="clear" w:color="auto" w:fill="FFFFFF"/>
            <w:vAlign w:val="center"/>
          </w:tcPr>
          <w:p w14:paraId="68ED5AA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电力监控系统</w:t>
            </w:r>
          </w:p>
        </w:tc>
        <w:tc>
          <w:tcPr>
            <w:tcW w:w="1000" w:type="dxa"/>
            <w:tcBorders>
              <w:top w:val="nil"/>
              <w:left w:val="nil"/>
              <w:bottom w:val="single" w:color="000000" w:sz="4" w:space="0"/>
              <w:right w:val="single" w:color="000000" w:sz="4" w:space="0"/>
            </w:tcBorders>
            <w:shd w:val="clear" w:color="auto" w:fill="FFFFFF"/>
            <w:vAlign w:val="center"/>
          </w:tcPr>
          <w:p w14:paraId="251AFEEA">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16CF20C0">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51CCC38C">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2279974E">
            <w:pPr>
              <w:jc w:val="right"/>
              <w:rPr>
                <w:rFonts w:hint="default" w:ascii="Arial Narrow" w:hAnsi="Arial Narrow" w:eastAsia="Arial Narrow" w:cs="Arial Narrow"/>
                <w:i w:val="0"/>
                <w:iCs w:val="0"/>
                <w:color w:val="auto"/>
                <w:sz w:val="18"/>
                <w:szCs w:val="18"/>
                <w:highlight w:val="none"/>
                <w:u w:val="none"/>
              </w:rPr>
            </w:pPr>
          </w:p>
        </w:tc>
      </w:tr>
      <w:tr w14:paraId="0B6045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4988E1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TS606-1</w:t>
            </w:r>
          </w:p>
        </w:tc>
        <w:tc>
          <w:tcPr>
            <w:tcW w:w="4060" w:type="dxa"/>
            <w:gridSpan w:val="2"/>
            <w:tcBorders>
              <w:top w:val="nil"/>
              <w:left w:val="nil"/>
              <w:bottom w:val="single" w:color="000000" w:sz="4" w:space="0"/>
              <w:right w:val="single" w:color="000000" w:sz="4" w:space="0"/>
            </w:tcBorders>
            <w:shd w:val="clear" w:color="auto" w:fill="FFFFFF"/>
            <w:vAlign w:val="center"/>
          </w:tcPr>
          <w:p w14:paraId="4ED307D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电力监控软件</w:t>
            </w:r>
          </w:p>
        </w:tc>
        <w:tc>
          <w:tcPr>
            <w:tcW w:w="1000" w:type="dxa"/>
            <w:tcBorders>
              <w:top w:val="nil"/>
              <w:left w:val="nil"/>
              <w:bottom w:val="single" w:color="000000" w:sz="4" w:space="0"/>
              <w:right w:val="single" w:color="000000" w:sz="4" w:space="0"/>
            </w:tcBorders>
            <w:shd w:val="clear" w:color="auto" w:fill="FFFFFF"/>
            <w:vAlign w:val="center"/>
          </w:tcPr>
          <w:p w14:paraId="6DCA5F00">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5DB1D905">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260A5FE4">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5F4329EA">
            <w:pPr>
              <w:jc w:val="right"/>
              <w:rPr>
                <w:rFonts w:hint="default" w:ascii="Arial Narrow" w:hAnsi="Arial Narrow" w:eastAsia="Arial Narrow" w:cs="Arial Narrow"/>
                <w:i w:val="0"/>
                <w:iCs w:val="0"/>
                <w:color w:val="auto"/>
                <w:sz w:val="18"/>
                <w:szCs w:val="18"/>
                <w:highlight w:val="none"/>
                <w:u w:val="none"/>
              </w:rPr>
            </w:pPr>
          </w:p>
        </w:tc>
      </w:tr>
      <w:tr w14:paraId="62E036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284547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TS606-1-a</w:t>
            </w:r>
          </w:p>
        </w:tc>
        <w:tc>
          <w:tcPr>
            <w:tcW w:w="4060" w:type="dxa"/>
            <w:gridSpan w:val="2"/>
            <w:tcBorders>
              <w:top w:val="nil"/>
              <w:left w:val="nil"/>
              <w:bottom w:val="single" w:color="000000" w:sz="4" w:space="0"/>
              <w:right w:val="single" w:color="000000" w:sz="4" w:space="0"/>
            </w:tcBorders>
            <w:shd w:val="clear" w:color="auto" w:fill="FFFFFF"/>
            <w:vAlign w:val="center"/>
          </w:tcPr>
          <w:p w14:paraId="4C13B75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电力监控前置处理机</w:t>
            </w:r>
          </w:p>
        </w:tc>
        <w:tc>
          <w:tcPr>
            <w:tcW w:w="1000" w:type="dxa"/>
            <w:tcBorders>
              <w:top w:val="nil"/>
              <w:left w:val="nil"/>
              <w:bottom w:val="single" w:color="000000" w:sz="4" w:space="0"/>
              <w:right w:val="single" w:color="000000" w:sz="4" w:space="0"/>
            </w:tcBorders>
            <w:shd w:val="clear" w:color="auto" w:fill="FFFFFF"/>
            <w:vAlign w:val="center"/>
          </w:tcPr>
          <w:p w14:paraId="77E5A1B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26760F3A">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6B3D70E6">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3F0D990C">
            <w:pPr>
              <w:jc w:val="right"/>
              <w:rPr>
                <w:rFonts w:hint="default" w:ascii="Arial Narrow" w:hAnsi="Arial Narrow" w:eastAsia="Arial Narrow" w:cs="Arial Narrow"/>
                <w:i w:val="0"/>
                <w:iCs w:val="0"/>
                <w:color w:val="auto"/>
                <w:sz w:val="18"/>
                <w:szCs w:val="18"/>
                <w:highlight w:val="none"/>
                <w:u w:val="none"/>
              </w:rPr>
            </w:pPr>
          </w:p>
        </w:tc>
      </w:tr>
      <w:tr w14:paraId="30A6E9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147040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TS606-1-b</w:t>
            </w:r>
          </w:p>
        </w:tc>
        <w:tc>
          <w:tcPr>
            <w:tcW w:w="4060" w:type="dxa"/>
            <w:gridSpan w:val="2"/>
            <w:tcBorders>
              <w:top w:val="nil"/>
              <w:left w:val="nil"/>
              <w:bottom w:val="single" w:color="000000" w:sz="4" w:space="0"/>
              <w:right w:val="single" w:color="000000" w:sz="4" w:space="0"/>
            </w:tcBorders>
            <w:shd w:val="clear" w:color="auto" w:fill="FFFFFF"/>
            <w:vAlign w:val="center"/>
          </w:tcPr>
          <w:p w14:paraId="5D47279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电力监控管理软件</w:t>
            </w:r>
          </w:p>
        </w:tc>
        <w:tc>
          <w:tcPr>
            <w:tcW w:w="1000" w:type="dxa"/>
            <w:tcBorders>
              <w:top w:val="nil"/>
              <w:left w:val="nil"/>
              <w:bottom w:val="single" w:color="000000" w:sz="4" w:space="0"/>
              <w:right w:val="single" w:color="000000" w:sz="4" w:space="0"/>
            </w:tcBorders>
            <w:shd w:val="clear" w:color="auto" w:fill="FFFFFF"/>
            <w:vAlign w:val="center"/>
          </w:tcPr>
          <w:p w14:paraId="452ABE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047919E1">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1709A067">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726EEA19">
            <w:pPr>
              <w:jc w:val="right"/>
              <w:rPr>
                <w:rFonts w:hint="default" w:ascii="Arial Narrow" w:hAnsi="Arial Narrow" w:eastAsia="Arial Narrow" w:cs="Arial Narrow"/>
                <w:i w:val="0"/>
                <w:iCs w:val="0"/>
                <w:color w:val="auto"/>
                <w:sz w:val="18"/>
                <w:szCs w:val="18"/>
                <w:highlight w:val="none"/>
                <w:u w:val="none"/>
              </w:rPr>
            </w:pPr>
          </w:p>
        </w:tc>
      </w:tr>
      <w:tr w14:paraId="092F22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45AA6A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TS606-1-c</w:t>
            </w:r>
          </w:p>
        </w:tc>
        <w:tc>
          <w:tcPr>
            <w:tcW w:w="4060" w:type="dxa"/>
            <w:gridSpan w:val="2"/>
            <w:tcBorders>
              <w:top w:val="nil"/>
              <w:left w:val="nil"/>
              <w:bottom w:val="single" w:color="000000" w:sz="4" w:space="0"/>
              <w:right w:val="single" w:color="000000" w:sz="4" w:space="0"/>
            </w:tcBorders>
            <w:shd w:val="clear" w:color="auto" w:fill="FFFFFF"/>
            <w:vAlign w:val="center"/>
          </w:tcPr>
          <w:p w14:paraId="61C1A0A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高压测控模块</w:t>
            </w:r>
          </w:p>
        </w:tc>
        <w:tc>
          <w:tcPr>
            <w:tcW w:w="1000" w:type="dxa"/>
            <w:tcBorders>
              <w:top w:val="nil"/>
              <w:left w:val="nil"/>
              <w:bottom w:val="single" w:color="000000" w:sz="4" w:space="0"/>
              <w:right w:val="single" w:color="000000" w:sz="4" w:space="0"/>
            </w:tcBorders>
            <w:shd w:val="clear" w:color="auto" w:fill="FFFFFF"/>
            <w:vAlign w:val="center"/>
          </w:tcPr>
          <w:p w14:paraId="7499E4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6F8C78A5">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4</w:t>
            </w:r>
          </w:p>
        </w:tc>
        <w:tc>
          <w:tcPr>
            <w:tcW w:w="1200" w:type="dxa"/>
            <w:gridSpan w:val="2"/>
            <w:tcBorders>
              <w:top w:val="nil"/>
              <w:left w:val="nil"/>
              <w:bottom w:val="single" w:color="000000" w:sz="4" w:space="0"/>
              <w:right w:val="single" w:color="000000" w:sz="4" w:space="0"/>
            </w:tcBorders>
            <w:shd w:val="clear" w:color="auto" w:fill="FFFFFF"/>
            <w:vAlign w:val="center"/>
          </w:tcPr>
          <w:p w14:paraId="19326041">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2A60117B">
            <w:pPr>
              <w:jc w:val="right"/>
              <w:rPr>
                <w:rFonts w:hint="default" w:ascii="Arial Narrow" w:hAnsi="Arial Narrow" w:eastAsia="Arial Narrow" w:cs="Arial Narrow"/>
                <w:i w:val="0"/>
                <w:iCs w:val="0"/>
                <w:color w:val="auto"/>
                <w:sz w:val="18"/>
                <w:szCs w:val="18"/>
                <w:highlight w:val="none"/>
                <w:u w:val="none"/>
              </w:rPr>
            </w:pPr>
          </w:p>
        </w:tc>
      </w:tr>
      <w:tr w14:paraId="6A7A8B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406B814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TS606-1-d</w:t>
            </w:r>
          </w:p>
        </w:tc>
        <w:tc>
          <w:tcPr>
            <w:tcW w:w="4060" w:type="dxa"/>
            <w:gridSpan w:val="2"/>
            <w:tcBorders>
              <w:top w:val="nil"/>
              <w:left w:val="nil"/>
              <w:bottom w:val="single" w:color="000000" w:sz="4" w:space="0"/>
              <w:right w:val="single" w:color="000000" w:sz="4" w:space="0"/>
            </w:tcBorders>
            <w:shd w:val="clear" w:color="auto" w:fill="FFFFFF"/>
            <w:vAlign w:val="center"/>
          </w:tcPr>
          <w:p w14:paraId="33863BB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在线测控装置</w:t>
            </w:r>
          </w:p>
        </w:tc>
        <w:tc>
          <w:tcPr>
            <w:tcW w:w="1000" w:type="dxa"/>
            <w:tcBorders>
              <w:top w:val="nil"/>
              <w:left w:val="nil"/>
              <w:bottom w:val="single" w:color="000000" w:sz="4" w:space="0"/>
              <w:right w:val="single" w:color="000000" w:sz="4" w:space="0"/>
            </w:tcBorders>
            <w:shd w:val="clear" w:color="auto" w:fill="FFFFFF"/>
            <w:vAlign w:val="center"/>
          </w:tcPr>
          <w:p w14:paraId="4461F2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41209180">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4</w:t>
            </w:r>
          </w:p>
        </w:tc>
        <w:tc>
          <w:tcPr>
            <w:tcW w:w="1200" w:type="dxa"/>
            <w:gridSpan w:val="2"/>
            <w:tcBorders>
              <w:top w:val="nil"/>
              <w:left w:val="nil"/>
              <w:bottom w:val="single" w:color="000000" w:sz="4" w:space="0"/>
              <w:right w:val="single" w:color="000000" w:sz="4" w:space="0"/>
            </w:tcBorders>
            <w:shd w:val="clear" w:color="auto" w:fill="FFFFFF"/>
            <w:vAlign w:val="center"/>
          </w:tcPr>
          <w:p w14:paraId="574FC98A">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41175987">
            <w:pPr>
              <w:jc w:val="right"/>
              <w:rPr>
                <w:rFonts w:hint="default" w:ascii="Arial Narrow" w:hAnsi="Arial Narrow" w:eastAsia="Arial Narrow" w:cs="Arial Narrow"/>
                <w:i w:val="0"/>
                <w:iCs w:val="0"/>
                <w:color w:val="auto"/>
                <w:sz w:val="18"/>
                <w:szCs w:val="18"/>
                <w:highlight w:val="none"/>
                <w:u w:val="none"/>
              </w:rPr>
            </w:pPr>
          </w:p>
        </w:tc>
      </w:tr>
      <w:tr w14:paraId="07B504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002271C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TS606-1-e</w:t>
            </w:r>
          </w:p>
        </w:tc>
        <w:tc>
          <w:tcPr>
            <w:tcW w:w="4060" w:type="dxa"/>
            <w:gridSpan w:val="2"/>
            <w:tcBorders>
              <w:top w:val="nil"/>
              <w:left w:val="nil"/>
              <w:bottom w:val="single" w:color="000000" w:sz="4" w:space="0"/>
              <w:right w:val="single" w:color="000000" w:sz="4" w:space="0"/>
            </w:tcBorders>
            <w:shd w:val="clear" w:color="auto" w:fill="FFFFFF"/>
            <w:vAlign w:val="center"/>
          </w:tcPr>
          <w:p w14:paraId="2FE79AC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低压测控模块（总进线）</w:t>
            </w:r>
          </w:p>
        </w:tc>
        <w:tc>
          <w:tcPr>
            <w:tcW w:w="1000" w:type="dxa"/>
            <w:tcBorders>
              <w:top w:val="nil"/>
              <w:left w:val="nil"/>
              <w:bottom w:val="single" w:color="000000" w:sz="4" w:space="0"/>
              <w:right w:val="single" w:color="000000" w:sz="4" w:space="0"/>
            </w:tcBorders>
            <w:shd w:val="clear" w:color="auto" w:fill="FFFFFF"/>
            <w:vAlign w:val="center"/>
          </w:tcPr>
          <w:p w14:paraId="5F3C31E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63D3B565">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2</w:t>
            </w:r>
          </w:p>
        </w:tc>
        <w:tc>
          <w:tcPr>
            <w:tcW w:w="1200" w:type="dxa"/>
            <w:gridSpan w:val="2"/>
            <w:tcBorders>
              <w:top w:val="nil"/>
              <w:left w:val="nil"/>
              <w:bottom w:val="single" w:color="000000" w:sz="4" w:space="0"/>
              <w:right w:val="single" w:color="000000" w:sz="4" w:space="0"/>
            </w:tcBorders>
            <w:shd w:val="clear" w:color="auto" w:fill="FFFFFF"/>
            <w:vAlign w:val="center"/>
          </w:tcPr>
          <w:p w14:paraId="72E917A6">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12F81772">
            <w:pPr>
              <w:jc w:val="right"/>
              <w:rPr>
                <w:rFonts w:hint="default" w:ascii="Arial Narrow" w:hAnsi="Arial Narrow" w:eastAsia="Arial Narrow" w:cs="Arial Narrow"/>
                <w:i w:val="0"/>
                <w:iCs w:val="0"/>
                <w:color w:val="auto"/>
                <w:sz w:val="18"/>
                <w:szCs w:val="18"/>
                <w:highlight w:val="none"/>
                <w:u w:val="none"/>
              </w:rPr>
            </w:pPr>
          </w:p>
        </w:tc>
      </w:tr>
      <w:tr w14:paraId="1F0297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31A184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TS606-1-f</w:t>
            </w:r>
          </w:p>
        </w:tc>
        <w:tc>
          <w:tcPr>
            <w:tcW w:w="4060" w:type="dxa"/>
            <w:gridSpan w:val="2"/>
            <w:tcBorders>
              <w:top w:val="nil"/>
              <w:left w:val="nil"/>
              <w:bottom w:val="single" w:color="000000" w:sz="4" w:space="0"/>
              <w:right w:val="single" w:color="000000" w:sz="4" w:space="0"/>
            </w:tcBorders>
            <w:shd w:val="clear" w:color="auto" w:fill="FFFFFF"/>
            <w:vAlign w:val="center"/>
          </w:tcPr>
          <w:p w14:paraId="5DDF961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低压测控模块（出线）</w:t>
            </w:r>
          </w:p>
        </w:tc>
        <w:tc>
          <w:tcPr>
            <w:tcW w:w="1000" w:type="dxa"/>
            <w:tcBorders>
              <w:top w:val="nil"/>
              <w:left w:val="nil"/>
              <w:bottom w:val="single" w:color="000000" w:sz="4" w:space="0"/>
              <w:right w:val="single" w:color="000000" w:sz="4" w:space="0"/>
            </w:tcBorders>
            <w:shd w:val="clear" w:color="auto" w:fill="FFFFFF"/>
            <w:vAlign w:val="center"/>
          </w:tcPr>
          <w:p w14:paraId="5A4F79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42CAA3D4">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40</w:t>
            </w:r>
          </w:p>
        </w:tc>
        <w:tc>
          <w:tcPr>
            <w:tcW w:w="1200" w:type="dxa"/>
            <w:gridSpan w:val="2"/>
            <w:tcBorders>
              <w:top w:val="nil"/>
              <w:left w:val="nil"/>
              <w:bottom w:val="single" w:color="000000" w:sz="4" w:space="0"/>
              <w:right w:val="single" w:color="000000" w:sz="4" w:space="0"/>
            </w:tcBorders>
            <w:shd w:val="clear" w:color="auto" w:fill="FFFFFF"/>
            <w:vAlign w:val="center"/>
          </w:tcPr>
          <w:p w14:paraId="1DE1039B">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4D6AF010">
            <w:pPr>
              <w:jc w:val="right"/>
              <w:rPr>
                <w:rFonts w:hint="default" w:ascii="Arial Narrow" w:hAnsi="Arial Narrow" w:eastAsia="Arial Narrow" w:cs="Arial Narrow"/>
                <w:i w:val="0"/>
                <w:iCs w:val="0"/>
                <w:color w:val="auto"/>
                <w:sz w:val="18"/>
                <w:szCs w:val="18"/>
                <w:highlight w:val="none"/>
                <w:u w:val="none"/>
              </w:rPr>
            </w:pPr>
          </w:p>
        </w:tc>
      </w:tr>
      <w:tr w14:paraId="3FA97A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735533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TS606-1-g</w:t>
            </w:r>
          </w:p>
        </w:tc>
        <w:tc>
          <w:tcPr>
            <w:tcW w:w="4060" w:type="dxa"/>
            <w:gridSpan w:val="2"/>
            <w:tcBorders>
              <w:top w:val="nil"/>
              <w:left w:val="nil"/>
              <w:bottom w:val="single" w:color="000000" w:sz="4" w:space="0"/>
              <w:right w:val="single" w:color="000000" w:sz="4" w:space="0"/>
            </w:tcBorders>
            <w:shd w:val="clear" w:color="auto" w:fill="FFFFFF"/>
            <w:vAlign w:val="center"/>
          </w:tcPr>
          <w:p w14:paraId="1DBE255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低压测控模块（补偿）</w:t>
            </w:r>
          </w:p>
        </w:tc>
        <w:tc>
          <w:tcPr>
            <w:tcW w:w="1000" w:type="dxa"/>
            <w:tcBorders>
              <w:top w:val="nil"/>
              <w:left w:val="nil"/>
              <w:bottom w:val="single" w:color="000000" w:sz="4" w:space="0"/>
              <w:right w:val="single" w:color="000000" w:sz="4" w:space="0"/>
            </w:tcBorders>
            <w:shd w:val="clear" w:color="auto" w:fill="FFFFFF"/>
            <w:vAlign w:val="center"/>
          </w:tcPr>
          <w:p w14:paraId="3F0701F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2EBEE926">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7FA434A5">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5CF90E8B">
            <w:pPr>
              <w:jc w:val="right"/>
              <w:rPr>
                <w:rFonts w:hint="default" w:ascii="Arial Narrow" w:hAnsi="Arial Narrow" w:eastAsia="Arial Narrow" w:cs="Arial Narrow"/>
                <w:i w:val="0"/>
                <w:iCs w:val="0"/>
                <w:color w:val="auto"/>
                <w:sz w:val="18"/>
                <w:szCs w:val="18"/>
                <w:highlight w:val="none"/>
                <w:u w:val="none"/>
              </w:rPr>
            </w:pPr>
          </w:p>
        </w:tc>
      </w:tr>
      <w:tr w14:paraId="660806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05EDCD7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TS606-1-h</w:t>
            </w:r>
          </w:p>
        </w:tc>
        <w:tc>
          <w:tcPr>
            <w:tcW w:w="4060" w:type="dxa"/>
            <w:gridSpan w:val="2"/>
            <w:tcBorders>
              <w:top w:val="nil"/>
              <w:left w:val="nil"/>
              <w:bottom w:val="single" w:color="000000" w:sz="4" w:space="0"/>
              <w:right w:val="single" w:color="000000" w:sz="4" w:space="0"/>
            </w:tcBorders>
            <w:shd w:val="clear" w:color="auto" w:fill="FFFFFF"/>
            <w:vAlign w:val="center"/>
          </w:tcPr>
          <w:p w14:paraId="60AC06D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电力监控设备柜</w:t>
            </w:r>
          </w:p>
        </w:tc>
        <w:tc>
          <w:tcPr>
            <w:tcW w:w="1000" w:type="dxa"/>
            <w:tcBorders>
              <w:top w:val="nil"/>
              <w:left w:val="nil"/>
              <w:bottom w:val="single" w:color="000000" w:sz="4" w:space="0"/>
              <w:right w:val="single" w:color="000000" w:sz="4" w:space="0"/>
            </w:tcBorders>
            <w:shd w:val="clear" w:color="auto" w:fill="FFFFFF"/>
            <w:vAlign w:val="center"/>
          </w:tcPr>
          <w:p w14:paraId="7B8AD39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200" w:type="dxa"/>
            <w:gridSpan w:val="2"/>
            <w:tcBorders>
              <w:top w:val="nil"/>
              <w:left w:val="nil"/>
              <w:bottom w:val="single" w:color="000000" w:sz="4" w:space="0"/>
              <w:right w:val="single" w:color="000000" w:sz="4" w:space="0"/>
            </w:tcBorders>
            <w:shd w:val="clear" w:color="auto" w:fill="FFFFFF"/>
            <w:vAlign w:val="center"/>
          </w:tcPr>
          <w:p w14:paraId="78F0DBD8">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200" w:type="dxa"/>
            <w:gridSpan w:val="2"/>
            <w:tcBorders>
              <w:top w:val="nil"/>
              <w:left w:val="nil"/>
              <w:bottom w:val="single" w:color="000000" w:sz="4" w:space="0"/>
              <w:right w:val="single" w:color="000000" w:sz="4" w:space="0"/>
            </w:tcBorders>
            <w:shd w:val="clear" w:color="auto" w:fill="FFFFFF"/>
            <w:vAlign w:val="center"/>
          </w:tcPr>
          <w:p w14:paraId="1B27FE50">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779EF8C8">
            <w:pPr>
              <w:jc w:val="right"/>
              <w:rPr>
                <w:rFonts w:hint="default" w:ascii="Arial Narrow" w:hAnsi="Arial Narrow" w:eastAsia="Arial Narrow" w:cs="Arial Narrow"/>
                <w:i w:val="0"/>
                <w:iCs w:val="0"/>
                <w:color w:val="auto"/>
                <w:sz w:val="18"/>
                <w:szCs w:val="18"/>
                <w:highlight w:val="none"/>
                <w:u w:val="none"/>
              </w:rPr>
            </w:pPr>
          </w:p>
        </w:tc>
      </w:tr>
      <w:tr w14:paraId="60340D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2944EF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TS608</w:t>
            </w:r>
          </w:p>
        </w:tc>
        <w:tc>
          <w:tcPr>
            <w:tcW w:w="4060" w:type="dxa"/>
            <w:gridSpan w:val="2"/>
            <w:tcBorders>
              <w:top w:val="nil"/>
              <w:left w:val="nil"/>
              <w:bottom w:val="single" w:color="000000" w:sz="4" w:space="0"/>
              <w:right w:val="single" w:color="000000" w:sz="4" w:space="0"/>
            </w:tcBorders>
            <w:shd w:val="clear" w:color="auto" w:fill="FFFFFF"/>
            <w:vAlign w:val="center"/>
          </w:tcPr>
          <w:p w14:paraId="027C633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电力电缆</w:t>
            </w:r>
          </w:p>
        </w:tc>
        <w:tc>
          <w:tcPr>
            <w:tcW w:w="1000" w:type="dxa"/>
            <w:tcBorders>
              <w:top w:val="nil"/>
              <w:left w:val="nil"/>
              <w:bottom w:val="single" w:color="000000" w:sz="4" w:space="0"/>
              <w:right w:val="single" w:color="000000" w:sz="4" w:space="0"/>
            </w:tcBorders>
            <w:shd w:val="clear" w:color="auto" w:fill="FFFFFF"/>
            <w:vAlign w:val="center"/>
          </w:tcPr>
          <w:p w14:paraId="22D74D6D">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473086B3">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1DE9BD5B">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5C5AFCDD">
            <w:pPr>
              <w:jc w:val="right"/>
              <w:rPr>
                <w:rFonts w:hint="default" w:ascii="Arial Narrow" w:hAnsi="Arial Narrow" w:eastAsia="Arial Narrow" w:cs="Arial Narrow"/>
                <w:i w:val="0"/>
                <w:iCs w:val="0"/>
                <w:color w:val="auto"/>
                <w:sz w:val="18"/>
                <w:szCs w:val="18"/>
                <w:highlight w:val="none"/>
                <w:u w:val="none"/>
              </w:rPr>
            </w:pPr>
          </w:p>
        </w:tc>
      </w:tr>
      <w:tr w14:paraId="3D5BB8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7236CA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TS608-1</w:t>
            </w:r>
          </w:p>
        </w:tc>
        <w:tc>
          <w:tcPr>
            <w:tcW w:w="4060" w:type="dxa"/>
            <w:gridSpan w:val="2"/>
            <w:tcBorders>
              <w:top w:val="nil"/>
              <w:left w:val="nil"/>
              <w:bottom w:val="single" w:color="000000" w:sz="4" w:space="0"/>
              <w:right w:val="single" w:color="000000" w:sz="4" w:space="0"/>
            </w:tcBorders>
            <w:shd w:val="clear" w:color="auto" w:fill="FFFFFF"/>
            <w:vAlign w:val="center"/>
          </w:tcPr>
          <w:p w14:paraId="6FA0F0E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电力电缆</w:t>
            </w:r>
          </w:p>
        </w:tc>
        <w:tc>
          <w:tcPr>
            <w:tcW w:w="1000" w:type="dxa"/>
            <w:tcBorders>
              <w:top w:val="nil"/>
              <w:left w:val="nil"/>
              <w:bottom w:val="single" w:color="000000" w:sz="4" w:space="0"/>
              <w:right w:val="single" w:color="000000" w:sz="4" w:space="0"/>
            </w:tcBorders>
            <w:shd w:val="clear" w:color="auto" w:fill="FFFFFF"/>
            <w:vAlign w:val="center"/>
          </w:tcPr>
          <w:p w14:paraId="3D36C490">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2D428CA8">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793A0149">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29E0D5BA">
            <w:pPr>
              <w:jc w:val="right"/>
              <w:rPr>
                <w:rFonts w:hint="default" w:ascii="Arial Narrow" w:hAnsi="Arial Narrow" w:eastAsia="Arial Narrow" w:cs="Arial Narrow"/>
                <w:i w:val="0"/>
                <w:iCs w:val="0"/>
                <w:color w:val="auto"/>
                <w:sz w:val="18"/>
                <w:szCs w:val="18"/>
                <w:highlight w:val="none"/>
                <w:u w:val="none"/>
              </w:rPr>
            </w:pPr>
          </w:p>
        </w:tc>
      </w:tr>
      <w:tr w14:paraId="08F3A6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03461C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TS608-1-a</w:t>
            </w:r>
          </w:p>
        </w:tc>
        <w:tc>
          <w:tcPr>
            <w:tcW w:w="4060" w:type="dxa"/>
            <w:gridSpan w:val="2"/>
            <w:tcBorders>
              <w:top w:val="nil"/>
              <w:left w:val="nil"/>
              <w:bottom w:val="single" w:color="000000" w:sz="4" w:space="0"/>
              <w:right w:val="single" w:color="000000" w:sz="4" w:space="0"/>
            </w:tcBorders>
            <w:shd w:val="clear" w:color="auto" w:fill="FFFFFF"/>
            <w:vAlign w:val="center"/>
          </w:tcPr>
          <w:p w14:paraId="3F29851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WDZBN-YJY-1KV-5*4</w:t>
            </w:r>
          </w:p>
        </w:tc>
        <w:tc>
          <w:tcPr>
            <w:tcW w:w="1000" w:type="dxa"/>
            <w:tcBorders>
              <w:top w:val="nil"/>
              <w:left w:val="nil"/>
              <w:bottom w:val="single" w:color="000000" w:sz="4" w:space="0"/>
              <w:right w:val="single" w:color="000000" w:sz="4" w:space="0"/>
            </w:tcBorders>
            <w:shd w:val="clear" w:color="auto" w:fill="FFFFFF"/>
            <w:vAlign w:val="center"/>
          </w:tcPr>
          <w:p w14:paraId="13F8F4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200" w:type="dxa"/>
            <w:gridSpan w:val="2"/>
            <w:tcBorders>
              <w:top w:val="nil"/>
              <w:left w:val="nil"/>
              <w:bottom w:val="single" w:color="000000" w:sz="4" w:space="0"/>
              <w:right w:val="single" w:color="000000" w:sz="4" w:space="0"/>
            </w:tcBorders>
            <w:shd w:val="clear" w:color="auto" w:fill="FFFFFF"/>
            <w:vAlign w:val="center"/>
          </w:tcPr>
          <w:p w14:paraId="2C89BFC6">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4420</w:t>
            </w:r>
          </w:p>
        </w:tc>
        <w:tc>
          <w:tcPr>
            <w:tcW w:w="1200" w:type="dxa"/>
            <w:gridSpan w:val="2"/>
            <w:tcBorders>
              <w:top w:val="nil"/>
              <w:left w:val="nil"/>
              <w:bottom w:val="single" w:color="000000" w:sz="4" w:space="0"/>
              <w:right w:val="single" w:color="000000" w:sz="4" w:space="0"/>
            </w:tcBorders>
            <w:shd w:val="clear" w:color="auto" w:fill="FFFFFF"/>
            <w:vAlign w:val="center"/>
          </w:tcPr>
          <w:p w14:paraId="3CC9C3CD">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4D2B3222">
            <w:pPr>
              <w:jc w:val="right"/>
              <w:rPr>
                <w:rFonts w:hint="default" w:ascii="Arial Narrow" w:hAnsi="Arial Narrow" w:eastAsia="Arial Narrow" w:cs="Arial Narrow"/>
                <w:i w:val="0"/>
                <w:iCs w:val="0"/>
                <w:color w:val="auto"/>
                <w:sz w:val="18"/>
                <w:szCs w:val="18"/>
                <w:highlight w:val="none"/>
                <w:u w:val="none"/>
              </w:rPr>
            </w:pPr>
          </w:p>
        </w:tc>
      </w:tr>
      <w:tr w14:paraId="73BC1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1B0FC3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TS608-1-b</w:t>
            </w:r>
          </w:p>
        </w:tc>
        <w:tc>
          <w:tcPr>
            <w:tcW w:w="4060" w:type="dxa"/>
            <w:gridSpan w:val="2"/>
            <w:tcBorders>
              <w:top w:val="nil"/>
              <w:left w:val="nil"/>
              <w:bottom w:val="single" w:color="000000" w:sz="4" w:space="0"/>
              <w:right w:val="single" w:color="000000" w:sz="4" w:space="0"/>
            </w:tcBorders>
            <w:shd w:val="clear" w:color="auto" w:fill="FFFFFF"/>
            <w:vAlign w:val="center"/>
          </w:tcPr>
          <w:p w14:paraId="68A5558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WDZN-YJY-5*4</w:t>
            </w:r>
          </w:p>
        </w:tc>
        <w:tc>
          <w:tcPr>
            <w:tcW w:w="1000" w:type="dxa"/>
            <w:tcBorders>
              <w:top w:val="nil"/>
              <w:left w:val="nil"/>
              <w:bottom w:val="single" w:color="000000" w:sz="4" w:space="0"/>
              <w:right w:val="single" w:color="000000" w:sz="4" w:space="0"/>
            </w:tcBorders>
            <w:shd w:val="clear" w:color="auto" w:fill="FFFFFF"/>
            <w:vAlign w:val="center"/>
          </w:tcPr>
          <w:p w14:paraId="0D738DD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200" w:type="dxa"/>
            <w:gridSpan w:val="2"/>
            <w:tcBorders>
              <w:top w:val="nil"/>
              <w:left w:val="nil"/>
              <w:bottom w:val="single" w:color="000000" w:sz="4" w:space="0"/>
              <w:right w:val="single" w:color="000000" w:sz="4" w:space="0"/>
            </w:tcBorders>
            <w:shd w:val="clear" w:color="auto" w:fill="FFFFFF"/>
            <w:vAlign w:val="center"/>
          </w:tcPr>
          <w:p w14:paraId="7926B591">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60</w:t>
            </w:r>
          </w:p>
        </w:tc>
        <w:tc>
          <w:tcPr>
            <w:tcW w:w="1200" w:type="dxa"/>
            <w:gridSpan w:val="2"/>
            <w:tcBorders>
              <w:top w:val="nil"/>
              <w:left w:val="nil"/>
              <w:bottom w:val="single" w:color="000000" w:sz="4" w:space="0"/>
              <w:right w:val="single" w:color="000000" w:sz="4" w:space="0"/>
            </w:tcBorders>
            <w:shd w:val="clear" w:color="auto" w:fill="FFFFFF"/>
            <w:vAlign w:val="center"/>
          </w:tcPr>
          <w:p w14:paraId="58ECB519">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56F5BC8E">
            <w:pPr>
              <w:jc w:val="right"/>
              <w:rPr>
                <w:rFonts w:hint="default" w:ascii="Arial Narrow" w:hAnsi="Arial Narrow" w:eastAsia="Arial Narrow" w:cs="Arial Narrow"/>
                <w:i w:val="0"/>
                <w:iCs w:val="0"/>
                <w:color w:val="auto"/>
                <w:sz w:val="18"/>
                <w:szCs w:val="18"/>
                <w:highlight w:val="none"/>
                <w:u w:val="none"/>
              </w:rPr>
            </w:pPr>
          </w:p>
        </w:tc>
      </w:tr>
      <w:tr w14:paraId="032A41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5A57DAF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TS608-1-c</w:t>
            </w:r>
          </w:p>
        </w:tc>
        <w:tc>
          <w:tcPr>
            <w:tcW w:w="4060" w:type="dxa"/>
            <w:gridSpan w:val="2"/>
            <w:tcBorders>
              <w:top w:val="nil"/>
              <w:left w:val="nil"/>
              <w:bottom w:val="single" w:color="000000" w:sz="4" w:space="0"/>
              <w:right w:val="single" w:color="000000" w:sz="4" w:space="0"/>
            </w:tcBorders>
            <w:shd w:val="clear" w:color="auto" w:fill="FFFFFF"/>
            <w:vAlign w:val="center"/>
          </w:tcPr>
          <w:p w14:paraId="167B397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WDZN-YJY-3*2.5</w:t>
            </w:r>
          </w:p>
        </w:tc>
        <w:tc>
          <w:tcPr>
            <w:tcW w:w="1000" w:type="dxa"/>
            <w:tcBorders>
              <w:top w:val="nil"/>
              <w:left w:val="nil"/>
              <w:bottom w:val="single" w:color="000000" w:sz="4" w:space="0"/>
              <w:right w:val="single" w:color="000000" w:sz="4" w:space="0"/>
            </w:tcBorders>
            <w:shd w:val="clear" w:color="auto" w:fill="FFFFFF"/>
            <w:vAlign w:val="center"/>
          </w:tcPr>
          <w:p w14:paraId="77FC357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200" w:type="dxa"/>
            <w:gridSpan w:val="2"/>
            <w:tcBorders>
              <w:top w:val="nil"/>
              <w:left w:val="nil"/>
              <w:bottom w:val="single" w:color="000000" w:sz="4" w:space="0"/>
              <w:right w:val="single" w:color="000000" w:sz="4" w:space="0"/>
            </w:tcBorders>
            <w:shd w:val="clear" w:color="auto" w:fill="FFFFFF"/>
            <w:vAlign w:val="center"/>
          </w:tcPr>
          <w:p w14:paraId="3388B737">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60</w:t>
            </w:r>
          </w:p>
        </w:tc>
        <w:tc>
          <w:tcPr>
            <w:tcW w:w="1200" w:type="dxa"/>
            <w:gridSpan w:val="2"/>
            <w:tcBorders>
              <w:top w:val="nil"/>
              <w:left w:val="nil"/>
              <w:bottom w:val="single" w:color="000000" w:sz="4" w:space="0"/>
              <w:right w:val="single" w:color="000000" w:sz="4" w:space="0"/>
            </w:tcBorders>
            <w:shd w:val="clear" w:color="auto" w:fill="FFFFFF"/>
            <w:vAlign w:val="center"/>
          </w:tcPr>
          <w:p w14:paraId="1963D926">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4241DA78">
            <w:pPr>
              <w:jc w:val="right"/>
              <w:rPr>
                <w:rFonts w:hint="default" w:ascii="Arial Narrow" w:hAnsi="Arial Narrow" w:eastAsia="Arial Narrow" w:cs="Arial Narrow"/>
                <w:i w:val="0"/>
                <w:iCs w:val="0"/>
                <w:color w:val="auto"/>
                <w:sz w:val="18"/>
                <w:szCs w:val="18"/>
                <w:highlight w:val="none"/>
                <w:u w:val="none"/>
              </w:rPr>
            </w:pPr>
          </w:p>
        </w:tc>
      </w:tr>
      <w:tr w14:paraId="33F740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1EF6B5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TS608-1-d</w:t>
            </w:r>
          </w:p>
        </w:tc>
        <w:tc>
          <w:tcPr>
            <w:tcW w:w="4060" w:type="dxa"/>
            <w:gridSpan w:val="2"/>
            <w:tcBorders>
              <w:top w:val="nil"/>
              <w:left w:val="nil"/>
              <w:bottom w:val="single" w:color="000000" w:sz="4" w:space="0"/>
              <w:right w:val="single" w:color="000000" w:sz="4" w:space="0"/>
            </w:tcBorders>
            <w:shd w:val="clear" w:color="auto" w:fill="FFFFFF"/>
            <w:vAlign w:val="center"/>
          </w:tcPr>
          <w:p w14:paraId="466FD15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YJV-10KV-3*70</w:t>
            </w:r>
          </w:p>
        </w:tc>
        <w:tc>
          <w:tcPr>
            <w:tcW w:w="1000" w:type="dxa"/>
            <w:tcBorders>
              <w:top w:val="nil"/>
              <w:left w:val="nil"/>
              <w:bottom w:val="single" w:color="000000" w:sz="4" w:space="0"/>
              <w:right w:val="single" w:color="000000" w:sz="4" w:space="0"/>
            </w:tcBorders>
            <w:shd w:val="clear" w:color="auto" w:fill="FFFFFF"/>
            <w:vAlign w:val="center"/>
          </w:tcPr>
          <w:p w14:paraId="106C10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200" w:type="dxa"/>
            <w:gridSpan w:val="2"/>
            <w:tcBorders>
              <w:top w:val="nil"/>
              <w:left w:val="nil"/>
              <w:bottom w:val="single" w:color="000000" w:sz="4" w:space="0"/>
              <w:right w:val="single" w:color="000000" w:sz="4" w:space="0"/>
            </w:tcBorders>
            <w:shd w:val="clear" w:color="auto" w:fill="FFFFFF"/>
            <w:vAlign w:val="center"/>
          </w:tcPr>
          <w:p w14:paraId="4FBCF5F2">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30</w:t>
            </w:r>
          </w:p>
        </w:tc>
        <w:tc>
          <w:tcPr>
            <w:tcW w:w="1200" w:type="dxa"/>
            <w:gridSpan w:val="2"/>
            <w:tcBorders>
              <w:top w:val="nil"/>
              <w:left w:val="nil"/>
              <w:bottom w:val="single" w:color="000000" w:sz="4" w:space="0"/>
              <w:right w:val="single" w:color="000000" w:sz="4" w:space="0"/>
            </w:tcBorders>
            <w:shd w:val="clear" w:color="auto" w:fill="FFFFFF"/>
            <w:vAlign w:val="center"/>
          </w:tcPr>
          <w:p w14:paraId="79F5DAE2">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146B80D3">
            <w:pPr>
              <w:jc w:val="right"/>
              <w:rPr>
                <w:rFonts w:hint="default" w:ascii="Arial Narrow" w:hAnsi="Arial Narrow" w:eastAsia="Arial Narrow" w:cs="Arial Narrow"/>
                <w:i w:val="0"/>
                <w:iCs w:val="0"/>
                <w:color w:val="auto"/>
                <w:sz w:val="18"/>
                <w:szCs w:val="18"/>
                <w:highlight w:val="none"/>
                <w:u w:val="none"/>
              </w:rPr>
            </w:pPr>
          </w:p>
        </w:tc>
      </w:tr>
      <w:tr w14:paraId="4C2569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1207A7D2">
            <w:pPr>
              <w:jc w:val="center"/>
              <w:rPr>
                <w:rFonts w:hint="eastAsia" w:ascii="宋体" w:hAnsi="宋体" w:eastAsia="宋体" w:cs="宋体"/>
                <w:i w:val="0"/>
                <w:iCs w:val="0"/>
                <w:color w:val="auto"/>
                <w:sz w:val="18"/>
                <w:szCs w:val="18"/>
                <w:highlight w:val="none"/>
                <w:u w:val="none"/>
              </w:rPr>
            </w:pPr>
          </w:p>
        </w:tc>
        <w:tc>
          <w:tcPr>
            <w:tcW w:w="4060" w:type="dxa"/>
            <w:gridSpan w:val="2"/>
            <w:tcBorders>
              <w:top w:val="nil"/>
              <w:left w:val="nil"/>
              <w:bottom w:val="single" w:color="000000" w:sz="4" w:space="0"/>
              <w:right w:val="single" w:color="000000" w:sz="4" w:space="0"/>
            </w:tcBorders>
            <w:shd w:val="clear" w:color="auto" w:fill="FFFFFF"/>
            <w:vAlign w:val="center"/>
          </w:tcPr>
          <w:p w14:paraId="2AEAF7C4">
            <w:pPr>
              <w:jc w:val="left"/>
              <w:rPr>
                <w:rFonts w:hint="eastAsia" w:ascii="宋体" w:hAnsi="宋体" w:eastAsia="宋体" w:cs="宋体"/>
                <w:i w:val="0"/>
                <w:iCs w:val="0"/>
                <w:color w:val="auto"/>
                <w:sz w:val="18"/>
                <w:szCs w:val="18"/>
                <w:highlight w:val="none"/>
                <w:u w:val="none"/>
              </w:rPr>
            </w:pPr>
          </w:p>
        </w:tc>
        <w:tc>
          <w:tcPr>
            <w:tcW w:w="1000" w:type="dxa"/>
            <w:tcBorders>
              <w:top w:val="nil"/>
              <w:left w:val="nil"/>
              <w:bottom w:val="single" w:color="000000" w:sz="4" w:space="0"/>
              <w:right w:val="single" w:color="000000" w:sz="4" w:space="0"/>
            </w:tcBorders>
            <w:shd w:val="clear" w:color="auto" w:fill="FFFFFF"/>
            <w:vAlign w:val="center"/>
          </w:tcPr>
          <w:p w14:paraId="43320C81">
            <w:pPr>
              <w:jc w:val="center"/>
              <w:rPr>
                <w:rFonts w:hint="eastAsia" w:ascii="宋体" w:hAnsi="宋体" w:eastAsia="宋体" w:cs="宋体"/>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635F626E">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4" w:space="0"/>
            </w:tcBorders>
            <w:shd w:val="clear" w:color="auto" w:fill="FFFFFF"/>
            <w:vAlign w:val="center"/>
          </w:tcPr>
          <w:p w14:paraId="170E219C">
            <w:pPr>
              <w:jc w:val="right"/>
              <w:rPr>
                <w:rFonts w:hint="default" w:ascii="Arial Narrow" w:hAnsi="Arial Narrow" w:eastAsia="Arial Narrow" w:cs="Arial Narrow"/>
                <w:i w:val="0"/>
                <w:iCs w:val="0"/>
                <w:color w:val="auto"/>
                <w:sz w:val="18"/>
                <w:szCs w:val="18"/>
                <w:highlight w:val="none"/>
                <w:u w:val="none"/>
              </w:rPr>
            </w:pPr>
          </w:p>
        </w:tc>
        <w:tc>
          <w:tcPr>
            <w:tcW w:w="1200" w:type="dxa"/>
            <w:gridSpan w:val="2"/>
            <w:tcBorders>
              <w:top w:val="nil"/>
              <w:left w:val="nil"/>
              <w:bottom w:val="single" w:color="000000" w:sz="4" w:space="0"/>
              <w:right w:val="single" w:color="000000" w:sz="8" w:space="0"/>
            </w:tcBorders>
            <w:shd w:val="clear" w:color="auto" w:fill="FFFFFF"/>
            <w:vAlign w:val="center"/>
          </w:tcPr>
          <w:p w14:paraId="5158631A">
            <w:pPr>
              <w:jc w:val="right"/>
              <w:rPr>
                <w:rFonts w:hint="default" w:ascii="Arial Narrow" w:hAnsi="Arial Narrow" w:eastAsia="Arial Narrow" w:cs="Arial Narrow"/>
                <w:i w:val="0"/>
                <w:iCs w:val="0"/>
                <w:color w:val="auto"/>
                <w:sz w:val="18"/>
                <w:szCs w:val="18"/>
                <w:highlight w:val="none"/>
                <w:u w:val="none"/>
              </w:rPr>
            </w:pPr>
          </w:p>
        </w:tc>
      </w:tr>
      <w:tr w14:paraId="6237B5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1000" w:type="dxa"/>
            <w:tcBorders>
              <w:top w:val="nil"/>
              <w:left w:val="nil"/>
              <w:bottom w:val="nil"/>
              <w:right w:val="nil"/>
            </w:tcBorders>
            <w:shd w:val="clear" w:color="auto" w:fill="FFFFFF"/>
            <w:vAlign w:val="bottom"/>
          </w:tcPr>
          <w:p w14:paraId="669C1110">
            <w:pPr>
              <w:rPr>
                <w:rFonts w:hint="eastAsia" w:ascii="宋体" w:hAnsi="宋体" w:eastAsia="宋体" w:cs="宋体"/>
                <w:i w:val="0"/>
                <w:iCs w:val="0"/>
                <w:color w:val="auto"/>
                <w:sz w:val="22"/>
                <w:szCs w:val="22"/>
                <w:highlight w:val="none"/>
                <w:u w:val="none"/>
              </w:rPr>
            </w:pPr>
          </w:p>
        </w:tc>
        <w:tc>
          <w:tcPr>
            <w:tcW w:w="2460" w:type="dxa"/>
            <w:tcBorders>
              <w:top w:val="nil"/>
              <w:left w:val="nil"/>
              <w:bottom w:val="nil"/>
              <w:right w:val="nil"/>
            </w:tcBorders>
            <w:shd w:val="clear" w:color="auto" w:fill="FFFFFF"/>
            <w:vAlign w:val="bottom"/>
          </w:tcPr>
          <w:p w14:paraId="32F64D37">
            <w:pPr>
              <w:rPr>
                <w:rFonts w:hint="eastAsia" w:ascii="宋体" w:hAnsi="宋体" w:eastAsia="宋体" w:cs="宋体"/>
                <w:i w:val="0"/>
                <w:iCs w:val="0"/>
                <w:color w:val="auto"/>
                <w:sz w:val="22"/>
                <w:szCs w:val="22"/>
                <w:highlight w:val="none"/>
                <w:u w:val="none"/>
              </w:rPr>
            </w:pPr>
          </w:p>
        </w:tc>
        <w:tc>
          <w:tcPr>
            <w:tcW w:w="1600" w:type="dxa"/>
            <w:tcBorders>
              <w:top w:val="nil"/>
              <w:left w:val="nil"/>
              <w:bottom w:val="nil"/>
              <w:right w:val="nil"/>
            </w:tcBorders>
            <w:shd w:val="clear" w:color="auto" w:fill="FFFFFF"/>
            <w:vAlign w:val="bottom"/>
          </w:tcPr>
          <w:p w14:paraId="5BFFB423">
            <w:pPr>
              <w:rPr>
                <w:rFonts w:hint="eastAsia" w:ascii="宋体" w:hAnsi="宋体" w:eastAsia="宋体" w:cs="宋体"/>
                <w:i w:val="0"/>
                <w:iCs w:val="0"/>
                <w:color w:val="auto"/>
                <w:sz w:val="22"/>
                <w:szCs w:val="22"/>
                <w:highlight w:val="none"/>
                <w:u w:val="none"/>
              </w:rPr>
            </w:pPr>
          </w:p>
        </w:tc>
        <w:tc>
          <w:tcPr>
            <w:tcW w:w="1000" w:type="dxa"/>
            <w:tcBorders>
              <w:top w:val="nil"/>
              <w:left w:val="nil"/>
              <w:bottom w:val="nil"/>
              <w:right w:val="nil"/>
            </w:tcBorders>
            <w:shd w:val="clear" w:color="auto" w:fill="FFFFFF"/>
            <w:vAlign w:val="bottom"/>
          </w:tcPr>
          <w:p w14:paraId="3D51B4BA">
            <w:pPr>
              <w:rPr>
                <w:rFonts w:hint="eastAsia" w:ascii="宋体" w:hAnsi="宋体" w:eastAsia="宋体" w:cs="宋体"/>
                <w:i w:val="0"/>
                <w:iCs w:val="0"/>
                <w:color w:val="auto"/>
                <w:sz w:val="22"/>
                <w:szCs w:val="22"/>
                <w:highlight w:val="none"/>
                <w:u w:val="none"/>
              </w:rPr>
            </w:pPr>
          </w:p>
        </w:tc>
        <w:tc>
          <w:tcPr>
            <w:tcW w:w="800" w:type="dxa"/>
            <w:tcBorders>
              <w:top w:val="nil"/>
              <w:left w:val="nil"/>
              <w:bottom w:val="nil"/>
              <w:right w:val="nil"/>
            </w:tcBorders>
            <w:shd w:val="clear" w:color="auto" w:fill="FFFFFF"/>
            <w:vAlign w:val="bottom"/>
          </w:tcPr>
          <w:p w14:paraId="038950BF">
            <w:pPr>
              <w:rPr>
                <w:rFonts w:hint="eastAsia" w:ascii="宋体" w:hAnsi="宋体" w:eastAsia="宋体" w:cs="宋体"/>
                <w:i w:val="0"/>
                <w:iCs w:val="0"/>
                <w:color w:val="auto"/>
                <w:sz w:val="22"/>
                <w:szCs w:val="22"/>
                <w:highlight w:val="none"/>
                <w:u w:val="none"/>
              </w:rPr>
            </w:pPr>
          </w:p>
        </w:tc>
        <w:tc>
          <w:tcPr>
            <w:tcW w:w="400" w:type="dxa"/>
            <w:tcBorders>
              <w:top w:val="nil"/>
              <w:left w:val="nil"/>
              <w:bottom w:val="nil"/>
              <w:right w:val="nil"/>
            </w:tcBorders>
            <w:shd w:val="clear" w:color="auto" w:fill="FFFFFF"/>
            <w:vAlign w:val="bottom"/>
          </w:tcPr>
          <w:p w14:paraId="104441C1">
            <w:pPr>
              <w:rPr>
                <w:rFonts w:hint="eastAsia" w:ascii="宋体" w:hAnsi="宋体" w:eastAsia="宋体" w:cs="宋体"/>
                <w:i w:val="0"/>
                <w:iCs w:val="0"/>
                <w:color w:val="auto"/>
                <w:sz w:val="22"/>
                <w:szCs w:val="22"/>
                <w:highlight w:val="none"/>
                <w:u w:val="none"/>
              </w:rPr>
            </w:pPr>
          </w:p>
        </w:tc>
        <w:tc>
          <w:tcPr>
            <w:tcW w:w="600" w:type="dxa"/>
            <w:tcBorders>
              <w:top w:val="nil"/>
              <w:left w:val="nil"/>
              <w:bottom w:val="nil"/>
              <w:right w:val="nil"/>
            </w:tcBorders>
            <w:shd w:val="clear" w:color="auto" w:fill="FFFFFF"/>
            <w:vAlign w:val="bottom"/>
          </w:tcPr>
          <w:p w14:paraId="4C58AFA1">
            <w:pPr>
              <w:rPr>
                <w:rFonts w:hint="eastAsia" w:ascii="宋体" w:hAnsi="宋体" w:eastAsia="宋体" w:cs="宋体"/>
                <w:i w:val="0"/>
                <w:iCs w:val="0"/>
                <w:color w:val="auto"/>
                <w:sz w:val="22"/>
                <w:szCs w:val="22"/>
                <w:highlight w:val="none"/>
                <w:u w:val="none"/>
              </w:rPr>
            </w:pPr>
          </w:p>
        </w:tc>
        <w:tc>
          <w:tcPr>
            <w:tcW w:w="600" w:type="dxa"/>
            <w:tcBorders>
              <w:top w:val="nil"/>
              <w:left w:val="nil"/>
              <w:bottom w:val="nil"/>
              <w:right w:val="nil"/>
            </w:tcBorders>
            <w:shd w:val="clear" w:color="auto" w:fill="FFFFFF"/>
            <w:vAlign w:val="bottom"/>
          </w:tcPr>
          <w:p w14:paraId="20F0CD49">
            <w:pPr>
              <w:rPr>
                <w:rFonts w:hint="eastAsia" w:ascii="宋体" w:hAnsi="宋体" w:eastAsia="宋体" w:cs="宋体"/>
                <w:i w:val="0"/>
                <w:iCs w:val="0"/>
                <w:color w:val="auto"/>
                <w:sz w:val="22"/>
                <w:szCs w:val="22"/>
                <w:highlight w:val="none"/>
                <w:u w:val="none"/>
              </w:rPr>
            </w:pPr>
          </w:p>
        </w:tc>
        <w:tc>
          <w:tcPr>
            <w:tcW w:w="400" w:type="dxa"/>
            <w:tcBorders>
              <w:top w:val="nil"/>
              <w:left w:val="nil"/>
              <w:bottom w:val="nil"/>
              <w:right w:val="nil"/>
            </w:tcBorders>
            <w:shd w:val="clear" w:color="auto" w:fill="FFFFFF"/>
            <w:vAlign w:val="bottom"/>
          </w:tcPr>
          <w:p w14:paraId="0F071DA6">
            <w:pPr>
              <w:rPr>
                <w:rFonts w:hint="eastAsia" w:ascii="宋体" w:hAnsi="宋体" w:eastAsia="宋体" w:cs="宋体"/>
                <w:i w:val="0"/>
                <w:iCs w:val="0"/>
                <w:color w:val="auto"/>
                <w:sz w:val="22"/>
                <w:szCs w:val="22"/>
                <w:highlight w:val="none"/>
                <w:u w:val="none"/>
              </w:rPr>
            </w:pPr>
          </w:p>
        </w:tc>
        <w:tc>
          <w:tcPr>
            <w:tcW w:w="800" w:type="dxa"/>
            <w:tcBorders>
              <w:top w:val="nil"/>
              <w:left w:val="nil"/>
              <w:bottom w:val="nil"/>
              <w:right w:val="nil"/>
            </w:tcBorders>
            <w:shd w:val="clear" w:color="auto" w:fill="FFFFFF"/>
            <w:vAlign w:val="bottom"/>
          </w:tcPr>
          <w:p w14:paraId="74442977">
            <w:pPr>
              <w:rPr>
                <w:rFonts w:hint="eastAsia" w:ascii="宋体" w:hAnsi="宋体" w:eastAsia="宋体" w:cs="宋体"/>
                <w:i w:val="0"/>
                <w:iCs w:val="0"/>
                <w:color w:val="auto"/>
                <w:sz w:val="22"/>
                <w:szCs w:val="22"/>
                <w:highlight w:val="none"/>
                <w:u w:val="none"/>
              </w:rPr>
            </w:pPr>
          </w:p>
        </w:tc>
      </w:tr>
    </w:tbl>
    <w:p w14:paraId="0EA9BEB3">
      <w:pPr>
        <w:widowControl/>
        <w:ind w:left="42" w:right="42"/>
        <w:jc w:val="both"/>
        <w:rPr>
          <w:rFonts w:hint="eastAsia" w:ascii="宋体" w:hAnsi="宋体" w:eastAsia="宋体" w:cs="宋体"/>
          <w:color w:val="auto"/>
          <w:kern w:val="2"/>
          <w:sz w:val="24"/>
          <w:szCs w:val="24"/>
          <w:highlight w:val="none"/>
          <w:lang w:val="en-US" w:eastAsia="zh-CN" w:bidi="ar-SA"/>
        </w:rPr>
      </w:pPr>
    </w:p>
    <w:p w14:paraId="0B323181">
      <w:pPr>
        <w:widowControl/>
        <w:ind w:left="42" w:right="42"/>
        <w:jc w:val="both"/>
        <w:rPr>
          <w:rFonts w:hint="eastAsia" w:ascii="宋体" w:hAnsi="宋体" w:eastAsia="宋体" w:cs="宋体"/>
          <w:color w:val="auto"/>
          <w:kern w:val="2"/>
          <w:sz w:val="24"/>
          <w:szCs w:val="24"/>
          <w:highlight w:val="none"/>
          <w:lang w:val="en-US" w:eastAsia="zh-CN" w:bidi="ar-SA"/>
        </w:rPr>
      </w:pPr>
    </w:p>
    <w:p w14:paraId="054784C2">
      <w:pP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br w:type="page"/>
      </w:r>
    </w:p>
    <w:tbl>
      <w:tblPr>
        <w:tblStyle w:val="23"/>
        <w:tblW w:w="1084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62"/>
        <w:gridCol w:w="364"/>
        <w:gridCol w:w="581"/>
        <w:gridCol w:w="1870"/>
        <w:gridCol w:w="1385"/>
        <w:gridCol w:w="209"/>
        <w:gridCol w:w="997"/>
        <w:gridCol w:w="797"/>
        <w:gridCol w:w="399"/>
        <w:gridCol w:w="599"/>
        <w:gridCol w:w="389"/>
        <w:gridCol w:w="210"/>
        <w:gridCol w:w="399"/>
        <w:gridCol w:w="799"/>
        <w:gridCol w:w="107"/>
        <w:gridCol w:w="1080"/>
      </w:tblGrid>
      <w:tr w14:paraId="5155B4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1187" w:type="dxa"/>
          <w:trHeight w:val="530" w:hRule="atLeast"/>
          <w:jc w:val="center"/>
        </w:trPr>
        <w:tc>
          <w:tcPr>
            <w:tcW w:w="9660" w:type="dxa"/>
            <w:gridSpan w:val="14"/>
            <w:tcBorders>
              <w:top w:val="nil"/>
              <w:left w:val="nil"/>
              <w:bottom w:val="nil"/>
              <w:right w:val="nil"/>
            </w:tcBorders>
            <w:shd w:val="clear" w:color="auto" w:fill="FFFFFF"/>
            <w:vAlign w:val="top"/>
          </w:tcPr>
          <w:p w14:paraId="501D0186">
            <w:pPr>
              <w:keepNext w:val="0"/>
              <w:keepLines w:val="0"/>
              <w:widowControl/>
              <w:suppressLineNumbers w:val="0"/>
              <w:jc w:val="center"/>
              <w:textAlignment w:val="top"/>
              <w:rPr>
                <w:rFonts w:hint="eastAsia" w:ascii="宋体" w:hAnsi="宋体" w:eastAsia="宋体" w:cs="宋体"/>
                <w:b/>
                <w:bCs/>
                <w:i w:val="0"/>
                <w:iCs w:val="0"/>
                <w:color w:val="auto"/>
                <w:sz w:val="36"/>
                <w:szCs w:val="36"/>
                <w:highlight w:val="none"/>
                <w:u w:val="none"/>
              </w:rPr>
            </w:pPr>
            <w:r>
              <w:rPr>
                <w:rFonts w:hint="eastAsia" w:ascii="宋体" w:hAnsi="宋体" w:eastAsia="宋体" w:cs="宋体"/>
                <w:b/>
                <w:bCs/>
                <w:i w:val="0"/>
                <w:iCs w:val="0"/>
                <w:color w:val="auto"/>
                <w:kern w:val="0"/>
                <w:sz w:val="36"/>
                <w:szCs w:val="36"/>
                <w:highlight w:val="none"/>
                <w:u w:val="none"/>
                <w:lang w:val="en-US" w:eastAsia="zh-CN" w:bidi="ar"/>
              </w:rPr>
              <w:t>工程细目工程量清单</w:t>
            </w:r>
          </w:p>
        </w:tc>
      </w:tr>
      <w:tr w14:paraId="77F693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1187" w:type="dxa"/>
          <w:trHeight w:val="300" w:hRule="atLeast"/>
          <w:jc w:val="center"/>
        </w:trPr>
        <w:tc>
          <w:tcPr>
            <w:tcW w:w="9660" w:type="dxa"/>
            <w:gridSpan w:val="14"/>
            <w:tcBorders>
              <w:top w:val="nil"/>
              <w:left w:val="nil"/>
              <w:bottom w:val="nil"/>
              <w:right w:val="nil"/>
            </w:tcBorders>
            <w:shd w:val="clear" w:color="auto" w:fill="FFFFFF"/>
            <w:vAlign w:val="center"/>
          </w:tcPr>
          <w:p w14:paraId="5D469DCF">
            <w:pPr>
              <w:jc w:val="right"/>
              <w:rPr>
                <w:rFonts w:hint="eastAsia" w:ascii="宋体" w:hAnsi="宋体" w:eastAsia="宋体" w:cs="宋体"/>
                <w:i w:val="0"/>
                <w:iCs w:val="0"/>
                <w:color w:val="auto"/>
                <w:sz w:val="18"/>
                <w:szCs w:val="18"/>
                <w:highlight w:val="none"/>
                <w:u w:val="none"/>
              </w:rPr>
            </w:pPr>
          </w:p>
        </w:tc>
      </w:tr>
      <w:tr w14:paraId="5B34A9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1187" w:type="dxa"/>
          <w:trHeight w:val="90" w:hRule="atLeast"/>
          <w:jc w:val="center"/>
        </w:trPr>
        <w:tc>
          <w:tcPr>
            <w:tcW w:w="3477" w:type="dxa"/>
            <w:gridSpan w:val="4"/>
            <w:tcBorders>
              <w:top w:val="nil"/>
              <w:left w:val="nil"/>
              <w:bottom w:val="nil"/>
              <w:right w:val="nil"/>
            </w:tcBorders>
            <w:shd w:val="clear" w:color="auto" w:fill="FFFFFF"/>
            <w:vAlign w:val="center"/>
          </w:tcPr>
          <w:p w14:paraId="53F1FF3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项目名称：2026年新昌县G104京岚线关岭隧道上行维修加固工程</w:t>
            </w:r>
          </w:p>
        </w:tc>
        <w:tc>
          <w:tcPr>
            <w:tcW w:w="3388" w:type="dxa"/>
            <w:gridSpan w:val="4"/>
            <w:tcBorders>
              <w:top w:val="nil"/>
              <w:left w:val="nil"/>
              <w:bottom w:val="nil"/>
              <w:right w:val="nil"/>
            </w:tcBorders>
            <w:shd w:val="clear" w:color="auto" w:fill="FFFFFF"/>
            <w:vAlign w:val="center"/>
          </w:tcPr>
          <w:p w14:paraId="1F20153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合同段：2026年新昌县G104京岚线关岭隧道上行维修加固工程</w:t>
            </w:r>
          </w:p>
        </w:tc>
        <w:tc>
          <w:tcPr>
            <w:tcW w:w="998" w:type="dxa"/>
            <w:gridSpan w:val="2"/>
            <w:tcBorders>
              <w:top w:val="nil"/>
              <w:left w:val="nil"/>
              <w:bottom w:val="nil"/>
              <w:right w:val="nil"/>
            </w:tcBorders>
            <w:shd w:val="clear" w:color="auto" w:fill="FFFFFF"/>
            <w:vAlign w:val="center"/>
          </w:tcPr>
          <w:p w14:paraId="0BBDD5B6">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第 11 页</w:t>
            </w:r>
          </w:p>
        </w:tc>
        <w:tc>
          <w:tcPr>
            <w:tcW w:w="998" w:type="dxa"/>
            <w:gridSpan w:val="3"/>
            <w:tcBorders>
              <w:top w:val="nil"/>
              <w:left w:val="nil"/>
              <w:bottom w:val="nil"/>
              <w:right w:val="nil"/>
            </w:tcBorders>
            <w:shd w:val="clear" w:color="auto" w:fill="FFFFFF"/>
            <w:vAlign w:val="center"/>
          </w:tcPr>
          <w:p w14:paraId="1B6A54E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共 11 页</w:t>
            </w:r>
          </w:p>
        </w:tc>
        <w:tc>
          <w:tcPr>
            <w:tcW w:w="799" w:type="dxa"/>
            <w:tcBorders>
              <w:top w:val="nil"/>
              <w:left w:val="nil"/>
              <w:bottom w:val="nil"/>
              <w:right w:val="nil"/>
            </w:tcBorders>
            <w:shd w:val="clear" w:color="auto" w:fill="FFFFFF"/>
            <w:vAlign w:val="center"/>
          </w:tcPr>
          <w:p w14:paraId="73D36DB7">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表4</w:t>
            </w:r>
          </w:p>
        </w:tc>
      </w:tr>
      <w:tr w14:paraId="123E81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1187" w:type="dxa"/>
          <w:trHeight w:val="440" w:hRule="atLeast"/>
          <w:jc w:val="center"/>
        </w:trPr>
        <w:tc>
          <w:tcPr>
            <w:tcW w:w="9660" w:type="dxa"/>
            <w:gridSpan w:val="14"/>
            <w:tcBorders>
              <w:top w:val="single" w:color="000000" w:sz="8" w:space="0"/>
              <w:left w:val="single" w:color="000000" w:sz="8" w:space="0"/>
              <w:bottom w:val="single" w:color="000000" w:sz="4" w:space="0"/>
              <w:right w:val="single" w:color="000000" w:sz="8" w:space="0"/>
            </w:tcBorders>
            <w:shd w:val="clear" w:color="auto" w:fill="FFFFFF"/>
            <w:vAlign w:val="center"/>
          </w:tcPr>
          <w:p w14:paraId="3A52E5CB">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机电工程</w:t>
            </w:r>
          </w:p>
        </w:tc>
      </w:tr>
      <w:tr w14:paraId="29166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1187" w:type="dxa"/>
          <w:trHeight w:val="340" w:hRule="atLeast"/>
          <w:jc w:val="center"/>
        </w:trPr>
        <w:tc>
          <w:tcPr>
            <w:tcW w:w="1026" w:type="dxa"/>
            <w:gridSpan w:val="2"/>
            <w:tcBorders>
              <w:top w:val="nil"/>
              <w:left w:val="single" w:color="000000" w:sz="8" w:space="0"/>
              <w:bottom w:val="single" w:color="000000" w:sz="4" w:space="0"/>
              <w:right w:val="single" w:color="000000" w:sz="4" w:space="0"/>
            </w:tcBorders>
            <w:shd w:val="clear" w:color="auto" w:fill="FFFFFF"/>
            <w:vAlign w:val="center"/>
          </w:tcPr>
          <w:p w14:paraId="530C883A">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细目号</w:t>
            </w:r>
          </w:p>
        </w:tc>
        <w:tc>
          <w:tcPr>
            <w:tcW w:w="4045" w:type="dxa"/>
            <w:gridSpan w:val="4"/>
            <w:tcBorders>
              <w:top w:val="nil"/>
              <w:left w:val="nil"/>
              <w:bottom w:val="single" w:color="000000" w:sz="4" w:space="0"/>
              <w:right w:val="single" w:color="000000" w:sz="4" w:space="0"/>
            </w:tcBorders>
            <w:shd w:val="clear" w:color="auto" w:fill="FFFFFF"/>
            <w:vAlign w:val="center"/>
          </w:tcPr>
          <w:p w14:paraId="70D5A007">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细目名称</w:t>
            </w:r>
          </w:p>
        </w:tc>
        <w:tc>
          <w:tcPr>
            <w:tcW w:w="997" w:type="dxa"/>
            <w:tcBorders>
              <w:top w:val="nil"/>
              <w:left w:val="nil"/>
              <w:bottom w:val="single" w:color="000000" w:sz="4" w:space="0"/>
              <w:right w:val="single" w:color="000000" w:sz="4" w:space="0"/>
            </w:tcBorders>
            <w:shd w:val="clear" w:color="auto" w:fill="FFFFFF"/>
            <w:vAlign w:val="center"/>
          </w:tcPr>
          <w:p w14:paraId="5EAA7389">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计量单位</w:t>
            </w:r>
          </w:p>
        </w:tc>
        <w:tc>
          <w:tcPr>
            <w:tcW w:w="1196" w:type="dxa"/>
            <w:gridSpan w:val="2"/>
            <w:tcBorders>
              <w:top w:val="nil"/>
              <w:left w:val="nil"/>
              <w:bottom w:val="single" w:color="000000" w:sz="4" w:space="0"/>
              <w:right w:val="single" w:color="000000" w:sz="4" w:space="0"/>
            </w:tcBorders>
            <w:shd w:val="clear" w:color="auto" w:fill="FFFFFF"/>
            <w:vAlign w:val="center"/>
          </w:tcPr>
          <w:p w14:paraId="117CB123">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工程数量</w:t>
            </w:r>
          </w:p>
        </w:tc>
        <w:tc>
          <w:tcPr>
            <w:tcW w:w="1198" w:type="dxa"/>
            <w:gridSpan w:val="3"/>
            <w:tcBorders>
              <w:top w:val="nil"/>
              <w:left w:val="nil"/>
              <w:bottom w:val="single" w:color="000000" w:sz="4" w:space="0"/>
              <w:right w:val="single" w:color="000000" w:sz="4" w:space="0"/>
            </w:tcBorders>
            <w:shd w:val="clear" w:color="auto" w:fill="FFFFFF"/>
            <w:vAlign w:val="center"/>
          </w:tcPr>
          <w:p w14:paraId="595327F8">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单价（元）</w:t>
            </w:r>
          </w:p>
        </w:tc>
        <w:tc>
          <w:tcPr>
            <w:tcW w:w="1198" w:type="dxa"/>
            <w:gridSpan w:val="2"/>
            <w:tcBorders>
              <w:top w:val="nil"/>
              <w:left w:val="nil"/>
              <w:bottom w:val="single" w:color="000000" w:sz="4" w:space="0"/>
              <w:right w:val="single" w:color="000000" w:sz="8" w:space="0"/>
            </w:tcBorders>
            <w:shd w:val="clear" w:color="auto" w:fill="FFFFFF"/>
            <w:vAlign w:val="center"/>
          </w:tcPr>
          <w:p w14:paraId="32D4709B">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合价（元）</w:t>
            </w:r>
          </w:p>
        </w:tc>
      </w:tr>
      <w:tr w14:paraId="10CDF9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1187" w:type="dxa"/>
          <w:trHeight w:val="300" w:hRule="atLeast"/>
          <w:jc w:val="center"/>
        </w:trPr>
        <w:tc>
          <w:tcPr>
            <w:tcW w:w="1026" w:type="dxa"/>
            <w:gridSpan w:val="2"/>
            <w:tcBorders>
              <w:top w:val="nil"/>
              <w:left w:val="single" w:color="000000" w:sz="8" w:space="0"/>
              <w:bottom w:val="single" w:color="000000" w:sz="4" w:space="0"/>
              <w:right w:val="single" w:color="000000" w:sz="4" w:space="0"/>
            </w:tcBorders>
            <w:shd w:val="clear" w:color="auto" w:fill="FFFFFF"/>
            <w:vAlign w:val="center"/>
          </w:tcPr>
          <w:p w14:paraId="2B9063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TS608-1-e</w:t>
            </w:r>
          </w:p>
        </w:tc>
        <w:tc>
          <w:tcPr>
            <w:tcW w:w="4045" w:type="dxa"/>
            <w:gridSpan w:val="4"/>
            <w:tcBorders>
              <w:top w:val="nil"/>
              <w:left w:val="nil"/>
              <w:bottom w:val="single" w:color="000000" w:sz="4" w:space="0"/>
              <w:right w:val="single" w:color="000000" w:sz="4" w:space="0"/>
            </w:tcBorders>
            <w:shd w:val="clear" w:color="auto" w:fill="FFFFFF"/>
            <w:vAlign w:val="center"/>
          </w:tcPr>
          <w:p w14:paraId="3BF0D84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WDZBN-YJY-4*95</w:t>
            </w:r>
          </w:p>
        </w:tc>
        <w:tc>
          <w:tcPr>
            <w:tcW w:w="997" w:type="dxa"/>
            <w:tcBorders>
              <w:top w:val="nil"/>
              <w:left w:val="nil"/>
              <w:bottom w:val="single" w:color="000000" w:sz="4" w:space="0"/>
              <w:right w:val="single" w:color="000000" w:sz="4" w:space="0"/>
            </w:tcBorders>
            <w:shd w:val="clear" w:color="auto" w:fill="FFFFFF"/>
            <w:vAlign w:val="center"/>
          </w:tcPr>
          <w:p w14:paraId="41869A4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196" w:type="dxa"/>
            <w:gridSpan w:val="2"/>
            <w:tcBorders>
              <w:top w:val="nil"/>
              <w:left w:val="nil"/>
              <w:bottom w:val="single" w:color="000000" w:sz="4" w:space="0"/>
              <w:right w:val="single" w:color="000000" w:sz="4" w:space="0"/>
            </w:tcBorders>
            <w:shd w:val="clear" w:color="auto" w:fill="FFFFFF"/>
            <w:vAlign w:val="center"/>
          </w:tcPr>
          <w:p w14:paraId="55F9534F">
            <w:pPr>
              <w:keepNext w:val="0"/>
              <w:keepLines w:val="0"/>
              <w:widowControl/>
              <w:suppressLineNumbers w:val="0"/>
              <w:jc w:val="right"/>
              <w:textAlignment w:val="center"/>
              <w:rPr>
                <w:rFonts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30</w:t>
            </w:r>
          </w:p>
        </w:tc>
        <w:tc>
          <w:tcPr>
            <w:tcW w:w="1198" w:type="dxa"/>
            <w:gridSpan w:val="3"/>
            <w:tcBorders>
              <w:top w:val="nil"/>
              <w:left w:val="nil"/>
              <w:bottom w:val="single" w:color="000000" w:sz="4" w:space="0"/>
              <w:right w:val="single" w:color="000000" w:sz="4" w:space="0"/>
            </w:tcBorders>
            <w:shd w:val="clear" w:color="auto" w:fill="FFFFFF"/>
            <w:vAlign w:val="center"/>
          </w:tcPr>
          <w:p w14:paraId="60D7AC74">
            <w:pPr>
              <w:jc w:val="right"/>
              <w:rPr>
                <w:rFonts w:hint="default" w:ascii="Arial Narrow" w:hAnsi="Arial Narrow" w:eastAsia="Arial Narrow" w:cs="Arial Narrow"/>
                <w:i w:val="0"/>
                <w:iCs w:val="0"/>
                <w:color w:val="auto"/>
                <w:sz w:val="18"/>
                <w:szCs w:val="18"/>
                <w:highlight w:val="none"/>
                <w:u w:val="none"/>
              </w:rPr>
            </w:pPr>
          </w:p>
        </w:tc>
        <w:tc>
          <w:tcPr>
            <w:tcW w:w="1198" w:type="dxa"/>
            <w:gridSpan w:val="2"/>
            <w:tcBorders>
              <w:top w:val="nil"/>
              <w:left w:val="nil"/>
              <w:bottom w:val="single" w:color="000000" w:sz="4" w:space="0"/>
              <w:right w:val="single" w:color="000000" w:sz="8" w:space="0"/>
            </w:tcBorders>
            <w:shd w:val="clear" w:color="auto" w:fill="FFFFFF"/>
            <w:vAlign w:val="center"/>
          </w:tcPr>
          <w:p w14:paraId="6887F791">
            <w:pPr>
              <w:jc w:val="right"/>
              <w:rPr>
                <w:rFonts w:hint="default" w:ascii="Arial Narrow" w:hAnsi="Arial Narrow" w:eastAsia="Arial Narrow" w:cs="Arial Narrow"/>
                <w:i w:val="0"/>
                <w:iCs w:val="0"/>
                <w:color w:val="auto"/>
                <w:sz w:val="18"/>
                <w:szCs w:val="18"/>
                <w:highlight w:val="none"/>
                <w:u w:val="none"/>
              </w:rPr>
            </w:pPr>
          </w:p>
        </w:tc>
      </w:tr>
      <w:tr w14:paraId="77716E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1187" w:type="dxa"/>
          <w:trHeight w:val="300" w:hRule="atLeast"/>
          <w:jc w:val="center"/>
        </w:trPr>
        <w:tc>
          <w:tcPr>
            <w:tcW w:w="1026" w:type="dxa"/>
            <w:gridSpan w:val="2"/>
            <w:tcBorders>
              <w:top w:val="nil"/>
              <w:left w:val="single" w:color="000000" w:sz="8" w:space="0"/>
              <w:bottom w:val="single" w:color="000000" w:sz="4" w:space="0"/>
              <w:right w:val="single" w:color="000000" w:sz="4" w:space="0"/>
            </w:tcBorders>
            <w:shd w:val="clear" w:color="auto" w:fill="FFFFFF"/>
            <w:vAlign w:val="center"/>
          </w:tcPr>
          <w:p w14:paraId="68CD236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TS608-1-e</w:t>
            </w:r>
          </w:p>
        </w:tc>
        <w:tc>
          <w:tcPr>
            <w:tcW w:w="4045" w:type="dxa"/>
            <w:gridSpan w:val="4"/>
            <w:tcBorders>
              <w:top w:val="nil"/>
              <w:left w:val="nil"/>
              <w:bottom w:val="single" w:color="000000" w:sz="4" w:space="0"/>
              <w:right w:val="single" w:color="000000" w:sz="4" w:space="0"/>
            </w:tcBorders>
            <w:shd w:val="clear" w:color="auto" w:fill="FFFFFF"/>
            <w:vAlign w:val="center"/>
          </w:tcPr>
          <w:p w14:paraId="05E2177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WDZBN-YJY-5*10</w:t>
            </w:r>
          </w:p>
        </w:tc>
        <w:tc>
          <w:tcPr>
            <w:tcW w:w="997" w:type="dxa"/>
            <w:tcBorders>
              <w:top w:val="nil"/>
              <w:left w:val="nil"/>
              <w:bottom w:val="single" w:color="000000" w:sz="4" w:space="0"/>
              <w:right w:val="single" w:color="000000" w:sz="4" w:space="0"/>
            </w:tcBorders>
            <w:shd w:val="clear" w:color="auto" w:fill="FFFFFF"/>
            <w:vAlign w:val="center"/>
          </w:tcPr>
          <w:p w14:paraId="2C36103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196" w:type="dxa"/>
            <w:gridSpan w:val="2"/>
            <w:tcBorders>
              <w:top w:val="nil"/>
              <w:left w:val="nil"/>
              <w:bottom w:val="single" w:color="000000" w:sz="4" w:space="0"/>
              <w:right w:val="single" w:color="000000" w:sz="4" w:space="0"/>
            </w:tcBorders>
            <w:shd w:val="clear" w:color="auto" w:fill="FFFFFF"/>
            <w:vAlign w:val="center"/>
          </w:tcPr>
          <w:p w14:paraId="20189403">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500</w:t>
            </w:r>
          </w:p>
        </w:tc>
        <w:tc>
          <w:tcPr>
            <w:tcW w:w="1198" w:type="dxa"/>
            <w:gridSpan w:val="3"/>
            <w:tcBorders>
              <w:top w:val="nil"/>
              <w:left w:val="nil"/>
              <w:bottom w:val="single" w:color="000000" w:sz="4" w:space="0"/>
              <w:right w:val="single" w:color="000000" w:sz="4" w:space="0"/>
            </w:tcBorders>
            <w:shd w:val="clear" w:color="auto" w:fill="FFFFFF"/>
            <w:vAlign w:val="center"/>
          </w:tcPr>
          <w:p w14:paraId="5AB65FB4">
            <w:pPr>
              <w:jc w:val="right"/>
              <w:rPr>
                <w:rFonts w:hint="default" w:ascii="Arial Narrow" w:hAnsi="Arial Narrow" w:eastAsia="Arial Narrow" w:cs="Arial Narrow"/>
                <w:i w:val="0"/>
                <w:iCs w:val="0"/>
                <w:color w:val="auto"/>
                <w:sz w:val="18"/>
                <w:szCs w:val="18"/>
                <w:highlight w:val="none"/>
                <w:u w:val="none"/>
              </w:rPr>
            </w:pPr>
          </w:p>
        </w:tc>
        <w:tc>
          <w:tcPr>
            <w:tcW w:w="1198" w:type="dxa"/>
            <w:gridSpan w:val="2"/>
            <w:tcBorders>
              <w:top w:val="nil"/>
              <w:left w:val="nil"/>
              <w:bottom w:val="single" w:color="000000" w:sz="4" w:space="0"/>
              <w:right w:val="single" w:color="000000" w:sz="8" w:space="0"/>
            </w:tcBorders>
            <w:shd w:val="clear" w:color="auto" w:fill="FFFFFF"/>
            <w:vAlign w:val="center"/>
          </w:tcPr>
          <w:p w14:paraId="3186A8D6">
            <w:pPr>
              <w:jc w:val="right"/>
              <w:rPr>
                <w:rFonts w:hint="default" w:ascii="Arial Narrow" w:hAnsi="Arial Narrow" w:eastAsia="Arial Narrow" w:cs="Arial Narrow"/>
                <w:i w:val="0"/>
                <w:iCs w:val="0"/>
                <w:color w:val="auto"/>
                <w:sz w:val="18"/>
                <w:szCs w:val="18"/>
                <w:highlight w:val="none"/>
                <w:u w:val="none"/>
              </w:rPr>
            </w:pPr>
          </w:p>
        </w:tc>
      </w:tr>
      <w:tr w14:paraId="4B5F6B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1187" w:type="dxa"/>
          <w:trHeight w:val="300" w:hRule="atLeast"/>
          <w:jc w:val="center"/>
        </w:trPr>
        <w:tc>
          <w:tcPr>
            <w:tcW w:w="1026" w:type="dxa"/>
            <w:gridSpan w:val="2"/>
            <w:tcBorders>
              <w:top w:val="nil"/>
              <w:left w:val="single" w:color="000000" w:sz="8" w:space="0"/>
              <w:bottom w:val="single" w:color="000000" w:sz="4" w:space="0"/>
              <w:right w:val="single" w:color="000000" w:sz="4" w:space="0"/>
            </w:tcBorders>
            <w:shd w:val="clear" w:color="auto" w:fill="FFFFFF"/>
            <w:vAlign w:val="center"/>
          </w:tcPr>
          <w:p w14:paraId="772044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TS608-1-f</w:t>
            </w:r>
          </w:p>
        </w:tc>
        <w:tc>
          <w:tcPr>
            <w:tcW w:w="4045" w:type="dxa"/>
            <w:gridSpan w:val="4"/>
            <w:tcBorders>
              <w:top w:val="nil"/>
              <w:left w:val="nil"/>
              <w:bottom w:val="single" w:color="000000" w:sz="4" w:space="0"/>
              <w:right w:val="single" w:color="000000" w:sz="4" w:space="0"/>
            </w:tcBorders>
            <w:shd w:val="clear" w:color="auto" w:fill="FFFFFF"/>
            <w:vAlign w:val="center"/>
          </w:tcPr>
          <w:p w14:paraId="2F0D792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NH-YJV22-3*2.5</w:t>
            </w:r>
          </w:p>
        </w:tc>
        <w:tc>
          <w:tcPr>
            <w:tcW w:w="997" w:type="dxa"/>
            <w:tcBorders>
              <w:top w:val="nil"/>
              <w:left w:val="nil"/>
              <w:bottom w:val="single" w:color="000000" w:sz="4" w:space="0"/>
              <w:right w:val="single" w:color="000000" w:sz="4" w:space="0"/>
            </w:tcBorders>
            <w:shd w:val="clear" w:color="auto" w:fill="FFFFFF"/>
            <w:vAlign w:val="center"/>
          </w:tcPr>
          <w:p w14:paraId="3C177C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196" w:type="dxa"/>
            <w:gridSpan w:val="2"/>
            <w:tcBorders>
              <w:top w:val="nil"/>
              <w:left w:val="nil"/>
              <w:bottom w:val="single" w:color="000000" w:sz="4" w:space="0"/>
              <w:right w:val="single" w:color="000000" w:sz="4" w:space="0"/>
            </w:tcBorders>
            <w:shd w:val="clear" w:color="auto" w:fill="FFFFFF"/>
            <w:vAlign w:val="center"/>
          </w:tcPr>
          <w:p w14:paraId="373BA479">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800</w:t>
            </w:r>
          </w:p>
        </w:tc>
        <w:tc>
          <w:tcPr>
            <w:tcW w:w="1198" w:type="dxa"/>
            <w:gridSpan w:val="3"/>
            <w:tcBorders>
              <w:top w:val="nil"/>
              <w:left w:val="nil"/>
              <w:bottom w:val="single" w:color="000000" w:sz="4" w:space="0"/>
              <w:right w:val="single" w:color="000000" w:sz="4" w:space="0"/>
            </w:tcBorders>
            <w:shd w:val="clear" w:color="auto" w:fill="FFFFFF"/>
            <w:vAlign w:val="center"/>
          </w:tcPr>
          <w:p w14:paraId="6BD25052">
            <w:pPr>
              <w:jc w:val="right"/>
              <w:rPr>
                <w:rFonts w:hint="default" w:ascii="Arial Narrow" w:hAnsi="Arial Narrow" w:eastAsia="Arial Narrow" w:cs="Arial Narrow"/>
                <w:i w:val="0"/>
                <w:iCs w:val="0"/>
                <w:color w:val="auto"/>
                <w:sz w:val="18"/>
                <w:szCs w:val="18"/>
                <w:highlight w:val="none"/>
                <w:u w:val="none"/>
              </w:rPr>
            </w:pPr>
          </w:p>
        </w:tc>
        <w:tc>
          <w:tcPr>
            <w:tcW w:w="1198" w:type="dxa"/>
            <w:gridSpan w:val="2"/>
            <w:tcBorders>
              <w:top w:val="nil"/>
              <w:left w:val="nil"/>
              <w:bottom w:val="single" w:color="000000" w:sz="4" w:space="0"/>
              <w:right w:val="single" w:color="000000" w:sz="8" w:space="0"/>
            </w:tcBorders>
            <w:shd w:val="clear" w:color="auto" w:fill="FFFFFF"/>
            <w:vAlign w:val="center"/>
          </w:tcPr>
          <w:p w14:paraId="1A0DC826">
            <w:pPr>
              <w:jc w:val="right"/>
              <w:rPr>
                <w:rFonts w:hint="default" w:ascii="Arial Narrow" w:hAnsi="Arial Narrow" w:eastAsia="Arial Narrow" w:cs="Arial Narrow"/>
                <w:i w:val="0"/>
                <w:iCs w:val="0"/>
                <w:color w:val="auto"/>
                <w:sz w:val="18"/>
                <w:szCs w:val="18"/>
                <w:highlight w:val="none"/>
                <w:u w:val="none"/>
              </w:rPr>
            </w:pPr>
          </w:p>
        </w:tc>
      </w:tr>
      <w:tr w14:paraId="1F4916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1187" w:type="dxa"/>
          <w:trHeight w:val="300" w:hRule="atLeast"/>
          <w:jc w:val="center"/>
        </w:trPr>
        <w:tc>
          <w:tcPr>
            <w:tcW w:w="1026" w:type="dxa"/>
            <w:gridSpan w:val="2"/>
            <w:tcBorders>
              <w:top w:val="nil"/>
              <w:left w:val="single" w:color="000000" w:sz="8" w:space="0"/>
              <w:bottom w:val="single" w:color="000000" w:sz="4" w:space="0"/>
              <w:right w:val="single" w:color="000000" w:sz="4" w:space="0"/>
            </w:tcBorders>
            <w:shd w:val="clear" w:color="auto" w:fill="FFFFFF"/>
            <w:vAlign w:val="center"/>
          </w:tcPr>
          <w:p w14:paraId="61C03B7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TS608-2</w:t>
            </w:r>
          </w:p>
        </w:tc>
        <w:tc>
          <w:tcPr>
            <w:tcW w:w="4045" w:type="dxa"/>
            <w:gridSpan w:val="4"/>
            <w:tcBorders>
              <w:top w:val="nil"/>
              <w:left w:val="nil"/>
              <w:bottom w:val="single" w:color="000000" w:sz="4" w:space="0"/>
              <w:right w:val="single" w:color="000000" w:sz="4" w:space="0"/>
            </w:tcBorders>
            <w:shd w:val="clear" w:color="auto" w:fill="FFFFFF"/>
            <w:vAlign w:val="center"/>
          </w:tcPr>
          <w:p w14:paraId="1611E4D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管材</w:t>
            </w:r>
          </w:p>
        </w:tc>
        <w:tc>
          <w:tcPr>
            <w:tcW w:w="997" w:type="dxa"/>
            <w:tcBorders>
              <w:top w:val="nil"/>
              <w:left w:val="nil"/>
              <w:bottom w:val="single" w:color="000000" w:sz="4" w:space="0"/>
              <w:right w:val="single" w:color="000000" w:sz="4" w:space="0"/>
            </w:tcBorders>
            <w:shd w:val="clear" w:color="auto" w:fill="FFFFFF"/>
            <w:vAlign w:val="center"/>
          </w:tcPr>
          <w:p w14:paraId="47A51161">
            <w:pPr>
              <w:jc w:val="center"/>
              <w:rPr>
                <w:rFonts w:hint="eastAsia" w:ascii="宋体" w:hAnsi="宋体" w:eastAsia="宋体" w:cs="宋体"/>
                <w:i w:val="0"/>
                <w:iCs w:val="0"/>
                <w:color w:val="auto"/>
                <w:sz w:val="18"/>
                <w:szCs w:val="18"/>
                <w:highlight w:val="none"/>
                <w:u w:val="none"/>
              </w:rPr>
            </w:pPr>
          </w:p>
        </w:tc>
        <w:tc>
          <w:tcPr>
            <w:tcW w:w="1196" w:type="dxa"/>
            <w:gridSpan w:val="2"/>
            <w:tcBorders>
              <w:top w:val="nil"/>
              <w:left w:val="nil"/>
              <w:bottom w:val="single" w:color="000000" w:sz="4" w:space="0"/>
              <w:right w:val="single" w:color="000000" w:sz="4" w:space="0"/>
            </w:tcBorders>
            <w:shd w:val="clear" w:color="auto" w:fill="FFFFFF"/>
            <w:vAlign w:val="center"/>
          </w:tcPr>
          <w:p w14:paraId="12333CAB">
            <w:pPr>
              <w:jc w:val="right"/>
              <w:rPr>
                <w:rFonts w:hint="default" w:ascii="Arial Narrow" w:hAnsi="Arial Narrow" w:eastAsia="Arial Narrow" w:cs="Arial Narrow"/>
                <w:i w:val="0"/>
                <w:iCs w:val="0"/>
                <w:color w:val="auto"/>
                <w:sz w:val="18"/>
                <w:szCs w:val="18"/>
                <w:highlight w:val="none"/>
                <w:u w:val="none"/>
              </w:rPr>
            </w:pPr>
          </w:p>
        </w:tc>
        <w:tc>
          <w:tcPr>
            <w:tcW w:w="1198" w:type="dxa"/>
            <w:gridSpan w:val="3"/>
            <w:tcBorders>
              <w:top w:val="nil"/>
              <w:left w:val="nil"/>
              <w:bottom w:val="single" w:color="000000" w:sz="4" w:space="0"/>
              <w:right w:val="single" w:color="000000" w:sz="4" w:space="0"/>
            </w:tcBorders>
            <w:shd w:val="clear" w:color="auto" w:fill="FFFFFF"/>
            <w:vAlign w:val="center"/>
          </w:tcPr>
          <w:p w14:paraId="00A9C53C">
            <w:pPr>
              <w:jc w:val="right"/>
              <w:rPr>
                <w:rFonts w:hint="default" w:ascii="Arial Narrow" w:hAnsi="Arial Narrow" w:eastAsia="Arial Narrow" w:cs="Arial Narrow"/>
                <w:i w:val="0"/>
                <w:iCs w:val="0"/>
                <w:color w:val="auto"/>
                <w:sz w:val="18"/>
                <w:szCs w:val="18"/>
                <w:highlight w:val="none"/>
                <w:u w:val="none"/>
              </w:rPr>
            </w:pPr>
          </w:p>
        </w:tc>
        <w:tc>
          <w:tcPr>
            <w:tcW w:w="1198" w:type="dxa"/>
            <w:gridSpan w:val="2"/>
            <w:tcBorders>
              <w:top w:val="nil"/>
              <w:left w:val="nil"/>
              <w:bottom w:val="single" w:color="000000" w:sz="4" w:space="0"/>
              <w:right w:val="single" w:color="000000" w:sz="8" w:space="0"/>
            </w:tcBorders>
            <w:shd w:val="clear" w:color="auto" w:fill="FFFFFF"/>
            <w:vAlign w:val="center"/>
          </w:tcPr>
          <w:p w14:paraId="56BB7373">
            <w:pPr>
              <w:jc w:val="right"/>
              <w:rPr>
                <w:rFonts w:hint="default" w:ascii="Arial Narrow" w:hAnsi="Arial Narrow" w:eastAsia="Arial Narrow" w:cs="Arial Narrow"/>
                <w:i w:val="0"/>
                <w:iCs w:val="0"/>
                <w:color w:val="auto"/>
                <w:sz w:val="18"/>
                <w:szCs w:val="18"/>
                <w:highlight w:val="none"/>
                <w:u w:val="none"/>
              </w:rPr>
            </w:pPr>
          </w:p>
        </w:tc>
      </w:tr>
      <w:tr w14:paraId="652A21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1187" w:type="dxa"/>
          <w:trHeight w:val="300" w:hRule="atLeast"/>
          <w:jc w:val="center"/>
        </w:trPr>
        <w:tc>
          <w:tcPr>
            <w:tcW w:w="1026" w:type="dxa"/>
            <w:gridSpan w:val="2"/>
            <w:tcBorders>
              <w:top w:val="nil"/>
              <w:left w:val="single" w:color="000000" w:sz="8" w:space="0"/>
              <w:bottom w:val="single" w:color="000000" w:sz="4" w:space="0"/>
              <w:right w:val="single" w:color="000000" w:sz="4" w:space="0"/>
            </w:tcBorders>
            <w:shd w:val="clear" w:color="auto" w:fill="FFFFFF"/>
            <w:vAlign w:val="center"/>
          </w:tcPr>
          <w:p w14:paraId="1BEF31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TS608-2-a</w:t>
            </w:r>
          </w:p>
        </w:tc>
        <w:tc>
          <w:tcPr>
            <w:tcW w:w="4045" w:type="dxa"/>
            <w:gridSpan w:val="4"/>
            <w:tcBorders>
              <w:top w:val="nil"/>
              <w:left w:val="nil"/>
              <w:bottom w:val="single" w:color="000000" w:sz="4" w:space="0"/>
              <w:right w:val="single" w:color="000000" w:sz="4" w:space="0"/>
            </w:tcBorders>
            <w:shd w:val="clear" w:color="auto" w:fill="FFFFFF"/>
            <w:vAlign w:val="center"/>
          </w:tcPr>
          <w:p w14:paraId="390C15F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金属软管LV-5Z-24</w:t>
            </w:r>
          </w:p>
        </w:tc>
        <w:tc>
          <w:tcPr>
            <w:tcW w:w="997" w:type="dxa"/>
            <w:tcBorders>
              <w:top w:val="nil"/>
              <w:left w:val="nil"/>
              <w:bottom w:val="single" w:color="000000" w:sz="4" w:space="0"/>
              <w:right w:val="single" w:color="000000" w:sz="4" w:space="0"/>
            </w:tcBorders>
            <w:shd w:val="clear" w:color="auto" w:fill="FFFFFF"/>
            <w:vAlign w:val="center"/>
          </w:tcPr>
          <w:p w14:paraId="10A451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196" w:type="dxa"/>
            <w:gridSpan w:val="2"/>
            <w:tcBorders>
              <w:top w:val="nil"/>
              <w:left w:val="nil"/>
              <w:bottom w:val="single" w:color="000000" w:sz="4" w:space="0"/>
              <w:right w:val="single" w:color="000000" w:sz="4" w:space="0"/>
            </w:tcBorders>
            <w:shd w:val="clear" w:color="auto" w:fill="FFFFFF"/>
            <w:vAlign w:val="center"/>
          </w:tcPr>
          <w:p w14:paraId="4662E182">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50</w:t>
            </w:r>
          </w:p>
        </w:tc>
        <w:tc>
          <w:tcPr>
            <w:tcW w:w="1198" w:type="dxa"/>
            <w:gridSpan w:val="3"/>
            <w:tcBorders>
              <w:top w:val="nil"/>
              <w:left w:val="nil"/>
              <w:bottom w:val="single" w:color="000000" w:sz="4" w:space="0"/>
              <w:right w:val="single" w:color="000000" w:sz="4" w:space="0"/>
            </w:tcBorders>
            <w:shd w:val="clear" w:color="auto" w:fill="FFFFFF"/>
            <w:vAlign w:val="center"/>
          </w:tcPr>
          <w:p w14:paraId="4F843467">
            <w:pPr>
              <w:jc w:val="right"/>
              <w:rPr>
                <w:rFonts w:hint="default" w:ascii="Arial Narrow" w:hAnsi="Arial Narrow" w:eastAsia="Arial Narrow" w:cs="Arial Narrow"/>
                <w:i w:val="0"/>
                <w:iCs w:val="0"/>
                <w:color w:val="auto"/>
                <w:sz w:val="18"/>
                <w:szCs w:val="18"/>
                <w:highlight w:val="none"/>
                <w:u w:val="none"/>
              </w:rPr>
            </w:pPr>
          </w:p>
        </w:tc>
        <w:tc>
          <w:tcPr>
            <w:tcW w:w="1198" w:type="dxa"/>
            <w:gridSpan w:val="2"/>
            <w:tcBorders>
              <w:top w:val="nil"/>
              <w:left w:val="nil"/>
              <w:bottom w:val="single" w:color="000000" w:sz="4" w:space="0"/>
              <w:right w:val="single" w:color="000000" w:sz="8" w:space="0"/>
            </w:tcBorders>
            <w:shd w:val="clear" w:color="auto" w:fill="FFFFFF"/>
            <w:vAlign w:val="center"/>
          </w:tcPr>
          <w:p w14:paraId="74753D19">
            <w:pPr>
              <w:jc w:val="right"/>
              <w:rPr>
                <w:rFonts w:hint="default" w:ascii="Arial Narrow" w:hAnsi="Arial Narrow" w:eastAsia="Arial Narrow" w:cs="Arial Narrow"/>
                <w:i w:val="0"/>
                <w:iCs w:val="0"/>
                <w:color w:val="auto"/>
                <w:sz w:val="18"/>
                <w:szCs w:val="18"/>
                <w:highlight w:val="none"/>
                <w:u w:val="none"/>
              </w:rPr>
            </w:pPr>
          </w:p>
        </w:tc>
      </w:tr>
      <w:tr w14:paraId="3C71F0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1187" w:type="dxa"/>
          <w:trHeight w:val="300" w:hRule="atLeast"/>
          <w:jc w:val="center"/>
        </w:trPr>
        <w:tc>
          <w:tcPr>
            <w:tcW w:w="1026" w:type="dxa"/>
            <w:gridSpan w:val="2"/>
            <w:tcBorders>
              <w:top w:val="nil"/>
              <w:left w:val="single" w:color="000000" w:sz="8" w:space="0"/>
              <w:bottom w:val="single" w:color="000000" w:sz="4" w:space="0"/>
              <w:right w:val="single" w:color="000000" w:sz="4" w:space="0"/>
            </w:tcBorders>
            <w:shd w:val="clear" w:color="auto" w:fill="FFFFFF"/>
            <w:vAlign w:val="center"/>
          </w:tcPr>
          <w:p w14:paraId="245829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TS608-2-b</w:t>
            </w:r>
          </w:p>
        </w:tc>
        <w:tc>
          <w:tcPr>
            <w:tcW w:w="4045" w:type="dxa"/>
            <w:gridSpan w:val="4"/>
            <w:tcBorders>
              <w:top w:val="nil"/>
              <w:left w:val="nil"/>
              <w:bottom w:val="single" w:color="000000" w:sz="4" w:space="0"/>
              <w:right w:val="single" w:color="000000" w:sz="4" w:space="0"/>
            </w:tcBorders>
            <w:shd w:val="clear" w:color="auto" w:fill="FFFFFF"/>
            <w:vAlign w:val="center"/>
          </w:tcPr>
          <w:p w14:paraId="6EEDCA1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可挠性金属套管50</w:t>
            </w:r>
          </w:p>
        </w:tc>
        <w:tc>
          <w:tcPr>
            <w:tcW w:w="997" w:type="dxa"/>
            <w:tcBorders>
              <w:top w:val="nil"/>
              <w:left w:val="nil"/>
              <w:bottom w:val="single" w:color="000000" w:sz="4" w:space="0"/>
              <w:right w:val="single" w:color="000000" w:sz="4" w:space="0"/>
            </w:tcBorders>
            <w:shd w:val="clear" w:color="auto" w:fill="FFFFFF"/>
            <w:vAlign w:val="center"/>
          </w:tcPr>
          <w:p w14:paraId="7E978D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196" w:type="dxa"/>
            <w:gridSpan w:val="2"/>
            <w:tcBorders>
              <w:top w:val="nil"/>
              <w:left w:val="nil"/>
              <w:bottom w:val="single" w:color="000000" w:sz="4" w:space="0"/>
              <w:right w:val="single" w:color="000000" w:sz="4" w:space="0"/>
            </w:tcBorders>
            <w:shd w:val="clear" w:color="auto" w:fill="FFFFFF"/>
            <w:vAlign w:val="center"/>
          </w:tcPr>
          <w:p w14:paraId="02164CF9">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280</w:t>
            </w:r>
          </w:p>
        </w:tc>
        <w:tc>
          <w:tcPr>
            <w:tcW w:w="1198" w:type="dxa"/>
            <w:gridSpan w:val="3"/>
            <w:tcBorders>
              <w:top w:val="nil"/>
              <w:left w:val="nil"/>
              <w:bottom w:val="single" w:color="000000" w:sz="4" w:space="0"/>
              <w:right w:val="single" w:color="000000" w:sz="4" w:space="0"/>
            </w:tcBorders>
            <w:shd w:val="clear" w:color="auto" w:fill="FFFFFF"/>
            <w:vAlign w:val="center"/>
          </w:tcPr>
          <w:p w14:paraId="563AC20A">
            <w:pPr>
              <w:jc w:val="right"/>
              <w:rPr>
                <w:rFonts w:hint="default" w:ascii="Arial Narrow" w:hAnsi="Arial Narrow" w:eastAsia="Arial Narrow" w:cs="Arial Narrow"/>
                <w:i w:val="0"/>
                <w:iCs w:val="0"/>
                <w:color w:val="auto"/>
                <w:sz w:val="18"/>
                <w:szCs w:val="18"/>
                <w:highlight w:val="none"/>
                <w:u w:val="none"/>
              </w:rPr>
            </w:pPr>
          </w:p>
        </w:tc>
        <w:tc>
          <w:tcPr>
            <w:tcW w:w="1198" w:type="dxa"/>
            <w:gridSpan w:val="2"/>
            <w:tcBorders>
              <w:top w:val="nil"/>
              <w:left w:val="nil"/>
              <w:bottom w:val="single" w:color="000000" w:sz="4" w:space="0"/>
              <w:right w:val="single" w:color="000000" w:sz="8" w:space="0"/>
            </w:tcBorders>
            <w:shd w:val="clear" w:color="auto" w:fill="FFFFFF"/>
            <w:vAlign w:val="center"/>
          </w:tcPr>
          <w:p w14:paraId="6C294379">
            <w:pPr>
              <w:jc w:val="right"/>
              <w:rPr>
                <w:rFonts w:hint="default" w:ascii="Arial Narrow" w:hAnsi="Arial Narrow" w:eastAsia="Arial Narrow" w:cs="Arial Narrow"/>
                <w:i w:val="0"/>
                <w:iCs w:val="0"/>
                <w:color w:val="auto"/>
                <w:sz w:val="18"/>
                <w:szCs w:val="18"/>
                <w:highlight w:val="none"/>
                <w:u w:val="none"/>
              </w:rPr>
            </w:pPr>
          </w:p>
        </w:tc>
      </w:tr>
      <w:tr w14:paraId="1351E5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1187" w:type="dxa"/>
          <w:trHeight w:val="300" w:hRule="atLeast"/>
          <w:jc w:val="center"/>
        </w:trPr>
        <w:tc>
          <w:tcPr>
            <w:tcW w:w="1026" w:type="dxa"/>
            <w:gridSpan w:val="2"/>
            <w:tcBorders>
              <w:top w:val="nil"/>
              <w:left w:val="single" w:color="000000" w:sz="8" w:space="0"/>
              <w:bottom w:val="single" w:color="000000" w:sz="4" w:space="0"/>
              <w:right w:val="single" w:color="000000" w:sz="4" w:space="0"/>
            </w:tcBorders>
            <w:shd w:val="clear" w:color="auto" w:fill="FFFFFF"/>
            <w:vAlign w:val="center"/>
          </w:tcPr>
          <w:p w14:paraId="2EE0420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TS651</w:t>
            </w:r>
          </w:p>
        </w:tc>
        <w:tc>
          <w:tcPr>
            <w:tcW w:w="4045" w:type="dxa"/>
            <w:gridSpan w:val="4"/>
            <w:tcBorders>
              <w:top w:val="nil"/>
              <w:left w:val="nil"/>
              <w:bottom w:val="single" w:color="000000" w:sz="4" w:space="0"/>
              <w:right w:val="single" w:color="000000" w:sz="4" w:space="0"/>
            </w:tcBorders>
            <w:shd w:val="clear" w:color="auto" w:fill="FFFFFF"/>
            <w:vAlign w:val="center"/>
          </w:tcPr>
          <w:p w14:paraId="74E22E5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供配电设备维修</w:t>
            </w:r>
          </w:p>
        </w:tc>
        <w:tc>
          <w:tcPr>
            <w:tcW w:w="997" w:type="dxa"/>
            <w:tcBorders>
              <w:top w:val="nil"/>
              <w:left w:val="nil"/>
              <w:bottom w:val="single" w:color="000000" w:sz="4" w:space="0"/>
              <w:right w:val="single" w:color="000000" w:sz="4" w:space="0"/>
            </w:tcBorders>
            <w:shd w:val="clear" w:color="auto" w:fill="FFFFFF"/>
            <w:vAlign w:val="center"/>
          </w:tcPr>
          <w:p w14:paraId="6D23FF63">
            <w:pPr>
              <w:jc w:val="center"/>
              <w:rPr>
                <w:rFonts w:hint="eastAsia" w:ascii="宋体" w:hAnsi="宋体" w:eastAsia="宋体" w:cs="宋体"/>
                <w:i w:val="0"/>
                <w:iCs w:val="0"/>
                <w:color w:val="auto"/>
                <w:sz w:val="18"/>
                <w:szCs w:val="18"/>
                <w:highlight w:val="none"/>
                <w:u w:val="none"/>
              </w:rPr>
            </w:pPr>
          </w:p>
        </w:tc>
        <w:tc>
          <w:tcPr>
            <w:tcW w:w="1196" w:type="dxa"/>
            <w:gridSpan w:val="2"/>
            <w:tcBorders>
              <w:top w:val="nil"/>
              <w:left w:val="nil"/>
              <w:bottom w:val="single" w:color="000000" w:sz="4" w:space="0"/>
              <w:right w:val="single" w:color="000000" w:sz="4" w:space="0"/>
            </w:tcBorders>
            <w:shd w:val="clear" w:color="auto" w:fill="FFFFFF"/>
            <w:vAlign w:val="center"/>
          </w:tcPr>
          <w:p w14:paraId="4E8C05CF">
            <w:pPr>
              <w:jc w:val="right"/>
              <w:rPr>
                <w:rFonts w:hint="default" w:ascii="Arial Narrow" w:hAnsi="Arial Narrow" w:eastAsia="Arial Narrow" w:cs="Arial Narrow"/>
                <w:i w:val="0"/>
                <w:iCs w:val="0"/>
                <w:color w:val="auto"/>
                <w:sz w:val="18"/>
                <w:szCs w:val="18"/>
                <w:highlight w:val="none"/>
                <w:u w:val="none"/>
              </w:rPr>
            </w:pPr>
          </w:p>
        </w:tc>
        <w:tc>
          <w:tcPr>
            <w:tcW w:w="1198" w:type="dxa"/>
            <w:gridSpan w:val="3"/>
            <w:tcBorders>
              <w:top w:val="nil"/>
              <w:left w:val="nil"/>
              <w:bottom w:val="single" w:color="000000" w:sz="4" w:space="0"/>
              <w:right w:val="single" w:color="000000" w:sz="4" w:space="0"/>
            </w:tcBorders>
            <w:shd w:val="clear" w:color="auto" w:fill="FFFFFF"/>
            <w:vAlign w:val="center"/>
          </w:tcPr>
          <w:p w14:paraId="684908A5">
            <w:pPr>
              <w:jc w:val="right"/>
              <w:rPr>
                <w:rFonts w:hint="default" w:ascii="Arial Narrow" w:hAnsi="Arial Narrow" w:eastAsia="Arial Narrow" w:cs="Arial Narrow"/>
                <w:i w:val="0"/>
                <w:iCs w:val="0"/>
                <w:color w:val="auto"/>
                <w:sz w:val="18"/>
                <w:szCs w:val="18"/>
                <w:highlight w:val="none"/>
                <w:u w:val="none"/>
              </w:rPr>
            </w:pPr>
          </w:p>
        </w:tc>
        <w:tc>
          <w:tcPr>
            <w:tcW w:w="1198" w:type="dxa"/>
            <w:gridSpan w:val="2"/>
            <w:tcBorders>
              <w:top w:val="nil"/>
              <w:left w:val="nil"/>
              <w:bottom w:val="single" w:color="000000" w:sz="4" w:space="0"/>
              <w:right w:val="single" w:color="000000" w:sz="8" w:space="0"/>
            </w:tcBorders>
            <w:shd w:val="clear" w:color="auto" w:fill="FFFFFF"/>
            <w:vAlign w:val="center"/>
          </w:tcPr>
          <w:p w14:paraId="103F51E9">
            <w:pPr>
              <w:jc w:val="right"/>
              <w:rPr>
                <w:rFonts w:hint="default" w:ascii="Arial Narrow" w:hAnsi="Arial Narrow" w:eastAsia="Arial Narrow" w:cs="Arial Narrow"/>
                <w:i w:val="0"/>
                <w:iCs w:val="0"/>
                <w:color w:val="auto"/>
                <w:sz w:val="18"/>
                <w:szCs w:val="18"/>
                <w:highlight w:val="none"/>
                <w:u w:val="none"/>
              </w:rPr>
            </w:pPr>
          </w:p>
        </w:tc>
      </w:tr>
      <w:tr w14:paraId="3A6CB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1187" w:type="dxa"/>
          <w:trHeight w:val="300" w:hRule="atLeast"/>
          <w:jc w:val="center"/>
        </w:trPr>
        <w:tc>
          <w:tcPr>
            <w:tcW w:w="1026" w:type="dxa"/>
            <w:gridSpan w:val="2"/>
            <w:tcBorders>
              <w:top w:val="nil"/>
              <w:left w:val="single" w:color="000000" w:sz="8" w:space="0"/>
              <w:bottom w:val="single" w:color="000000" w:sz="4" w:space="0"/>
              <w:right w:val="single" w:color="000000" w:sz="4" w:space="0"/>
            </w:tcBorders>
            <w:shd w:val="clear" w:color="auto" w:fill="FFFFFF"/>
            <w:vAlign w:val="center"/>
          </w:tcPr>
          <w:p w14:paraId="7F9161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TS651-1</w:t>
            </w:r>
          </w:p>
        </w:tc>
        <w:tc>
          <w:tcPr>
            <w:tcW w:w="4045" w:type="dxa"/>
            <w:gridSpan w:val="4"/>
            <w:tcBorders>
              <w:top w:val="nil"/>
              <w:left w:val="nil"/>
              <w:bottom w:val="single" w:color="000000" w:sz="4" w:space="0"/>
              <w:right w:val="single" w:color="000000" w:sz="4" w:space="0"/>
            </w:tcBorders>
            <w:shd w:val="clear" w:color="auto" w:fill="FFFFFF"/>
            <w:vAlign w:val="center"/>
          </w:tcPr>
          <w:p w14:paraId="43AA5B8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更换系统设备（部件）</w:t>
            </w:r>
          </w:p>
        </w:tc>
        <w:tc>
          <w:tcPr>
            <w:tcW w:w="997" w:type="dxa"/>
            <w:tcBorders>
              <w:top w:val="nil"/>
              <w:left w:val="nil"/>
              <w:bottom w:val="single" w:color="000000" w:sz="4" w:space="0"/>
              <w:right w:val="single" w:color="000000" w:sz="4" w:space="0"/>
            </w:tcBorders>
            <w:shd w:val="clear" w:color="auto" w:fill="FFFFFF"/>
            <w:vAlign w:val="center"/>
          </w:tcPr>
          <w:p w14:paraId="75695FDA">
            <w:pPr>
              <w:jc w:val="center"/>
              <w:rPr>
                <w:rFonts w:hint="eastAsia" w:ascii="宋体" w:hAnsi="宋体" w:eastAsia="宋体" w:cs="宋体"/>
                <w:i w:val="0"/>
                <w:iCs w:val="0"/>
                <w:color w:val="auto"/>
                <w:sz w:val="18"/>
                <w:szCs w:val="18"/>
                <w:highlight w:val="none"/>
                <w:u w:val="none"/>
              </w:rPr>
            </w:pPr>
          </w:p>
        </w:tc>
        <w:tc>
          <w:tcPr>
            <w:tcW w:w="1196" w:type="dxa"/>
            <w:gridSpan w:val="2"/>
            <w:tcBorders>
              <w:top w:val="nil"/>
              <w:left w:val="nil"/>
              <w:bottom w:val="single" w:color="000000" w:sz="4" w:space="0"/>
              <w:right w:val="single" w:color="000000" w:sz="4" w:space="0"/>
            </w:tcBorders>
            <w:shd w:val="clear" w:color="auto" w:fill="FFFFFF"/>
            <w:vAlign w:val="center"/>
          </w:tcPr>
          <w:p w14:paraId="7886CBAC">
            <w:pPr>
              <w:jc w:val="right"/>
              <w:rPr>
                <w:rFonts w:hint="default" w:ascii="Arial Narrow" w:hAnsi="Arial Narrow" w:eastAsia="Arial Narrow" w:cs="Arial Narrow"/>
                <w:i w:val="0"/>
                <w:iCs w:val="0"/>
                <w:color w:val="auto"/>
                <w:sz w:val="18"/>
                <w:szCs w:val="18"/>
                <w:highlight w:val="none"/>
                <w:u w:val="none"/>
              </w:rPr>
            </w:pPr>
          </w:p>
        </w:tc>
        <w:tc>
          <w:tcPr>
            <w:tcW w:w="1198" w:type="dxa"/>
            <w:gridSpan w:val="3"/>
            <w:tcBorders>
              <w:top w:val="nil"/>
              <w:left w:val="nil"/>
              <w:bottom w:val="single" w:color="000000" w:sz="4" w:space="0"/>
              <w:right w:val="single" w:color="000000" w:sz="4" w:space="0"/>
            </w:tcBorders>
            <w:shd w:val="clear" w:color="auto" w:fill="FFFFFF"/>
            <w:vAlign w:val="center"/>
          </w:tcPr>
          <w:p w14:paraId="050ACB3D">
            <w:pPr>
              <w:jc w:val="right"/>
              <w:rPr>
                <w:rFonts w:hint="default" w:ascii="Arial Narrow" w:hAnsi="Arial Narrow" w:eastAsia="Arial Narrow" w:cs="Arial Narrow"/>
                <w:i w:val="0"/>
                <w:iCs w:val="0"/>
                <w:color w:val="auto"/>
                <w:sz w:val="18"/>
                <w:szCs w:val="18"/>
                <w:highlight w:val="none"/>
                <w:u w:val="none"/>
              </w:rPr>
            </w:pPr>
          </w:p>
        </w:tc>
        <w:tc>
          <w:tcPr>
            <w:tcW w:w="1198" w:type="dxa"/>
            <w:gridSpan w:val="2"/>
            <w:tcBorders>
              <w:top w:val="nil"/>
              <w:left w:val="nil"/>
              <w:bottom w:val="single" w:color="000000" w:sz="4" w:space="0"/>
              <w:right w:val="single" w:color="000000" w:sz="8" w:space="0"/>
            </w:tcBorders>
            <w:shd w:val="clear" w:color="auto" w:fill="FFFFFF"/>
            <w:vAlign w:val="center"/>
          </w:tcPr>
          <w:p w14:paraId="65A28A44">
            <w:pPr>
              <w:jc w:val="right"/>
              <w:rPr>
                <w:rFonts w:hint="default" w:ascii="Arial Narrow" w:hAnsi="Arial Narrow" w:eastAsia="Arial Narrow" w:cs="Arial Narrow"/>
                <w:i w:val="0"/>
                <w:iCs w:val="0"/>
                <w:color w:val="auto"/>
                <w:sz w:val="18"/>
                <w:szCs w:val="18"/>
                <w:highlight w:val="none"/>
                <w:u w:val="none"/>
              </w:rPr>
            </w:pPr>
          </w:p>
        </w:tc>
      </w:tr>
      <w:tr w14:paraId="59C60A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1187" w:type="dxa"/>
          <w:trHeight w:val="460" w:hRule="atLeast"/>
          <w:jc w:val="center"/>
        </w:trPr>
        <w:tc>
          <w:tcPr>
            <w:tcW w:w="1026" w:type="dxa"/>
            <w:gridSpan w:val="2"/>
            <w:tcBorders>
              <w:top w:val="nil"/>
              <w:left w:val="single" w:color="000000" w:sz="8" w:space="0"/>
              <w:bottom w:val="single" w:color="000000" w:sz="4" w:space="0"/>
              <w:right w:val="single" w:color="000000" w:sz="4" w:space="0"/>
            </w:tcBorders>
            <w:shd w:val="clear" w:color="auto" w:fill="FFFFFF"/>
            <w:vAlign w:val="center"/>
          </w:tcPr>
          <w:p w14:paraId="081D27D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TS651-1-a</w:t>
            </w:r>
          </w:p>
        </w:tc>
        <w:tc>
          <w:tcPr>
            <w:tcW w:w="4045" w:type="dxa"/>
            <w:gridSpan w:val="4"/>
            <w:tcBorders>
              <w:top w:val="nil"/>
              <w:left w:val="nil"/>
              <w:bottom w:val="single" w:color="000000" w:sz="4" w:space="0"/>
              <w:right w:val="single" w:color="000000" w:sz="4" w:space="0"/>
            </w:tcBorders>
            <w:shd w:val="clear" w:color="auto" w:fill="FFFFFF"/>
            <w:vAlign w:val="center"/>
          </w:tcPr>
          <w:p w14:paraId="7BE57BB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UPS不间断电源（主机+电池） 更换 10KVA，在线式，后备电池≥2H</w:t>
            </w:r>
          </w:p>
        </w:tc>
        <w:tc>
          <w:tcPr>
            <w:tcW w:w="997" w:type="dxa"/>
            <w:tcBorders>
              <w:top w:val="nil"/>
              <w:left w:val="nil"/>
              <w:bottom w:val="single" w:color="000000" w:sz="4" w:space="0"/>
              <w:right w:val="single" w:color="000000" w:sz="4" w:space="0"/>
            </w:tcBorders>
            <w:shd w:val="clear" w:color="auto" w:fill="FFFFFF"/>
            <w:vAlign w:val="center"/>
          </w:tcPr>
          <w:p w14:paraId="1235CB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196" w:type="dxa"/>
            <w:gridSpan w:val="2"/>
            <w:tcBorders>
              <w:top w:val="nil"/>
              <w:left w:val="nil"/>
              <w:bottom w:val="single" w:color="000000" w:sz="4" w:space="0"/>
              <w:right w:val="single" w:color="000000" w:sz="4" w:space="0"/>
            </w:tcBorders>
            <w:shd w:val="clear" w:color="auto" w:fill="FFFFFF"/>
            <w:vAlign w:val="center"/>
          </w:tcPr>
          <w:p w14:paraId="3EE90400">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198" w:type="dxa"/>
            <w:gridSpan w:val="3"/>
            <w:tcBorders>
              <w:top w:val="nil"/>
              <w:left w:val="nil"/>
              <w:bottom w:val="single" w:color="000000" w:sz="4" w:space="0"/>
              <w:right w:val="single" w:color="000000" w:sz="4" w:space="0"/>
            </w:tcBorders>
            <w:shd w:val="clear" w:color="auto" w:fill="FFFFFF"/>
            <w:vAlign w:val="center"/>
          </w:tcPr>
          <w:p w14:paraId="0C074398">
            <w:pPr>
              <w:jc w:val="right"/>
              <w:rPr>
                <w:rFonts w:hint="default" w:ascii="Arial Narrow" w:hAnsi="Arial Narrow" w:eastAsia="Arial Narrow" w:cs="Arial Narrow"/>
                <w:i w:val="0"/>
                <w:iCs w:val="0"/>
                <w:color w:val="auto"/>
                <w:sz w:val="18"/>
                <w:szCs w:val="18"/>
                <w:highlight w:val="none"/>
                <w:u w:val="none"/>
              </w:rPr>
            </w:pPr>
          </w:p>
        </w:tc>
        <w:tc>
          <w:tcPr>
            <w:tcW w:w="1198" w:type="dxa"/>
            <w:gridSpan w:val="2"/>
            <w:tcBorders>
              <w:top w:val="nil"/>
              <w:left w:val="nil"/>
              <w:bottom w:val="single" w:color="000000" w:sz="4" w:space="0"/>
              <w:right w:val="single" w:color="000000" w:sz="8" w:space="0"/>
            </w:tcBorders>
            <w:shd w:val="clear" w:color="auto" w:fill="FFFFFF"/>
            <w:vAlign w:val="center"/>
          </w:tcPr>
          <w:p w14:paraId="3A9FD7E4">
            <w:pPr>
              <w:jc w:val="right"/>
              <w:rPr>
                <w:rFonts w:hint="default" w:ascii="Arial Narrow" w:hAnsi="Arial Narrow" w:eastAsia="Arial Narrow" w:cs="Arial Narrow"/>
                <w:i w:val="0"/>
                <w:iCs w:val="0"/>
                <w:color w:val="auto"/>
                <w:sz w:val="18"/>
                <w:szCs w:val="18"/>
                <w:highlight w:val="none"/>
                <w:u w:val="none"/>
              </w:rPr>
            </w:pPr>
          </w:p>
        </w:tc>
      </w:tr>
      <w:tr w14:paraId="20F351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1187" w:type="dxa"/>
          <w:trHeight w:val="460" w:hRule="atLeast"/>
          <w:jc w:val="center"/>
        </w:trPr>
        <w:tc>
          <w:tcPr>
            <w:tcW w:w="1026" w:type="dxa"/>
            <w:gridSpan w:val="2"/>
            <w:tcBorders>
              <w:top w:val="nil"/>
              <w:left w:val="single" w:color="000000" w:sz="8" w:space="0"/>
              <w:bottom w:val="single" w:color="000000" w:sz="4" w:space="0"/>
              <w:right w:val="single" w:color="000000" w:sz="4" w:space="0"/>
            </w:tcBorders>
            <w:shd w:val="clear" w:color="auto" w:fill="FFFFFF"/>
            <w:vAlign w:val="center"/>
          </w:tcPr>
          <w:p w14:paraId="56AF6D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TS651-1-b</w:t>
            </w:r>
          </w:p>
        </w:tc>
        <w:tc>
          <w:tcPr>
            <w:tcW w:w="4045" w:type="dxa"/>
            <w:gridSpan w:val="4"/>
            <w:tcBorders>
              <w:top w:val="nil"/>
              <w:left w:val="nil"/>
              <w:bottom w:val="single" w:color="000000" w:sz="4" w:space="0"/>
              <w:right w:val="single" w:color="000000" w:sz="4" w:space="0"/>
            </w:tcBorders>
            <w:shd w:val="clear" w:color="auto" w:fill="FFFFFF"/>
            <w:vAlign w:val="center"/>
          </w:tcPr>
          <w:p w14:paraId="4778243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EPS应急电源（主机+电池） 更换 50KW，60min（工频机，含后备电池）</w:t>
            </w:r>
          </w:p>
        </w:tc>
        <w:tc>
          <w:tcPr>
            <w:tcW w:w="997" w:type="dxa"/>
            <w:tcBorders>
              <w:top w:val="nil"/>
              <w:left w:val="nil"/>
              <w:bottom w:val="single" w:color="000000" w:sz="4" w:space="0"/>
              <w:right w:val="single" w:color="000000" w:sz="4" w:space="0"/>
            </w:tcBorders>
            <w:shd w:val="clear" w:color="auto" w:fill="FFFFFF"/>
            <w:vAlign w:val="center"/>
          </w:tcPr>
          <w:p w14:paraId="7C7220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196" w:type="dxa"/>
            <w:gridSpan w:val="2"/>
            <w:tcBorders>
              <w:top w:val="nil"/>
              <w:left w:val="nil"/>
              <w:bottom w:val="single" w:color="000000" w:sz="4" w:space="0"/>
              <w:right w:val="single" w:color="000000" w:sz="4" w:space="0"/>
            </w:tcBorders>
            <w:shd w:val="clear" w:color="auto" w:fill="FFFFFF"/>
            <w:vAlign w:val="center"/>
          </w:tcPr>
          <w:p w14:paraId="19384C53">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198" w:type="dxa"/>
            <w:gridSpan w:val="3"/>
            <w:tcBorders>
              <w:top w:val="nil"/>
              <w:left w:val="nil"/>
              <w:bottom w:val="single" w:color="000000" w:sz="4" w:space="0"/>
              <w:right w:val="single" w:color="000000" w:sz="4" w:space="0"/>
            </w:tcBorders>
            <w:shd w:val="clear" w:color="auto" w:fill="FFFFFF"/>
            <w:vAlign w:val="center"/>
          </w:tcPr>
          <w:p w14:paraId="57B53EDF">
            <w:pPr>
              <w:jc w:val="right"/>
              <w:rPr>
                <w:rFonts w:hint="default" w:ascii="Arial Narrow" w:hAnsi="Arial Narrow" w:eastAsia="Arial Narrow" w:cs="Arial Narrow"/>
                <w:i w:val="0"/>
                <w:iCs w:val="0"/>
                <w:color w:val="auto"/>
                <w:sz w:val="18"/>
                <w:szCs w:val="18"/>
                <w:highlight w:val="none"/>
                <w:u w:val="none"/>
              </w:rPr>
            </w:pPr>
          </w:p>
        </w:tc>
        <w:tc>
          <w:tcPr>
            <w:tcW w:w="1198" w:type="dxa"/>
            <w:gridSpan w:val="2"/>
            <w:tcBorders>
              <w:top w:val="nil"/>
              <w:left w:val="nil"/>
              <w:bottom w:val="single" w:color="000000" w:sz="4" w:space="0"/>
              <w:right w:val="single" w:color="000000" w:sz="8" w:space="0"/>
            </w:tcBorders>
            <w:shd w:val="clear" w:color="auto" w:fill="FFFFFF"/>
            <w:vAlign w:val="center"/>
          </w:tcPr>
          <w:p w14:paraId="263E3C73">
            <w:pPr>
              <w:jc w:val="right"/>
              <w:rPr>
                <w:rFonts w:hint="default" w:ascii="Arial Narrow" w:hAnsi="Arial Narrow" w:eastAsia="Arial Narrow" w:cs="Arial Narrow"/>
                <w:i w:val="0"/>
                <w:iCs w:val="0"/>
                <w:color w:val="auto"/>
                <w:sz w:val="18"/>
                <w:szCs w:val="18"/>
                <w:highlight w:val="none"/>
                <w:u w:val="none"/>
              </w:rPr>
            </w:pPr>
          </w:p>
        </w:tc>
      </w:tr>
      <w:tr w14:paraId="43141B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1187" w:type="dxa"/>
          <w:trHeight w:val="300" w:hRule="atLeast"/>
          <w:jc w:val="center"/>
        </w:trPr>
        <w:tc>
          <w:tcPr>
            <w:tcW w:w="1026" w:type="dxa"/>
            <w:gridSpan w:val="2"/>
            <w:tcBorders>
              <w:top w:val="nil"/>
              <w:left w:val="single" w:color="000000" w:sz="8" w:space="0"/>
              <w:bottom w:val="single" w:color="000000" w:sz="4" w:space="0"/>
              <w:right w:val="single" w:color="000000" w:sz="4" w:space="0"/>
            </w:tcBorders>
            <w:shd w:val="clear" w:color="auto" w:fill="FFFFFF"/>
            <w:vAlign w:val="center"/>
          </w:tcPr>
          <w:p w14:paraId="068809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TS654</w:t>
            </w:r>
          </w:p>
        </w:tc>
        <w:tc>
          <w:tcPr>
            <w:tcW w:w="4045" w:type="dxa"/>
            <w:gridSpan w:val="4"/>
            <w:tcBorders>
              <w:top w:val="nil"/>
              <w:left w:val="nil"/>
              <w:bottom w:val="single" w:color="000000" w:sz="4" w:space="0"/>
              <w:right w:val="single" w:color="000000" w:sz="4" w:space="0"/>
            </w:tcBorders>
            <w:shd w:val="clear" w:color="auto" w:fill="FFFFFF"/>
            <w:vAlign w:val="center"/>
          </w:tcPr>
          <w:p w14:paraId="6728E0A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电力电缆维修</w:t>
            </w:r>
          </w:p>
        </w:tc>
        <w:tc>
          <w:tcPr>
            <w:tcW w:w="997" w:type="dxa"/>
            <w:tcBorders>
              <w:top w:val="nil"/>
              <w:left w:val="nil"/>
              <w:bottom w:val="single" w:color="000000" w:sz="4" w:space="0"/>
              <w:right w:val="single" w:color="000000" w:sz="4" w:space="0"/>
            </w:tcBorders>
            <w:shd w:val="clear" w:color="auto" w:fill="FFFFFF"/>
            <w:vAlign w:val="center"/>
          </w:tcPr>
          <w:p w14:paraId="63EBB467">
            <w:pPr>
              <w:jc w:val="center"/>
              <w:rPr>
                <w:rFonts w:hint="eastAsia" w:ascii="宋体" w:hAnsi="宋体" w:eastAsia="宋体" w:cs="宋体"/>
                <w:i w:val="0"/>
                <w:iCs w:val="0"/>
                <w:color w:val="auto"/>
                <w:sz w:val="18"/>
                <w:szCs w:val="18"/>
                <w:highlight w:val="none"/>
                <w:u w:val="none"/>
              </w:rPr>
            </w:pPr>
          </w:p>
        </w:tc>
        <w:tc>
          <w:tcPr>
            <w:tcW w:w="1196" w:type="dxa"/>
            <w:gridSpan w:val="2"/>
            <w:tcBorders>
              <w:top w:val="nil"/>
              <w:left w:val="nil"/>
              <w:bottom w:val="single" w:color="000000" w:sz="4" w:space="0"/>
              <w:right w:val="single" w:color="000000" w:sz="4" w:space="0"/>
            </w:tcBorders>
            <w:shd w:val="clear" w:color="auto" w:fill="FFFFFF"/>
            <w:vAlign w:val="center"/>
          </w:tcPr>
          <w:p w14:paraId="76F25A45">
            <w:pPr>
              <w:jc w:val="right"/>
              <w:rPr>
                <w:rFonts w:hint="default" w:ascii="Arial Narrow" w:hAnsi="Arial Narrow" w:eastAsia="Arial Narrow" w:cs="Arial Narrow"/>
                <w:i w:val="0"/>
                <w:iCs w:val="0"/>
                <w:color w:val="auto"/>
                <w:sz w:val="18"/>
                <w:szCs w:val="18"/>
                <w:highlight w:val="none"/>
                <w:u w:val="none"/>
              </w:rPr>
            </w:pPr>
          </w:p>
        </w:tc>
        <w:tc>
          <w:tcPr>
            <w:tcW w:w="1198" w:type="dxa"/>
            <w:gridSpan w:val="3"/>
            <w:tcBorders>
              <w:top w:val="nil"/>
              <w:left w:val="nil"/>
              <w:bottom w:val="single" w:color="000000" w:sz="4" w:space="0"/>
              <w:right w:val="single" w:color="000000" w:sz="4" w:space="0"/>
            </w:tcBorders>
            <w:shd w:val="clear" w:color="auto" w:fill="FFFFFF"/>
            <w:vAlign w:val="center"/>
          </w:tcPr>
          <w:p w14:paraId="6C77D990">
            <w:pPr>
              <w:jc w:val="right"/>
              <w:rPr>
                <w:rFonts w:hint="default" w:ascii="Arial Narrow" w:hAnsi="Arial Narrow" w:eastAsia="Arial Narrow" w:cs="Arial Narrow"/>
                <w:i w:val="0"/>
                <w:iCs w:val="0"/>
                <w:color w:val="auto"/>
                <w:sz w:val="18"/>
                <w:szCs w:val="18"/>
                <w:highlight w:val="none"/>
                <w:u w:val="none"/>
              </w:rPr>
            </w:pPr>
          </w:p>
        </w:tc>
        <w:tc>
          <w:tcPr>
            <w:tcW w:w="1198" w:type="dxa"/>
            <w:gridSpan w:val="2"/>
            <w:tcBorders>
              <w:top w:val="nil"/>
              <w:left w:val="nil"/>
              <w:bottom w:val="single" w:color="000000" w:sz="4" w:space="0"/>
              <w:right w:val="single" w:color="000000" w:sz="8" w:space="0"/>
            </w:tcBorders>
            <w:shd w:val="clear" w:color="auto" w:fill="FFFFFF"/>
            <w:vAlign w:val="center"/>
          </w:tcPr>
          <w:p w14:paraId="20F290DB">
            <w:pPr>
              <w:jc w:val="right"/>
              <w:rPr>
                <w:rFonts w:hint="default" w:ascii="Arial Narrow" w:hAnsi="Arial Narrow" w:eastAsia="Arial Narrow" w:cs="Arial Narrow"/>
                <w:i w:val="0"/>
                <w:iCs w:val="0"/>
                <w:color w:val="auto"/>
                <w:sz w:val="18"/>
                <w:szCs w:val="18"/>
                <w:highlight w:val="none"/>
                <w:u w:val="none"/>
              </w:rPr>
            </w:pPr>
          </w:p>
        </w:tc>
      </w:tr>
      <w:tr w14:paraId="3CBB6E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1187" w:type="dxa"/>
          <w:trHeight w:val="300" w:hRule="atLeast"/>
          <w:jc w:val="center"/>
        </w:trPr>
        <w:tc>
          <w:tcPr>
            <w:tcW w:w="1026" w:type="dxa"/>
            <w:gridSpan w:val="2"/>
            <w:tcBorders>
              <w:top w:val="nil"/>
              <w:left w:val="single" w:color="000000" w:sz="8" w:space="0"/>
              <w:bottom w:val="single" w:color="000000" w:sz="4" w:space="0"/>
              <w:right w:val="single" w:color="000000" w:sz="4" w:space="0"/>
            </w:tcBorders>
            <w:shd w:val="clear" w:color="auto" w:fill="FFFFFF"/>
            <w:vAlign w:val="center"/>
          </w:tcPr>
          <w:p w14:paraId="33BE9C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TS654-1</w:t>
            </w:r>
          </w:p>
        </w:tc>
        <w:tc>
          <w:tcPr>
            <w:tcW w:w="4045" w:type="dxa"/>
            <w:gridSpan w:val="4"/>
            <w:tcBorders>
              <w:top w:val="nil"/>
              <w:left w:val="nil"/>
              <w:bottom w:val="single" w:color="000000" w:sz="4" w:space="0"/>
              <w:right w:val="single" w:color="000000" w:sz="4" w:space="0"/>
            </w:tcBorders>
            <w:shd w:val="clear" w:color="auto" w:fill="FFFFFF"/>
            <w:vAlign w:val="center"/>
          </w:tcPr>
          <w:p w14:paraId="784A040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重设或增设电力电缆</w:t>
            </w:r>
          </w:p>
        </w:tc>
        <w:tc>
          <w:tcPr>
            <w:tcW w:w="997" w:type="dxa"/>
            <w:tcBorders>
              <w:top w:val="nil"/>
              <w:left w:val="nil"/>
              <w:bottom w:val="single" w:color="000000" w:sz="4" w:space="0"/>
              <w:right w:val="single" w:color="000000" w:sz="4" w:space="0"/>
            </w:tcBorders>
            <w:shd w:val="clear" w:color="auto" w:fill="FFFFFF"/>
            <w:vAlign w:val="center"/>
          </w:tcPr>
          <w:p w14:paraId="0D88399B">
            <w:pPr>
              <w:jc w:val="center"/>
              <w:rPr>
                <w:rFonts w:hint="eastAsia" w:ascii="宋体" w:hAnsi="宋体" w:eastAsia="宋体" w:cs="宋体"/>
                <w:i w:val="0"/>
                <w:iCs w:val="0"/>
                <w:color w:val="auto"/>
                <w:sz w:val="18"/>
                <w:szCs w:val="18"/>
                <w:highlight w:val="none"/>
                <w:u w:val="none"/>
              </w:rPr>
            </w:pPr>
          </w:p>
        </w:tc>
        <w:tc>
          <w:tcPr>
            <w:tcW w:w="1196" w:type="dxa"/>
            <w:gridSpan w:val="2"/>
            <w:tcBorders>
              <w:top w:val="nil"/>
              <w:left w:val="nil"/>
              <w:bottom w:val="single" w:color="000000" w:sz="4" w:space="0"/>
              <w:right w:val="single" w:color="000000" w:sz="4" w:space="0"/>
            </w:tcBorders>
            <w:shd w:val="clear" w:color="auto" w:fill="FFFFFF"/>
            <w:vAlign w:val="center"/>
          </w:tcPr>
          <w:p w14:paraId="09B01BB7">
            <w:pPr>
              <w:jc w:val="right"/>
              <w:rPr>
                <w:rFonts w:hint="default" w:ascii="Arial Narrow" w:hAnsi="Arial Narrow" w:eastAsia="Arial Narrow" w:cs="Arial Narrow"/>
                <w:i w:val="0"/>
                <w:iCs w:val="0"/>
                <w:color w:val="auto"/>
                <w:sz w:val="18"/>
                <w:szCs w:val="18"/>
                <w:highlight w:val="none"/>
                <w:u w:val="none"/>
              </w:rPr>
            </w:pPr>
          </w:p>
        </w:tc>
        <w:tc>
          <w:tcPr>
            <w:tcW w:w="1198" w:type="dxa"/>
            <w:gridSpan w:val="3"/>
            <w:tcBorders>
              <w:top w:val="nil"/>
              <w:left w:val="nil"/>
              <w:bottom w:val="single" w:color="000000" w:sz="4" w:space="0"/>
              <w:right w:val="single" w:color="000000" w:sz="4" w:space="0"/>
            </w:tcBorders>
            <w:shd w:val="clear" w:color="auto" w:fill="FFFFFF"/>
            <w:vAlign w:val="center"/>
          </w:tcPr>
          <w:p w14:paraId="696580B1">
            <w:pPr>
              <w:jc w:val="right"/>
              <w:rPr>
                <w:rFonts w:hint="default" w:ascii="Arial Narrow" w:hAnsi="Arial Narrow" w:eastAsia="Arial Narrow" w:cs="Arial Narrow"/>
                <w:i w:val="0"/>
                <w:iCs w:val="0"/>
                <w:color w:val="auto"/>
                <w:sz w:val="18"/>
                <w:szCs w:val="18"/>
                <w:highlight w:val="none"/>
                <w:u w:val="none"/>
              </w:rPr>
            </w:pPr>
          </w:p>
        </w:tc>
        <w:tc>
          <w:tcPr>
            <w:tcW w:w="1198" w:type="dxa"/>
            <w:gridSpan w:val="2"/>
            <w:tcBorders>
              <w:top w:val="nil"/>
              <w:left w:val="nil"/>
              <w:bottom w:val="single" w:color="000000" w:sz="4" w:space="0"/>
              <w:right w:val="single" w:color="000000" w:sz="8" w:space="0"/>
            </w:tcBorders>
            <w:shd w:val="clear" w:color="auto" w:fill="FFFFFF"/>
            <w:vAlign w:val="center"/>
          </w:tcPr>
          <w:p w14:paraId="40B9C72C">
            <w:pPr>
              <w:jc w:val="right"/>
              <w:rPr>
                <w:rFonts w:hint="default" w:ascii="Arial Narrow" w:hAnsi="Arial Narrow" w:eastAsia="Arial Narrow" w:cs="Arial Narrow"/>
                <w:i w:val="0"/>
                <w:iCs w:val="0"/>
                <w:color w:val="auto"/>
                <w:sz w:val="18"/>
                <w:szCs w:val="18"/>
                <w:highlight w:val="none"/>
                <w:u w:val="none"/>
              </w:rPr>
            </w:pPr>
          </w:p>
        </w:tc>
      </w:tr>
      <w:tr w14:paraId="1A0CD6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1187" w:type="dxa"/>
          <w:trHeight w:val="300" w:hRule="atLeast"/>
          <w:jc w:val="center"/>
        </w:trPr>
        <w:tc>
          <w:tcPr>
            <w:tcW w:w="1026" w:type="dxa"/>
            <w:gridSpan w:val="2"/>
            <w:tcBorders>
              <w:top w:val="nil"/>
              <w:left w:val="single" w:color="000000" w:sz="8" w:space="0"/>
              <w:bottom w:val="single" w:color="000000" w:sz="4" w:space="0"/>
              <w:right w:val="single" w:color="000000" w:sz="4" w:space="0"/>
            </w:tcBorders>
            <w:shd w:val="clear" w:color="auto" w:fill="FFFFFF"/>
            <w:vAlign w:val="center"/>
          </w:tcPr>
          <w:p w14:paraId="481776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TS654-1-a</w:t>
            </w:r>
          </w:p>
        </w:tc>
        <w:tc>
          <w:tcPr>
            <w:tcW w:w="4045" w:type="dxa"/>
            <w:gridSpan w:val="4"/>
            <w:tcBorders>
              <w:top w:val="nil"/>
              <w:left w:val="nil"/>
              <w:bottom w:val="single" w:color="000000" w:sz="4" w:space="0"/>
              <w:right w:val="single" w:color="000000" w:sz="4" w:space="0"/>
            </w:tcBorders>
            <w:shd w:val="clear" w:color="auto" w:fill="FFFFFF"/>
            <w:vAlign w:val="center"/>
          </w:tcPr>
          <w:p w14:paraId="5206480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原供电电缆修复（VV22型）</w:t>
            </w:r>
          </w:p>
        </w:tc>
        <w:tc>
          <w:tcPr>
            <w:tcW w:w="997" w:type="dxa"/>
            <w:tcBorders>
              <w:top w:val="nil"/>
              <w:left w:val="nil"/>
              <w:bottom w:val="single" w:color="000000" w:sz="4" w:space="0"/>
              <w:right w:val="single" w:color="000000" w:sz="4" w:space="0"/>
            </w:tcBorders>
            <w:shd w:val="clear" w:color="auto" w:fill="FFFFFF"/>
            <w:vAlign w:val="center"/>
          </w:tcPr>
          <w:p w14:paraId="4E6B10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196" w:type="dxa"/>
            <w:gridSpan w:val="2"/>
            <w:tcBorders>
              <w:top w:val="nil"/>
              <w:left w:val="nil"/>
              <w:bottom w:val="single" w:color="000000" w:sz="4" w:space="0"/>
              <w:right w:val="single" w:color="000000" w:sz="4" w:space="0"/>
            </w:tcBorders>
            <w:shd w:val="clear" w:color="auto" w:fill="FFFFFF"/>
            <w:vAlign w:val="center"/>
          </w:tcPr>
          <w:p w14:paraId="44AA67A2">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1150</w:t>
            </w:r>
          </w:p>
        </w:tc>
        <w:tc>
          <w:tcPr>
            <w:tcW w:w="1198" w:type="dxa"/>
            <w:gridSpan w:val="3"/>
            <w:tcBorders>
              <w:top w:val="nil"/>
              <w:left w:val="nil"/>
              <w:bottom w:val="single" w:color="000000" w:sz="4" w:space="0"/>
              <w:right w:val="single" w:color="000000" w:sz="4" w:space="0"/>
            </w:tcBorders>
            <w:shd w:val="clear" w:color="auto" w:fill="FFFFFF"/>
            <w:vAlign w:val="center"/>
          </w:tcPr>
          <w:p w14:paraId="67B19533">
            <w:pPr>
              <w:jc w:val="right"/>
              <w:rPr>
                <w:rFonts w:hint="default" w:ascii="Arial Narrow" w:hAnsi="Arial Narrow" w:eastAsia="Arial Narrow" w:cs="Arial Narrow"/>
                <w:i w:val="0"/>
                <w:iCs w:val="0"/>
                <w:color w:val="auto"/>
                <w:sz w:val="18"/>
                <w:szCs w:val="18"/>
                <w:highlight w:val="none"/>
                <w:u w:val="none"/>
              </w:rPr>
            </w:pPr>
          </w:p>
        </w:tc>
        <w:tc>
          <w:tcPr>
            <w:tcW w:w="1198" w:type="dxa"/>
            <w:gridSpan w:val="2"/>
            <w:tcBorders>
              <w:top w:val="nil"/>
              <w:left w:val="nil"/>
              <w:bottom w:val="single" w:color="000000" w:sz="4" w:space="0"/>
              <w:right w:val="single" w:color="000000" w:sz="8" w:space="0"/>
            </w:tcBorders>
            <w:shd w:val="clear" w:color="auto" w:fill="FFFFFF"/>
            <w:vAlign w:val="center"/>
          </w:tcPr>
          <w:p w14:paraId="08DBDA58">
            <w:pPr>
              <w:jc w:val="right"/>
              <w:rPr>
                <w:rFonts w:hint="default" w:ascii="Arial Narrow" w:hAnsi="Arial Narrow" w:eastAsia="Arial Narrow" w:cs="Arial Narrow"/>
                <w:i w:val="0"/>
                <w:iCs w:val="0"/>
                <w:color w:val="auto"/>
                <w:sz w:val="18"/>
                <w:szCs w:val="18"/>
                <w:highlight w:val="none"/>
                <w:u w:val="none"/>
              </w:rPr>
            </w:pPr>
          </w:p>
        </w:tc>
      </w:tr>
      <w:tr w14:paraId="342C42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1187" w:type="dxa"/>
          <w:trHeight w:val="300" w:hRule="atLeast"/>
          <w:jc w:val="center"/>
        </w:trPr>
        <w:tc>
          <w:tcPr>
            <w:tcW w:w="1026" w:type="dxa"/>
            <w:gridSpan w:val="2"/>
            <w:tcBorders>
              <w:top w:val="nil"/>
              <w:left w:val="single" w:color="000000" w:sz="8" w:space="0"/>
              <w:bottom w:val="single" w:color="000000" w:sz="4" w:space="0"/>
              <w:right w:val="single" w:color="000000" w:sz="4" w:space="0"/>
            </w:tcBorders>
            <w:shd w:val="clear" w:color="auto" w:fill="FFFFFF"/>
            <w:vAlign w:val="center"/>
          </w:tcPr>
          <w:p w14:paraId="4F8D21E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TS800</w:t>
            </w:r>
          </w:p>
        </w:tc>
        <w:tc>
          <w:tcPr>
            <w:tcW w:w="4045" w:type="dxa"/>
            <w:gridSpan w:val="4"/>
            <w:tcBorders>
              <w:top w:val="nil"/>
              <w:left w:val="nil"/>
              <w:bottom w:val="single" w:color="000000" w:sz="4" w:space="0"/>
              <w:right w:val="single" w:color="000000" w:sz="4" w:space="0"/>
            </w:tcBorders>
            <w:shd w:val="clear" w:color="auto" w:fill="FFFFFF"/>
            <w:vAlign w:val="center"/>
          </w:tcPr>
          <w:p w14:paraId="16F1620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附属设施</w:t>
            </w:r>
          </w:p>
        </w:tc>
        <w:tc>
          <w:tcPr>
            <w:tcW w:w="997" w:type="dxa"/>
            <w:tcBorders>
              <w:top w:val="nil"/>
              <w:left w:val="nil"/>
              <w:bottom w:val="single" w:color="000000" w:sz="4" w:space="0"/>
              <w:right w:val="single" w:color="000000" w:sz="4" w:space="0"/>
            </w:tcBorders>
            <w:shd w:val="clear" w:color="auto" w:fill="FFFFFF"/>
            <w:vAlign w:val="center"/>
          </w:tcPr>
          <w:p w14:paraId="4E601D56">
            <w:pPr>
              <w:jc w:val="center"/>
              <w:rPr>
                <w:rFonts w:hint="eastAsia" w:ascii="宋体" w:hAnsi="宋体" w:eastAsia="宋体" w:cs="宋体"/>
                <w:i w:val="0"/>
                <w:iCs w:val="0"/>
                <w:color w:val="auto"/>
                <w:sz w:val="18"/>
                <w:szCs w:val="18"/>
                <w:highlight w:val="none"/>
                <w:u w:val="none"/>
              </w:rPr>
            </w:pPr>
          </w:p>
        </w:tc>
        <w:tc>
          <w:tcPr>
            <w:tcW w:w="1196" w:type="dxa"/>
            <w:gridSpan w:val="2"/>
            <w:tcBorders>
              <w:top w:val="nil"/>
              <w:left w:val="nil"/>
              <w:bottom w:val="single" w:color="000000" w:sz="4" w:space="0"/>
              <w:right w:val="single" w:color="000000" w:sz="4" w:space="0"/>
            </w:tcBorders>
            <w:shd w:val="clear" w:color="auto" w:fill="FFFFFF"/>
            <w:vAlign w:val="center"/>
          </w:tcPr>
          <w:p w14:paraId="4BB0E61A">
            <w:pPr>
              <w:jc w:val="right"/>
              <w:rPr>
                <w:rFonts w:hint="default" w:ascii="Arial Narrow" w:hAnsi="Arial Narrow" w:eastAsia="Arial Narrow" w:cs="Arial Narrow"/>
                <w:i w:val="0"/>
                <w:iCs w:val="0"/>
                <w:color w:val="auto"/>
                <w:sz w:val="18"/>
                <w:szCs w:val="18"/>
                <w:highlight w:val="none"/>
                <w:u w:val="none"/>
              </w:rPr>
            </w:pPr>
          </w:p>
        </w:tc>
        <w:tc>
          <w:tcPr>
            <w:tcW w:w="1198" w:type="dxa"/>
            <w:gridSpan w:val="3"/>
            <w:tcBorders>
              <w:top w:val="nil"/>
              <w:left w:val="nil"/>
              <w:bottom w:val="single" w:color="000000" w:sz="4" w:space="0"/>
              <w:right w:val="single" w:color="000000" w:sz="4" w:space="0"/>
            </w:tcBorders>
            <w:shd w:val="clear" w:color="auto" w:fill="FFFFFF"/>
            <w:vAlign w:val="center"/>
          </w:tcPr>
          <w:p w14:paraId="288EC70B">
            <w:pPr>
              <w:jc w:val="right"/>
              <w:rPr>
                <w:rFonts w:hint="default" w:ascii="Arial Narrow" w:hAnsi="Arial Narrow" w:eastAsia="Arial Narrow" w:cs="Arial Narrow"/>
                <w:i w:val="0"/>
                <w:iCs w:val="0"/>
                <w:color w:val="auto"/>
                <w:sz w:val="18"/>
                <w:szCs w:val="18"/>
                <w:highlight w:val="none"/>
                <w:u w:val="none"/>
              </w:rPr>
            </w:pPr>
          </w:p>
        </w:tc>
        <w:tc>
          <w:tcPr>
            <w:tcW w:w="1198" w:type="dxa"/>
            <w:gridSpan w:val="2"/>
            <w:tcBorders>
              <w:top w:val="nil"/>
              <w:left w:val="nil"/>
              <w:bottom w:val="single" w:color="000000" w:sz="4" w:space="0"/>
              <w:right w:val="single" w:color="000000" w:sz="8" w:space="0"/>
            </w:tcBorders>
            <w:shd w:val="clear" w:color="auto" w:fill="FFFFFF"/>
            <w:vAlign w:val="center"/>
          </w:tcPr>
          <w:p w14:paraId="1FD11F4B">
            <w:pPr>
              <w:jc w:val="right"/>
              <w:rPr>
                <w:rFonts w:hint="default" w:ascii="Arial Narrow" w:hAnsi="Arial Narrow" w:eastAsia="Arial Narrow" w:cs="Arial Narrow"/>
                <w:i w:val="0"/>
                <w:iCs w:val="0"/>
                <w:color w:val="auto"/>
                <w:sz w:val="18"/>
                <w:szCs w:val="18"/>
                <w:highlight w:val="none"/>
                <w:u w:val="none"/>
              </w:rPr>
            </w:pPr>
          </w:p>
        </w:tc>
      </w:tr>
      <w:tr w14:paraId="4A9926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1187" w:type="dxa"/>
          <w:trHeight w:val="300" w:hRule="atLeast"/>
          <w:jc w:val="center"/>
        </w:trPr>
        <w:tc>
          <w:tcPr>
            <w:tcW w:w="1026" w:type="dxa"/>
            <w:gridSpan w:val="2"/>
            <w:tcBorders>
              <w:top w:val="nil"/>
              <w:left w:val="single" w:color="000000" w:sz="8" w:space="0"/>
              <w:bottom w:val="single" w:color="000000" w:sz="4" w:space="0"/>
              <w:right w:val="single" w:color="000000" w:sz="4" w:space="0"/>
            </w:tcBorders>
            <w:shd w:val="clear" w:color="auto" w:fill="FFFFFF"/>
            <w:vAlign w:val="center"/>
          </w:tcPr>
          <w:p w14:paraId="2EC929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TS800-a</w:t>
            </w:r>
          </w:p>
        </w:tc>
        <w:tc>
          <w:tcPr>
            <w:tcW w:w="4045" w:type="dxa"/>
            <w:gridSpan w:val="4"/>
            <w:tcBorders>
              <w:top w:val="nil"/>
              <w:left w:val="nil"/>
              <w:bottom w:val="single" w:color="000000" w:sz="4" w:space="0"/>
              <w:right w:val="single" w:color="000000" w:sz="4" w:space="0"/>
            </w:tcBorders>
            <w:shd w:val="clear" w:color="auto" w:fill="FFFFFF"/>
            <w:vAlign w:val="center"/>
          </w:tcPr>
          <w:p w14:paraId="144C541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铝合金盖板600mm*0.5mm</w:t>
            </w:r>
          </w:p>
        </w:tc>
        <w:tc>
          <w:tcPr>
            <w:tcW w:w="997" w:type="dxa"/>
            <w:tcBorders>
              <w:top w:val="nil"/>
              <w:left w:val="nil"/>
              <w:bottom w:val="single" w:color="000000" w:sz="4" w:space="0"/>
              <w:right w:val="single" w:color="000000" w:sz="4" w:space="0"/>
            </w:tcBorders>
            <w:shd w:val="clear" w:color="auto" w:fill="FFFFFF"/>
            <w:vAlign w:val="center"/>
          </w:tcPr>
          <w:p w14:paraId="7675E19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196" w:type="dxa"/>
            <w:gridSpan w:val="2"/>
            <w:tcBorders>
              <w:top w:val="nil"/>
              <w:left w:val="nil"/>
              <w:bottom w:val="single" w:color="000000" w:sz="4" w:space="0"/>
              <w:right w:val="single" w:color="000000" w:sz="4" w:space="0"/>
            </w:tcBorders>
            <w:shd w:val="clear" w:color="auto" w:fill="FFFFFF"/>
            <w:vAlign w:val="center"/>
          </w:tcPr>
          <w:p w14:paraId="2412B924">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20</w:t>
            </w:r>
          </w:p>
        </w:tc>
        <w:tc>
          <w:tcPr>
            <w:tcW w:w="1198" w:type="dxa"/>
            <w:gridSpan w:val="3"/>
            <w:tcBorders>
              <w:top w:val="nil"/>
              <w:left w:val="nil"/>
              <w:bottom w:val="single" w:color="000000" w:sz="4" w:space="0"/>
              <w:right w:val="single" w:color="000000" w:sz="4" w:space="0"/>
            </w:tcBorders>
            <w:shd w:val="clear" w:color="auto" w:fill="FFFFFF"/>
            <w:vAlign w:val="center"/>
          </w:tcPr>
          <w:p w14:paraId="75D0E293">
            <w:pPr>
              <w:jc w:val="right"/>
              <w:rPr>
                <w:rFonts w:hint="default" w:ascii="Arial Narrow" w:hAnsi="Arial Narrow" w:eastAsia="Arial Narrow" w:cs="Arial Narrow"/>
                <w:i w:val="0"/>
                <w:iCs w:val="0"/>
                <w:color w:val="auto"/>
                <w:sz w:val="18"/>
                <w:szCs w:val="18"/>
                <w:highlight w:val="none"/>
                <w:u w:val="none"/>
              </w:rPr>
            </w:pPr>
          </w:p>
        </w:tc>
        <w:tc>
          <w:tcPr>
            <w:tcW w:w="1198" w:type="dxa"/>
            <w:gridSpan w:val="2"/>
            <w:tcBorders>
              <w:top w:val="nil"/>
              <w:left w:val="nil"/>
              <w:bottom w:val="single" w:color="000000" w:sz="4" w:space="0"/>
              <w:right w:val="single" w:color="000000" w:sz="8" w:space="0"/>
            </w:tcBorders>
            <w:shd w:val="clear" w:color="auto" w:fill="FFFFFF"/>
            <w:vAlign w:val="center"/>
          </w:tcPr>
          <w:p w14:paraId="5642EC63">
            <w:pPr>
              <w:jc w:val="right"/>
              <w:rPr>
                <w:rFonts w:hint="default" w:ascii="Arial Narrow" w:hAnsi="Arial Narrow" w:eastAsia="Arial Narrow" w:cs="Arial Narrow"/>
                <w:i w:val="0"/>
                <w:iCs w:val="0"/>
                <w:color w:val="auto"/>
                <w:sz w:val="18"/>
                <w:szCs w:val="18"/>
                <w:highlight w:val="none"/>
                <w:u w:val="none"/>
              </w:rPr>
            </w:pPr>
          </w:p>
        </w:tc>
      </w:tr>
      <w:tr w14:paraId="2C9BC8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1187" w:type="dxa"/>
          <w:trHeight w:val="300" w:hRule="atLeast"/>
          <w:jc w:val="center"/>
        </w:trPr>
        <w:tc>
          <w:tcPr>
            <w:tcW w:w="1026" w:type="dxa"/>
            <w:gridSpan w:val="2"/>
            <w:tcBorders>
              <w:top w:val="nil"/>
              <w:left w:val="single" w:color="000000" w:sz="8" w:space="0"/>
              <w:bottom w:val="single" w:color="000000" w:sz="4" w:space="0"/>
              <w:right w:val="single" w:color="000000" w:sz="4" w:space="0"/>
            </w:tcBorders>
            <w:shd w:val="clear" w:color="auto" w:fill="FFFFFF"/>
            <w:vAlign w:val="center"/>
          </w:tcPr>
          <w:p w14:paraId="2A2955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TS800-b</w:t>
            </w:r>
          </w:p>
        </w:tc>
        <w:tc>
          <w:tcPr>
            <w:tcW w:w="4045" w:type="dxa"/>
            <w:gridSpan w:val="4"/>
            <w:tcBorders>
              <w:top w:val="nil"/>
              <w:left w:val="nil"/>
              <w:bottom w:val="single" w:color="000000" w:sz="4" w:space="0"/>
              <w:right w:val="single" w:color="000000" w:sz="4" w:space="0"/>
            </w:tcBorders>
            <w:shd w:val="clear" w:color="auto" w:fill="FFFFFF"/>
            <w:vAlign w:val="center"/>
          </w:tcPr>
          <w:p w14:paraId="44E61C4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隧道内照明配电箱防锈处理</w:t>
            </w:r>
          </w:p>
        </w:tc>
        <w:tc>
          <w:tcPr>
            <w:tcW w:w="997" w:type="dxa"/>
            <w:tcBorders>
              <w:top w:val="nil"/>
              <w:left w:val="nil"/>
              <w:bottom w:val="single" w:color="000000" w:sz="4" w:space="0"/>
              <w:right w:val="single" w:color="000000" w:sz="4" w:space="0"/>
            </w:tcBorders>
            <w:shd w:val="clear" w:color="auto" w:fill="FFFFFF"/>
            <w:vAlign w:val="center"/>
          </w:tcPr>
          <w:p w14:paraId="4DE27D8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196" w:type="dxa"/>
            <w:gridSpan w:val="2"/>
            <w:tcBorders>
              <w:top w:val="nil"/>
              <w:left w:val="nil"/>
              <w:bottom w:val="single" w:color="000000" w:sz="4" w:space="0"/>
              <w:right w:val="single" w:color="000000" w:sz="4" w:space="0"/>
            </w:tcBorders>
            <w:shd w:val="clear" w:color="auto" w:fill="FFFFFF"/>
            <w:vAlign w:val="center"/>
          </w:tcPr>
          <w:p w14:paraId="576A6098">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4</w:t>
            </w:r>
          </w:p>
        </w:tc>
        <w:tc>
          <w:tcPr>
            <w:tcW w:w="1198" w:type="dxa"/>
            <w:gridSpan w:val="3"/>
            <w:tcBorders>
              <w:top w:val="nil"/>
              <w:left w:val="nil"/>
              <w:bottom w:val="single" w:color="000000" w:sz="4" w:space="0"/>
              <w:right w:val="single" w:color="000000" w:sz="4" w:space="0"/>
            </w:tcBorders>
            <w:shd w:val="clear" w:color="auto" w:fill="FFFFFF"/>
            <w:vAlign w:val="center"/>
          </w:tcPr>
          <w:p w14:paraId="21D5F5B3">
            <w:pPr>
              <w:jc w:val="right"/>
              <w:rPr>
                <w:rFonts w:hint="default" w:ascii="Arial Narrow" w:hAnsi="Arial Narrow" w:eastAsia="Arial Narrow" w:cs="Arial Narrow"/>
                <w:i w:val="0"/>
                <w:iCs w:val="0"/>
                <w:color w:val="auto"/>
                <w:sz w:val="18"/>
                <w:szCs w:val="18"/>
                <w:highlight w:val="none"/>
                <w:u w:val="none"/>
              </w:rPr>
            </w:pPr>
          </w:p>
        </w:tc>
        <w:tc>
          <w:tcPr>
            <w:tcW w:w="1198" w:type="dxa"/>
            <w:gridSpan w:val="2"/>
            <w:tcBorders>
              <w:top w:val="nil"/>
              <w:left w:val="nil"/>
              <w:bottom w:val="single" w:color="000000" w:sz="4" w:space="0"/>
              <w:right w:val="single" w:color="000000" w:sz="8" w:space="0"/>
            </w:tcBorders>
            <w:shd w:val="clear" w:color="auto" w:fill="FFFFFF"/>
            <w:vAlign w:val="center"/>
          </w:tcPr>
          <w:p w14:paraId="5A9BA7B3">
            <w:pPr>
              <w:jc w:val="right"/>
              <w:rPr>
                <w:rFonts w:hint="default" w:ascii="Arial Narrow" w:hAnsi="Arial Narrow" w:eastAsia="Arial Narrow" w:cs="Arial Narrow"/>
                <w:i w:val="0"/>
                <w:iCs w:val="0"/>
                <w:color w:val="auto"/>
                <w:sz w:val="18"/>
                <w:szCs w:val="18"/>
                <w:highlight w:val="none"/>
                <w:u w:val="none"/>
              </w:rPr>
            </w:pPr>
          </w:p>
        </w:tc>
      </w:tr>
      <w:tr w14:paraId="230C91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1187" w:type="dxa"/>
          <w:trHeight w:val="300" w:hRule="atLeast"/>
          <w:jc w:val="center"/>
        </w:trPr>
        <w:tc>
          <w:tcPr>
            <w:tcW w:w="1026" w:type="dxa"/>
            <w:gridSpan w:val="2"/>
            <w:tcBorders>
              <w:top w:val="nil"/>
              <w:left w:val="single" w:color="000000" w:sz="8" w:space="0"/>
              <w:bottom w:val="single" w:color="000000" w:sz="4" w:space="0"/>
              <w:right w:val="single" w:color="000000" w:sz="4" w:space="0"/>
            </w:tcBorders>
            <w:shd w:val="clear" w:color="auto" w:fill="FFFFFF"/>
            <w:vAlign w:val="center"/>
          </w:tcPr>
          <w:p w14:paraId="3F3E41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TS800-c</w:t>
            </w:r>
          </w:p>
        </w:tc>
        <w:tc>
          <w:tcPr>
            <w:tcW w:w="4045" w:type="dxa"/>
            <w:gridSpan w:val="4"/>
            <w:tcBorders>
              <w:top w:val="nil"/>
              <w:left w:val="nil"/>
              <w:bottom w:val="single" w:color="000000" w:sz="4" w:space="0"/>
              <w:right w:val="single" w:color="000000" w:sz="4" w:space="0"/>
            </w:tcBorders>
            <w:shd w:val="clear" w:color="auto" w:fill="FFFFFF"/>
            <w:vAlign w:val="center"/>
          </w:tcPr>
          <w:p w14:paraId="731BD39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变电所电缆沟盖板 0.8m*1m*4mm</w:t>
            </w:r>
          </w:p>
        </w:tc>
        <w:tc>
          <w:tcPr>
            <w:tcW w:w="997" w:type="dxa"/>
            <w:tcBorders>
              <w:top w:val="nil"/>
              <w:left w:val="nil"/>
              <w:bottom w:val="single" w:color="000000" w:sz="4" w:space="0"/>
              <w:right w:val="single" w:color="000000" w:sz="4" w:space="0"/>
            </w:tcBorders>
            <w:shd w:val="clear" w:color="auto" w:fill="FFFFFF"/>
            <w:vAlign w:val="center"/>
          </w:tcPr>
          <w:p w14:paraId="775E698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块</w:t>
            </w:r>
          </w:p>
        </w:tc>
        <w:tc>
          <w:tcPr>
            <w:tcW w:w="1196" w:type="dxa"/>
            <w:gridSpan w:val="2"/>
            <w:tcBorders>
              <w:top w:val="nil"/>
              <w:left w:val="nil"/>
              <w:bottom w:val="single" w:color="000000" w:sz="4" w:space="0"/>
              <w:right w:val="single" w:color="000000" w:sz="4" w:space="0"/>
            </w:tcBorders>
            <w:shd w:val="clear" w:color="auto" w:fill="FFFFFF"/>
            <w:vAlign w:val="center"/>
          </w:tcPr>
          <w:p w14:paraId="0B35A182">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50</w:t>
            </w:r>
          </w:p>
        </w:tc>
        <w:tc>
          <w:tcPr>
            <w:tcW w:w="1198" w:type="dxa"/>
            <w:gridSpan w:val="3"/>
            <w:tcBorders>
              <w:top w:val="nil"/>
              <w:left w:val="nil"/>
              <w:bottom w:val="single" w:color="000000" w:sz="4" w:space="0"/>
              <w:right w:val="single" w:color="000000" w:sz="4" w:space="0"/>
            </w:tcBorders>
            <w:shd w:val="clear" w:color="auto" w:fill="FFFFFF"/>
            <w:vAlign w:val="center"/>
          </w:tcPr>
          <w:p w14:paraId="0030AF64">
            <w:pPr>
              <w:jc w:val="right"/>
              <w:rPr>
                <w:rFonts w:hint="default" w:ascii="Arial Narrow" w:hAnsi="Arial Narrow" w:eastAsia="Arial Narrow" w:cs="Arial Narrow"/>
                <w:i w:val="0"/>
                <w:iCs w:val="0"/>
                <w:color w:val="auto"/>
                <w:sz w:val="18"/>
                <w:szCs w:val="18"/>
                <w:highlight w:val="none"/>
                <w:u w:val="none"/>
              </w:rPr>
            </w:pPr>
          </w:p>
        </w:tc>
        <w:tc>
          <w:tcPr>
            <w:tcW w:w="1198" w:type="dxa"/>
            <w:gridSpan w:val="2"/>
            <w:tcBorders>
              <w:top w:val="nil"/>
              <w:left w:val="nil"/>
              <w:bottom w:val="single" w:color="000000" w:sz="4" w:space="0"/>
              <w:right w:val="single" w:color="000000" w:sz="8" w:space="0"/>
            </w:tcBorders>
            <w:shd w:val="clear" w:color="auto" w:fill="FFFFFF"/>
            <w:vAlign w:val="center"/>
          </w:tcPr>
          <w:p w14:paraId="1E2F0549">
            <w:pPr>
              <w:jc w:val="right"/>
              <w:rPr>
                <w:rFonts w:hint="default" w:ascii="Arial Narrow" w:hAnsi="Arial Narrow" w:eastAsia="Arial Narrow" w:cs="Arial Narrow"/>
                <w:i w:val="0"/>
                <w:iCs w:val="0"/>
                <w:color w:val="auto"/>
                <w:sz w:val="18"/>
                <w:szCs w:val="18"/>
                <w:highlight w:val="none"/>
                <w:u w:val="none"/>
              </w:rPr>
            </w:pPr>
          </w:p>
        </w:tc>
      </w:tr>
      <w:tr w14:paraId="59684B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1187" w:type="dxa"/>
          <w:trHeight w:val="300" w:hRule="atLeast"/>
          <w:jc w:val="center"/>
        </w:trPr>
        <w:tc>
          <w:tcPr>
            <w:tcW w:w="1026" w:type="dxa"/>
            <w:gridSpan w:val="2"/>
            <w:tcBorders>
              <w:top w:val="nil"/>
              <w:left w:val="single" w:color="000000" w:sz="8" w:space="0"/>
              <w:bottom w:val="single" w:color="000000" w:sz="4" w:space="0"/>
              <w:right w:val="single" w:color="000000" w:sz="4" w:space="0"/>
            </w:tcBorders>
            <w:shd w:val="clear" w:color="auto" w:fill="FFFFFF"/>
            <w:vAlign w:val="center"/>
          </w:tcPr>
          <w:p w14:paraId="181363D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TS800-d</w:t>
            </w:r>
          </w:p>
        </w:tc>
        <w:tc>
          <w:tcPr>
            <w:tcW w:w="4045" w:type="dxa"/>
            <w:gridSpan w:val="4"/>
            <w:tcBorders>
              <w:top w:val="nil"/>
              <w:left w:val="nil"/>
              <w:bottom w:val="single" w:color="000000" w:sz="4" w:space="0"/>
              <w:right w:val="single" w:color="000000" w:sz="4" w:space="0"/>
            </w:tcBorders>
            <w:shd w:val="clear" w:color="auto" w:fill="FFFFFF"/>
            <w:vAlign w:val="center"/>
          </w:tcPr>
          <w:p w14:paraId="3F84A4E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变电所配电柜槽钢底座</w:t>
            </w:r>
          </w:p>
        </w:tc>
        <w:tc>
          <w:tcPr>
            <w:tcW w:w="997" w:type="dxa"/>
            <w:tcBorders>
              <w:top w:val="nil"/>
              <w:left w:val="nil"/>
              <w:bottom w:val="single" w:color="000000" w:sz="4" w:space="0"/>
              <w:right w:val="single" w:color="000000" w:sz="4" w:space="0"/>
            </w:tcBorders>
            <w:shd w:val="clear" w:color="auto" w:fill="FFFFFF"/>
            <w:vAlign w:val="center"/>
          </w:tcPr>
          <w:p w14:paraId="262B67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米</w:t>
            </w:r>
          </w:p>
        </w:tc>
        <w:tc>
          <w:tcPr>
            <w:tcW w:w="1196" w:type="dxa"/>
            <w:gridSpan w:val="2"/>
            <w:tcBorders>
              <w:top w:val="nil"/>
              <w:left w:val="nil"/>
              <w:bottom w:val="single" w:color="000000" w:sz="4" w:space="0"/>
              <w:right w:val="single" w:color="000000" w:sz="4" w:space="0"/>
            </w:tcBorders>
            <w:shd w:val="clear" w:color="auto" w:fill="FFFFFF"/>
            <w:vAlign w:val="center"/>
          </w:tcPr>
          <w:p w14:paraId="615D2117">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100</w:t>
            </w:r>
          </w:p>
        </w:tc>
        <w:tc>
          <w:tcPr>
            <w:tcW w:w="1198" w:type="dxa"/>
            <w:gridSpan w:val="3"/>
            <w:tcBorders>
              <w:top w:val="nil"/>
              <w:left w:val="nil"/>
              <w:bottom w:val="single" w:color="000000" w:sz="4" w:space="0"/>
              <w:right w:val="single" w:color="000000" w:sz="4" w:space="0"/>
            </w:tcBorders>
            <w:shd w:val="clear" w:color="auto" w:fill="FFFFFF"/>
            <w:vAlign w:val="center"/>
          </w:tcPr>
          <w:p w14:paraId="1A5481EA">
            <w:pPr>
              <w:jc w:val="right"/>
              <w:rPr>
                <w:rFonts w:hint="default" w:ascii="Arial Narrow" w:hAnsi="Arial Narrow" w:eastAsia="Arial Narrow" w:cs="Arial Narrow"/>
                <w:i w:val="0"/>
                <w:iCs w:val="0"/>
                <w:color w:val="auto"/>
                <w:sz w:val="18"/>
                <w:szCs w:val="18"/>
                <w:highlight w:val="none"/>
                <w:u w:val="none"/>
              </w:rPr>
            </w:pPr>
          </w:p>
        </w:tc>
        <w:tc>
          <w:tcPr>
            <w:tcW w:w="1198" w:type="dxa"/>
            <w:gridSpan w:val="2"/>
            <w:tcBorders>
              <w:top w:val="nil"/>
              <w:left w:val="nil"/>
              <w:bottom w:val="single" w:color="000000" w:sz="4" w:space="0"/>
              <w:right w:val="single" w:color="000000" w:sz="8" w:space="0"/>
            </w:tcBorders>
            <w:shd w:val="clear" w:color="auto" w:fill="FFFFFF"/>
            <w:vAlign w:val="center"/>
          </w:tcPr>
          <w:p w14:paraId="4B384D59">
            <w:pPr>
              <w:jc w:val="right"/>
              <w:rPr>
                <w:rFonts w:hint="default" w:ascii="Arial Narrow" w:hAnsi="Arial Narrow" w:eastAsia="Arial Narrow" w:cs="Arial Narrow"/>
                <w:i w:val="0"/>
                <w:iCs w:val="0"/>
                <w:color w:val="auto"/>
                <w:sz w:val="18"/>
                <w:szCs w:val="18"/>
                <w:highlight w:val="none"/>
                <w:u w:val="none"/>
              </w:rPr>
            </w:pPr>
          </w:p>
        </w:tc>
      </w:tr>
      <w:tr w14:paraId="2A8C57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1187" w:type="dxa"/>
          <w:trHeight w:val="300" w:hRule="atLeast"/>
          <w:jc w:val="center"/>
        </w:trPr>
        <w:tc>
          <w:tcPr>
            <w:tcW w:w="1026" w:type="dxa"/>
            <w:gridSpan w:val="2"/>
            <w:tcBorders>
              <w:top w:val="nil"/>
              <w:left w:val="single" w:color="000000" w:sz="8" w:space="0"/>
              <w:bottom w:val="single" w:color="000000" w:sz="4" w:space="0"/>
              <w:right w:val="single" w:color="000000" w:sz="4" w:space="0"/>
            </w:tcBorders>
            <w:shd w:val="clear" w:color="auto" w:fill="FFFFFF"/>
            <w:vAlign w:val="center"/>
          </w:tcPr>
          <w:p w14:paraId="21C008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TS800-e</w:t>
            </w:r>
          </w:p>
        </w:tc>
        <w:tc>
          <w:tcPr>
            <w:tcW w:w="4045" w:type="dxa"/>
            <w:gridSpan w:val="4"/>
            <w:tcBorders>
              <w:top w:val="nil"/>
              <w:left w:val="nil"/>
              <w:bottom w:val="single" w:color="000000" w:sz="4" w:space="0"/>
              <w:right w:val="single" w:color="000000" w:sz="4" w:space="0"/>
            </w:tcBorders>
            <w:shd w:val="clear" w:color="auto" w:fill="FFFFFF"/>
            <w:vAlign w:val="center"/>
          </w:tcPr>
          <w:p w14:paraId="5A45E86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隧道监控配电洞室门</w:t>
            </w:r>
          </w:p>
        </w:tc>
        <w:tc>
          <w:tcPr>
            <w:tcW w:w="997" w:type="dxa"/>
            <w:tcBorders>
              <w:top w:val="nil"/>
              <w:left w:val="nil"/>
              <w:bottom w:val="single" w:color="000000" w:sz="4" w:space="0"/>
              <w:right w:val="single" w:color="000000" w:sz="4" w:space="0"/>
            </w:tcBorders>
            <w:shd w:val="clear" w:color="auto" w:fill="FFFFFF"/>
            <w:vAlign w:val="center"/>
          </w:tcPr>
          <w:p w14:paraId="2479FF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196" w:type="dxa"/>
            <w:gridSpan w:val="2"/>
            <w:tcBorders>
              <w:top w:val="nil"/>
              <w:left w:val="nil"/>
              <w:bottom w:val="single" w:color="000000" w:sz="4" w:space="0"/>
              <w:right w:val="single" w:color="000000" w:sz="4" w:space="0"/>
            </w:tcBorders>
            <w:shd w:val="clear" w:color="auto" w:fill="FFFFFF"/>
            <w:vAlign w:val="center"/>
          </w:tcPr>
          <w:p w14:paraId="5C8840BF">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6</w:t>
            </w:r>
          </w:p>
        </w:tc>
        <w:tc>
          <w:tcPr>
            <w:tcW w:w="1198" w:type="dxa"/>
            <w:gridSpan w:val="3"/>
            <w:tcBorders>
              <w:top w:val="nil"/>
              <w:left w:val="nil"/>
              <w:bottom w:val="single" w:color="000000" w:sz="4" w:space="0"/>
              <w:right w:val="single" w:color="000000" w:sz="4" w:space="0"/>
            </w:tcBorders>
            <w:shd w:val="clear" w:color="auto" w:fill="FFFFFF"/>
            <w:vAlign w:val="center"/>
          </w:tcPr>
          <w:p w14:paraId="40840B9D">
            <w:pPr>
              <w:jc w:val="right"/>
              <w:rPr>
                <w:rFonts w:hint="default" w:ascii="Arial Narrow" w:hAnsi="Arial Narrow" w:eastAsia="Arial Narrow" w:cs="Arial Narrow"/>
                <w:i w:val="0"/>
                <w:iCs w:val="0"/>
                <w:color w:val="auto"/>
                <w:sz w:val="18"/>
                <w:szCs w:val="18"/>
                <w:highlight w:val="none"/>
                <w:u w:val="none"/>
              </w:rPr>
            </w:pPr>
          </w:p>
        </w:tc>
        <w:tc>
          <w:tcPr>
            <w:tcW w:w="1198" w:type="dxa"/>
            <w:gridSpan w:val="2"/>
            <w:tcBorders>
              <w:top w:val="nil"/>
              <w:left w:val="nil"/>
              <w:bottom w:val="single" w:color="000000" w:sz="4" w:space="0"/>
              <w:right w:val="single" w:color="000000" w:sz="8" w:space="0"/>
            </w:tcBorders>
            <w:shd w:val="clear" w:color="auto" w:fill="FFFFFF"/>
            <w:vAlign w:val="center"/>
          </w:tcPr>
          <w:p w14:paraId="0F72FFAB">
            <w:pPr>
              <w:jc w:val="right"/>
              <w:rPr>
                <w:rFonts w:hint="default" w:ascii="Arial Narrow" w:hAnsi="Arial Narrow" w:eastAsia="Arial Narrow" w:cs="Arial Narrow"/>
                <w:i w:val="0"/>
                <w:iCs w:val="0"/>
                <w:color w:val="auto"/>
                <w:sz w:val="18"/>
                <w:szCs w:val="18"/>
                <w:highlight w:val="none"/>
                <w:u w:val="none"/>
              </w:rPr>
            </w:pPr>
          </w:p>
        </w:tc>
      </w:tr>
      <w:tr w14:paraId="766348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1187" w:type="dxa"/>
          <w:trHeight w:val="300" w:hRule="atLeast"/>
          <w:jc w:val="center"/>
        </w:trPr>
        <w:tc>
          <w:tcPr>
            <w:tcW w:w="1026" w:type="dxa"/>
            <w:gridSpan w:val="2"/>
            <w:tcBorders>
              <w:top w:val="nil"/>
              <w:left w:val="single" w:color="000000" w:sz="8" w:space="0"/>
              <w:bottom w:val="single" w:color="000000" w:sz="4" w:space="0"/>
              <w:right w:val="single" w:color="000000" w:sz="4" w:space="0"/>
            </w:tcBorders>
            <w:shd w:val="clear" w:color="auto" w:fill="FFFFFF"/>
            <w:vAlign w:val="center"/>
          </w:tcPr>
          <w:p w14:paraId="73F18A1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TS800-f</w:t>
            </w:r>
          </w:p>
        </w:tc>
        <w:tc>
          <w:tcPr>
            <w:tcW w:w="4045" w:type="dxa"/>
            <w:gridSpan w:val="4"/>
            <w:tcBorders>
              <w:top w:val="nil"/>
              <w:left w:val="nil"/>
              <w:bottom w:val="single" w:color="000000" w:sz="4" w:space="0"/>
              <w:right w:val="single" w:color="000000" w:sz="4" w:space="0"/>
            </w:tcBorders>
            <w:shd w:val="clear" w:color="auto" w:fill="FFFFFF"/>
            <w:vAlign w:val="center"/>
          </w:tcPr>
          <w:p w14:paraId="7E85D8C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隧道照明配电洞室门</w:t>
            </w:r>
          </w:p>
        </w:tc>
        <w:tc>
          <w:tcPr>
            <w:tcW w:w="997" w:type="dxa"/>
            <w:tcBorders>
              <w:top w:val="nil"/>
              <w:left w:val="nil"/>
              <w:bottom w:val="single" w:color="000000" w:sz="4" w:space="0"/>
              <w:right w:val="single" w:color="000000" w:sz="4" w:space="0"/>
            </w:tcBorders>
            <w:shd w:val="clear" w:color="auto" w:fill="FFFFFF"/>
            <w:vAlign w:val="center"/>
          </w:tcPr>
          <w:p w14:paraId="5308126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196" w:type="dxa"/>
            <w:gridSpan w:val="2"/>
            <w:tcBorders>
              <w:top w:val="nil"/>
              <w:left w:val="nil"/>
              <w:bottom w:val="single" w:color="000000" w:sz="4" w:space="0"/>
              <w:right w:val="single" w:color="000000" w:sz="4" w:space="0"/>
            </w:tcBorders>
            <w:shd w:val="clear" w:color="auto" w:fill="FFFFFF"/>
            <w:vAlign w:val="center"/>
          </w:tcPr>
          <w:p w14:paraId="295FE3C6">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4</w:t>
            </w:r>
          </w:p>
        </w:tc>
        <w:tc>
          <w:tcPr>
            <w:tcW w:w="1198" w:type="dxa"/>
            <w:gridSpan w:val="3"/>
            <w:tcBorders>
              <w:top w:val="nil"/>
              <w:left w:val="nil"/>
              <w:bottom w:val="single" w:color="000000" w:sz="4" w:space="0"/>
              <w:right w:val="single" w:color="000000" w:sz="4" w:space="0"/>
            </w:tcBorders>
            <w:shd w:val="clear" w:color="auto" w:fill="FFFFFF"/>
            <w:vAlign w:val="center"/>
          </w:tcPr>
          <w:p w14:paraId="15E72EEB">
            <w:pPr>
              <w:jc w:val="right"/>
              <w:rPr>
                <w:rFonts w:hint="default" w:ascii="Arial Narrow" w:hAnsi="Arial Narrow" w:eastAsia="Arial Narrow" w:cs="Arial Narrow"/>
                <w:i w:val="0"/>
                <w:iCs w:val="0"/>
                <w:color w:val="auto"/>
                <w:sz w:val="18"/>
                <w:szCs w:val="18"/>
                <w:highlight w:val="none"/>
                <w:u w:val="none"/>
              </w:rPr>
            </w:pPr>
          </w:p>
        </w:tc>
        <w:tc>
          <w:tcPr>
            <w:tcW w:w="1198" w:type="dxa"/>
            <w:gridSpan w:val="2"/>
            <w:tcBorders>
              <w:top w:val="nil"/>
              <w:left w:val="nil"/>
              <w:bottom w:val="single" w:color="000000" w:sz="4" w:space="0"/>
              <w:right w:val="single" w:color="000000" w:sz="8" w:space="0"/>
            </w:tcBorders>
            <w:shd w:val="clear" w:color="auto" w:fill="FFFFFF"/>
            <w:vAlign w:val="center"/>
          </w:tcPr>
          <w:p w14:paraId="7D676C60">
            <w:pPr>
              <w:jc w:val="right"/>
              <w:rPr>
                <w:rFonts w:hint="default" w:ascii="Arial Narrow" w:hAnsi="Arial Narrow" w:eastAsia="Arial Narrow" w:cs="Arial Narrow"/>
                <w:i w:val="0"/>
                <w:iCs w:val="0"/>
                <w:color w:val="auto"/>
                <w:sz w:val="18"/>
                <w:szCs w:val="18"/>
                <w:highlight w:val="none"/>
                <w:u w:val="none"/>
              </w:rPr>
            </w:pPr>
          </w:p>
        </w:tc>
      </w:tr>
      <w:tr w14:paraId="555D12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1187" w:type="dxa"/>
          <w:trHeight w:val="300" w:hRule="atLeast"/>
          <w:jc w:val="center"/>
        </w:trPr>
        <w:tc>
          <w:tcPr>
            <w:tcW w:w="1026" w:type="dxa"/>
            <w:gridSpan w:val="2"/>
            <w:tcBorders>
              <w:top w:val="nil"/>
              <w:left w:val="single" w:color="000000" w:sz="8" w:space="0"/>
              <w:bottom w:val="single" w:color="000000" w:sz="4" w:space="0"/>
              <w:right w:val="single" w:color="000000" w:sz="4" w:space="0"/>
            </w:tcBorders>
            <w:shd w:val="clear" w:color="auto" w:fill="FFFFFF"/>
            <w:vAlign w:val="center"/>
          </w:tcPr>
          <w:p w14:paraId="473D8C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TS800-g</w:t>
            </w:r>
          </w:p>
        </w:tc>
        <w:tc>
          <w:tcPr>
            <w:tcW w:w="4045" w:type="dxa"/>
            <w:gridSpan w:val="4"/>
            <w:tcBorders>
              <w:top w:val="nil"/>
              <w:left w:val="nil"/>
              <w:bottom w:val="single" w:color="000000" w:sz="4" w:space="0"/>
              <w:right w:val="single" w:color="000000" w:sz="4" w:space="0"/>
            </w:tcBorders>
            <w:shd w:val="clear" w:color="auto" w:fill="FFFFFF"/>
            <w:vAlign w:val="center"/>
          </w:tcPr>
          <w:p w14:paraId="10FC9A0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隧道通风配电洞室门</w:t>
            </w:r>
          </w:p>
        </w:tc>
        <w:tc>
          <w:tcPr>
            <w:tcW w:w="997" w:type="dxa"/>
            <w:tcBorders>
              <w:top w:val="nil"/>
              <w:left w:val="nil"/>
              <w:bottom w:val="single" w:color="000000" w:sz="4" w:space="0"/>
              <w:right w:val="single" w:color="000000" w:sz="4" w:space="0"/>
            </w:tcBorders>
            <w:shd w:val="clear" w:color="auto" w:fill="FFFFFF"/>
            <w:vAlign w:val="center"/>
          </w:tcPr>
          <w:p w14:paraId="6612DF7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196" w:type="dxa"/>
            <w:gridSpan w:val="2"/>
            <w:tcBorders>
              <w:top w:val="nil"/>
              <w:left w:val="nil"/>
              <w:bottom w:val="single" w:color="000000" w:sz="4" w:space="0"/>
              <w:right w:val="single" w:color="000000" w:sz="4" w:space="0"/>
            </w:tcBorders>
            <w:shd w:val="clear" w:color="auto" w:fill="FFFFFF"/>
            <w:vAlign w:val="center"/>
          </w:tcPr>
          <w:p w14:paraId="4DBBA428">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4</w:t>
            </w:r>
          </w:p>
        </w:tc>
        <w:tc>
          <w:tcPr>
            <w:tcW w:w="1198" w:type="dxa"/>
            <w:gridSpan w:val="3"/>
            <w:tcBorders>
              <w:top w:val="nil"/>
              <w:left w:val="nil"/>
              <w:bottom w:val="single" w:color="000000" w:sz="4" w:space="0"/>
              <w:right w:val="single" w:color="000000" w:sz="4" w:space="0"/>
            </w:tcBorders>
            <w:shd w:val="clear" w:color="auto" w:fill="FFFFFF"/>
            <w:vAlign w:val="center"/>
          </w:tcPr>
          <w:p w14:paraId="57D181A5">
            <w:pPr>
              <w:jc w:val="right"/>
              <w:rPr>
                <w:rFonts w:hint="default" w:ascii="Arial Narrow" w:hAnsi="Arial Narrow" w:eastAsia="Arial Narrow" w:cs="Arial Narrow"/>
                <w:i w:val="0"/>
                <w:iCs w:val="0"/>
                <w:color w:val="auto"/>
                <w:sz w:val="18"/>
                <w:szCs w:val="18"/>
                <w:highlight w:val="none"/>
                <w:u w:val="none"/>
              </w:rPr>
            </w:pPr>
          </w:p>
        </w:tc>
        <w:tc>
          <w:tcPr>
            <w:tcW w:w="1198" w:type="dxa"/>
            <w:gridSpan w:val="2"/>
            <w:tcBorders>
              <w:top w:val="nil"/>
              <w:left w:val="nil"/>
              <w:bottom w:val="single" w:color="000000" w:sz="4" w:space="0"/>
              <w:right w:val="single" w:color="000000" w:sz="8" w:space="0"/>
            </w:tcBorders>
            <w:shd w:val="clear" w:color="auto" w:fill="FFFFFF"/>
            <w:vAlign w:val="center"/>
          </w:tcPr>
          <w:p w14:paraId="3D0DCC14">
            <w:pPr>
              <w:jc w:val="right"/>
              <w:rPr>
                <w:rFonts w:hint="default" w:ascii="Arial Narrow" w:hAnsi="Arial Narrow" w:eastAsia="Arial Narrow" w:cs="Arial Narrow"/>
                <w:i w:val="0"/>
                <w:iCs w:val="0"/>
                <w:color w:val="auto"/>
                <w:sz w:val="18"/>
                <w:szCs w:val="18"/>
                <w:highlight w:val="none"/>
                <w:u w:val="none"/>
              </w:rPr>
            </w:pPr>
          </w:p>
        </w:tc>
      </w:tr>
      <w:tr w14:paraId="64C9CF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1187" w:type="dxa"/>
          <w:trHeight w:val="300" w:hRule="atLeast"/>
          <w:jc w:val="center"/>
        </w:trPr>
        <w:tc>
          <w:tcPr>
            <w:tcW w:w="1026" w:type="dxa"/>
            <w:gridSpan w:val="2"/>
            <w:tcBorders>
              <w:top w:val="nil"/>
              <w:left w:val="single" w:color="000000" w:sz="8" w:space="0"/>
              <w:bottom w:val="single" w:color="000000" w:sz="4" w:space="0"/>
              <w:right w:val="single" w:color="000000" w:sz="4" w:space="0"/>
            </w:tcBorders>
            <w:shd w:val="clear" w:color="auto" w:fill="FFFFFF"/>
            <w:vAlign w:val="center"/>
          </w:tcPr>
          <w:p w14:paraId="4743CFA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TS800-h</w:t>
            </w:r>
          </w:p>
        </w:tc>
        <w:tc>
          <w:tcPr>
            <w:tcW w:w="4045" w:type="dxa"/>
            <w:gridSpan w:val="4"/>
            <w:tcBorders>
              <w:top w:val="nil"/>
              <w:left w:val="nil"/>
              <w:bottom w:val="single" w:color="000000" w:sz="4" w:space="0"/>
              <w:right w:val="single" w:color="000000" w:sz="4" w:space="0"/>
            </w:tcBorders>
            <w:shd w:val="clear" w:color="auto" w:fill="FFFFFF"/>
            <w:vAlign w:val="center"/>
          </w:tcPr>
          <w:p w14:paraId="5CD3976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隧道洞室封堵</w:t>
            </w:r>
          </w:p>
        </w:tc>
        <w:tc>
          <w:tcPr>
            <w:tcW w:w="997" w:type="dxa"/>
            <w:tcBorders>
              <w:top w:val="nil"/>
              <w:left w:val="nil"/>
              <w:bottom w:val="single" w:color="000000" w:sz="4" w:space="0"/>
              <w:right w:val="single" w:color="000000" w:sz="4" w:space="0"/>
            </w:tcBorders>
            <w:shd w:val="clear" w:color="auto" w:fill="FFFFFF"/>
            <w:vAlign w:val="center"/>
          </w:tcPr>
          <w:p w14:paraId="3E87B0D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w:t>
            </w:r>
          </w:p>
        </w:tc>
        <w:tc>
          <w:tcPr>
            <w:tcW w:w="1196" w:type="dxa"/>
            <w:gridSpan w:val="2"/>
            <w:tcBorders>
              <w:top w:val="nil"/>
              <w:left w:val="nil"/>
              <w:bottom w:val="single" w:color="000000" w:sz="4" w:space="0"/>
              <w:right w:val="single" w:color="000000" w:sz="4" w:space="0"/>
            </w:tcBorders>
            <w:shd w:val="clear" w:color="auto" w:fill="FFFFFF"/>
            <w:vAlign w:val="center"/>
          </w:tcPr>
          <w:p w14:paraId="4AE77EB5">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198" w:type="dxa"/>
            <w:gridSpan w:val="3"/>
            <w:tcBorders>
              <w:top w:val="nil"/>
              <w:left w:val="nil"/>
              <w:bottom w:val="single" w:color="000000" w:sz="4" w:space="0"/>
              <w:right w:val="single" w:color="000000" w:sz="4" w:space="0"/>
            </w:tcBorders>
            <w:shd w:val="clear" w:color="auto" w:fill="FFFFFF"/>
            <w:vAlign w:val="center"/>
          </w:tcPr>
          <w:p w14:paraId="4C79110C">
            <w:pPr>
              <w:jc w:val="right"/>
              <w:rPr>
                <w:rFonts w:hint="default" w:ascii="Arial Narrow" w:hAnsi="Arial Narrow" w:eastAsia="Arial Narrow" w:cs="Arial Narrow"/>
                <w:i w:val="0"/>
                <w:iCs w:val="0"/>
                <w:color w:val="auto"/>
                <w:sz w:val="18"/>
                <w:szCs w:val="18"/>
                <w:highlight w:val="none"/>
                <w:u w:val="none"/>
              </w:rPr>
            </w:pPr>
          </w:p>
        </w:tc>
        <w:tc>
          <w:tcPr>
            <w:tcW w:w="1198" w:type="dxa"/>
            <w:gridSpan w:val="2"/>
            <w:tcBorders>
              <w:top w:val="nil"/>
              <w:left w:val="nil"/>
              <w:bottom w:val="single" w:color="000000" w:sz="4" w:space="0"/>
              <w:right w:val="single" w:color="000000" w:sz="8" w:space="0"/>
            </w:tcBorders>
            <w:shd w:val="clear" w:color="auto" w:fill="FFFFFF"/>
            <w:vAlign w:val="center"/>
          </w:tcPr>
          <w:p w14:paraId="4C631ADA">
            <w:pPr>
              <w:jc w:val="right"/>
              <w:rPr>
                <w:rFonts w:hint="default" w:ascii="Arial Narrow" w:hAnsi="Arial Narrow" w:eastAsia="Arial Narrow" w:cs="Arial Narrow"/>
                <w:i w:val="0"/>
                <w:iCs w:val="0"/>
                <w:color w:val="auto"/>
                <w:sz w:val="18"/>
                <w:szCs w:val="18"/>
                <w:highlight w:val="none"/>
                <w:u w:val="none"/>
              </w:rPr>
            </w:pPr>
          </w:p>
        </w:tc>
      </w:tr>
      <w:tr w14:paraId="12A9A0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1187" w:type="dxa"/>
          <w:trHeight w:val="300" w:hRule="atLeast"/>
          <w:jc w:val="center"/>
        </w:trPr>
        <w:tc>
          <w:tcPr>
            <w:tcW w:w="1026" w:type="dxa"/>
            <w:gridSpan w:val="2"/>
            <w:tcBorders>
              <w:top w:val="nil"/>
              <w:left w:val="single" w:color="000000" w:sz="8" w:space="0"/>
              <w:bottom w:val="single" w:color="000000" w:sz="4" w:space="0"/>
              <w:right w:val="single" w:color="000000" w:sz="4" w:space="0"/>
            </w:tcBorders>
            <w:shd w:val="clear" w:color="auto" w:fill="FFFFFF"/>
            <w:vAlign w:val="center"/>
          </w:tcPr>
          <w:p w14:paraId="4F8BEE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TS800-i</w:t>
            </w:r>
          </w:p>
        </w:tc>
        <w:tc>
          <w:tcPr>
            <w:tcW w:w="4045" w:type="dxa"/>
            <w:gridSpan w:val="4"/>
            <w:tcBorders>
              <w:top w:val="nil"/>
              <w:left w:val="nil"/>
              <w:bottom w:val="single" w:color="000000" w:sz="4" w:space="0"/>
              <w:right w:val="single" w:color="000000" w:sz="4" w:space="0"/>
            </w:tcBorders>
            <w:shd w:val="clear" w:color="auto" w:fill="FFFFFF"/>
            <w:vAlign w:val="center"/>
          </w:tcPr>
          <w:p w14:paraId="7572C67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人行、车行横通道清理</w:t>
            </w:r>
          </w:p>
        </w:tc>
        <w:tc>
          <w:tcPr>
            <w:tcW w:w="997" w:type="dxa"/>
            <w:tcBorders>
              <w:top w:val="nil"/>
              <w:left w:val="nil"/>
              <w:bottom w:val="single" w:color="000000" w:sz="4" w:space="0"/>
              <w:right w:val="single" w:color="000000" w:sz="4" w:space="0"/>
            </w:tcBorders>
            <w:shd w:val="clear" w:color="auto" w:fill="FFFFFF"/>
            <w:vAlign w:val="center"/>
          </w:tcPr>
          <w:p w14:paraId="412171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w:t>
            </w:r>
          </w:p>
        </w:tc>
        <w:tc>
          <w:tcPr>
            <w:tcW w:w="1196" w:type="dxa"/>
            <w:gridSpan w:val="2"/>
            <w:tcBorders>
              <w:top w:val="nil"/>
              <w:left w:val="nil"/>
              <w:bottom w:val="single" w:color="000000" w:sz="4" w:space="0"/>
              <w:right w:val="single" w:color="000000" w:sz="4" w:space="0"/>
            </w:tcBorders>
            <w:shd w:val="clear" w:color="auto" w:fill="FFFFFF"/>
            <w:vAlign w:val="center"/>
          </w:tcPr>
          <w:p w14:paraId="7E7602CA">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w:t>
            </w:r>
          </w:p>
        </w:tc>
        <w:tc>
          <w:tcPr>
            <w:tcW w:w="1198" w:type="dxa"/>
            <w:gridSpan w:val="3"/>
            <w:tcBorders>
              <w:top w:val="nil"/>
              <w:left w:val="nil"/>
              <w:bottom w:val="single" w:color="000000" w:sz="4" w:space="0"/>
              <w:right w:val="single" w:color="000000" w:sz="4" w:space="0"/>
            </w:tcBorders>
            <w:shd w:val="clear" w:color="auto" w:fill="FFFFFF"/>
            <w:vAlign w:val="center"/>
          </w:tcPr>
          <w:p w14:paraId="364163AB">
            <w:pPr>
              <w:jc w:val="right"/>
              <w:rPr>
                <w:rFonts w:hint="default" w:ascii="Arial Narrow" w:hAnsi="Arial Narrow" w:eastAsia="Arial Narrow" w:cs="Arial Narrow"/>
                <w:i w:val="0"/>
                <w:iCs w:val="0"/>
                <w:color w:val="auto"/>
                <w:sz w:val="18"/>
                <w:szCs w:val="18"/>
                <w:highlight w:val="none"/>
                <w:u w:val="none"/>
              </w:rPr>
            </w:pPr>
          </w:p>
        </w:tc>
        <w:tc>
          <w:tcPr>
            <w:tcW w:w="1198" w:type="dxa"/>
            <w:gridSpan w:val="2"/>
            <w:tcBorders>
              <w:top w:val="nil"/>
              <w:left w:val="nil"/>
              <w:bottom w:val="single" w:color="000000" w:sz="4" w:space="0"/>
              <w:right w:val="single" w:color="000000" w:sz="8" w:space="0"/>
            </w:tcBorders>
            <w:shd w:val="clear" w:color="auto" w:fill="FFFFFF"/>
            <w:vAlign w:val="center"/>
          </w:tcPr>
          <w:p w14:paraId="76C8CEF9">
            <w:pPr>
              <w:jc w:val="right"/>
              <w:rPr>
                <w:rFonts w:hint="default" w:ascii="Arial Narrow" w:hAnsi="Arial Narrow" w:eastAsia="Arial Narrow" w:cs="Arial Narrow"/>
                <w:i w:val="0"/>
                <w:iCs w:val="0"/>
                <w:color w:val="auto"/>
                <w:sz w:val="18"/>
                <w:szCs w:val="18"/>
                <w:highlight w:val="none"/>
                <w:u w:val="none"/>
              </w:rPr>
            </w:pPr>
          </w:p>
        </w:tc>
      </w:tr>
      <w:tr w14:paraId="2407EB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1187" w:type="dxa"/>
          <w:trHeight w:val="300" w:hRule="atLeast"/>
          <w:jc w:val="center"/>
        </w:trPr>
        <w:tc>
          <w:tcPr>
            <w:tcW w:w="1026" w:type="dxa"/>
            <w:gridSpan w:val="2"/>
            <w:tcBorders>
              <w:top w:val="nil"/>
              <w:left w:val="single" w:color="000000" w:sz="8" w:space="0"/>
              <w:bottom w:val="single" w:color="000000" w:sz="4" w:space="0"/>
              <w:right w:val="single" w:color="000000" w:sz="4" w:space="0"/>
            </w:tcBorders>
            <w:shd w:val="clear" w:color="auto" w:fill="FFFFFF"/>
            <w:vAlign w:val="center"/>
          </w:tcPr>
          <w:p w14:paraId="2136DB3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TS800-j</w:t>
            </w:r>
          </w:p>
        </w:tc>
        <w:tc>
          <w:tcPr>
            <w:tcW w:w="4045" w:type="dxa"/>
            <w:gridSpan w:val="4"/>
            <w:tcBorders>
              <w:top w:val="nil"/>
              <w:left w:val="nil"/>
              <w:bottom w:val="single" w:color="000000" w:sz="4" w:space="0"/>
              <w:right w:val="single" w:color="000000" w:sz="4" w:space="0"/>
            </w:tcBorders>
            <w:shd w:val="clear" w:color="auto" w:fill="FFFFFF"/>
            <w:vAlign w:val="center"/>
          </w:tcPr>
          <w:p w14:paraId="2FC2D4E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定制支架</w:t>
            </w:r>
          </w:p>
        </w:tc>
        <w:tc>
          <w:tcPr>
            <w:tcW w:w="997" w:type="dxa"/>
            <w:tcBorders>
              <w:top w:val="nil"/>
              <w:left w:val="nil"/>
              <w:bottom w:val="single" w:color="000000" w:sz="4" w:space="0"/>
              <w:right w:val="single" w:color="000000" w:sz="4" w:space="0"/>
            </w:tcBorders>
            <w:shd w:val="clear" w:color="auto" w:fill="FFFFFF"/>
            <w:vAlign w:val="center"/>
          </w:tcPr>
          <w:p w14:paraId="76FCDBF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196" w:type="dxa"/>
            <w:gridSpan w:val="2"/>
            <w:tcBorders>
              <w:top w:val="nil"/>
              <w:left w:val="nil"/>
              <w:bottom w:val="single" w:color="000000" w:sz="4" w:space="0"/>
              <w:right w:val="single" w:color="000000" w:sz="4" w:space="0"/>
            </w:tcBorders>
            <w:shd w:val="clear" w:color="auto" w:fill="FFFFFF"/>
            <w:vAlign w:val="center"/>
          </w:tcPr>
          <w:p w14:paraId="6F6E8530">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27</w:t>
            </w:r>
          </w:p>
        </w:tc>
        <w:tc>
          <w:tcPr>
            <w:tcW w:w="1198" w:type="dxa"/>
            <w:gridSpan w:val="3"/>
            <w:tcBorders>
              <w:top w:val="nil"/>
              <w:left w:val="nil"/>
              <w:bottom w:val="single" w:color="000000" w:sz="4" w:space="0"/>
              <w:right w:val="single" w:color="000000" w:sz="4" w:space="0"/>
            </w:tcBorders>
            <w:shd w:val="clear" w:color="auto" w:fill="FFFFFF"/>
            <w:vAlign w:val="center"/>
          </w:tcPr>
          <w:p w14:paraId="328AFB7A">
            <w:pPr>
              <w:jc w:val="right"/>
              <w:rPr>
                <w:rFonts w:hint="default" w:ascii="Arial Narrow" w:hAnsi="Arial Narrow" w:eastAsia="Arial Narrow" w:cs="Arial Narrow"/>
                <w:i w:val="0"/>
                <w:iCs w:val="0"/>
                <w:color w:val="auto"/>
                <w:sz w:val="18"/>
                <w:szCs w:val="18"/>
                <w:highlight w:val="none"/>
                <w:u w:val="none"/>
              </w:rPr>
            </w:pPr>
          </w:p>
        </w:tc>
        <w:tc>
          <w:tcPr>
            <w:tcW w:w="1198" w:type="dxa"/>
            <w:gridSpan w:val="2"/>
            <w:tcBorders>
              <w:top w:val="nil"/>
              <w:left w:val="nil"/>
              <w:bottom w:val="single" w:color="000000" w:sz="4" w:space="0"/>
              <w:right w:val="single" w:color="000000" w:sz="8" w:space="0"/>
            </w:tcBorders>
            <w:shd w:val="clear" w:color="auto" w:fill="FFFFFF"/>
            <w:vAlign w:val="center"/>
          </w:tcPr>
          <w:p w14:paraId="040BA03C">
            <w:pPr>
              <w:jc w:val="right"/>
              <w:rPr>
                <w:rFonts w:hint="default" w:ascii="Arial Narrow" w:hAnsi="Arial Narrow" w:eastAsia="Arial Narrow" w:cs="Arial Narrow"/>
                <w:i w:val="0"/>
                <w:iCs w:val="0"/>
                <w:color w:val="auto"/>
                <w:sz w:val="18"/>
                <w:szCs w:val="18"/>
                <w:highlight w:val="none"/>
                <w:u w:val="none"/>
              </w:rPr>
            </w:pPr>
          </w:p>
        </w:tc>
      </w:tr>
      <w:tr w14:paraId="7D188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1187" w:type="dxa"/>
          <w:trHeight w:val="300" w:hRule="atLeast"/>
          <w:jc w:val="center"/>
        </w:trPr>
        <w:tc>
          <w:tcPr>
            <w:tcW w:w="1026" w:type="dxa"/>
            <w:gridSpan w:val="2"/>
            <w:tcBorders>
              <w:top w:val="nil"/>
              <w:left w:val="single" w:color="000000" w:sz="8" w:space="0"/>
              <w:bottom w:val="single" w:color="000000" w:sz="4" w:space="0"/>
              <w:right w:val="single" w:color="000000" w:sz="4" w:space="0"/>
            </w:tcBorders>
            <w:shd w:val="clear" w:color="auto" w:fill="FFFFFF"/>
            <w:vAlign w:val="center"/>
          </w:tcPr>
          <w:p w14:paraId="0D6851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TS800-k</w:t>
            </w:r>
          </w:p>
        </w:tc>
        <w:tc>
          <w:tcPr>
            <w:tcW w:w="4045" w:type="dxa"/>
            <w:gridSpan w:val="4"/>
            <w:tcBorders>
              <w:top w:val="nil"/>
              <w:left w:val="nil"/>
              <w:bottom w:val="single" w:color="000000" w:sz="4" w:space="0"/>
              <w:right w:val="single" w:color="000000" w:sz="4" w:space="0"/>
            </w:tcBorders>
            <w:shd w:val="clear" w:color="auto" w:fill="FFFFFF"/>
            <w:vAlign w:val="center"/>
          </w:tcPr>
          <w:p w14:paraId="13B3C93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L杆定制</w:t>
            </w:r>
          </w:p>
        </w:tc>
        <w:tc>
          <w:tcPr>
            <w:tcW w:w="997" w:type="dxa"/>
            <w:tcBorders>
              <w:top w:val="nil"/>
              <w:left w:val="nil"/>
              <w:bottom w:val="single" w:color="000000" w:sz="4" w:space="0"/>
              <w:right w:val="single" w:color="000000" w:sz="4" w:space="0"/>
            </w:tcBorders>
            <w:shd w:val="clear" w:color="auto" w:fill="FFFFFF"/>
            <w:vAlign w:val="center"/>
          </w:tcPr>
          <w:p w14:paraId="5CD6B3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196" w:type="dxa"/>
            <w:gridSpan w:val="2"/>
            <w:tcBorders>
              <w:top w:val="nil"/>
              <w:left w:val="nil"/>
              <w:bottom w:val="single" w:color="000000" w:sz="4" w:space="0"/>
              <w:right w:val="single" w:color="000000" w:sz="4" w:space="0"/>
            </w:tcBorders>
            <w:shd w:val="clear" w:color="auto" w:fill="FFFFFF"/>
            <w:vAlign w:val="center"/>
          </w:tcPr>
          <w:p w14:paraId="511C901B">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2</w:t>
            </w:r>
          </w:p>
        </w:tc>
        <w:tc>
          <w:tcPr>
            <w:tcW w:w="1198" w:type="dxa"/>
            <w:gridSpan w:val="3"/>
            <w:tcBorders>
              <w:top w:val="nil"/>
              <w:left w:val="nil"/>
              <w:bottom w:val="single" w:color="000000" w:sz="4" w:space="0"/>
              <w:right w:val="single" w:color="000000" w:sz="4" w:space="0"/>
            </w:tcBorders>
            <w:shd w:val="clear" w:color="auto" w:fill="FFFFFF"/>
            <w:vAlign w:val="center"/>
          </w:tcPr>
          <w:p w14:paraId="7041E996">
            <w:pPr>
              <w:jc w:val="right"/>
              <w:rPr>
                <w:rFonts w:hint="default" w:ascii="Arial Narrow" w:hAnsi="Arial Narrow" w:eastAsia="Arial Narrow" w:cs="Arial Narrow"/>
                <w:i w:val="0"/>
                <w:iCs w:val="0"/>
                <w:color w:val="auto"/>
                <w:sz w:val="18"/>
                <w:szCs w:val="18"/>
                <w:highlight w:val="none"/>
                <w:u w:val="none"/>
              </w:rPr>
            </w:pPr>
          </w:p>
        </w:tc>
        <w:tc>
          <w:tcPr>
            <w:tcW w:w="1198" w:type="dxa"/>
            <w:gridSpan w:val="2"/>
            <w:tcBorders>
              <w:top w:val="nil"/>
              <w:left w:val="nil"/>
              <w:bottom w:val="single" w:color="000000" w:sz="4" w:space="0"/>
              <w:right w:val="single" w:color="000000" w:sz="8" w:space="0"/>
            </w:tcBorders>
            <w:shd w:val="clear" w:color="auto" w:fill="FFFFFF"/>
            <w:vAlign w:val="center"/>
          </w:tcPr>
          <w:p w14:paraId="2BDE6EAF">
            <w:pPr>
              <w:jc w:val="right"/>
              <w:rPr>
                <w:rFonts w:hint="default" w:ascii="Arial Narrow" w:hAnsi="Arial Narrow" w:eastAsia="Arial Narrow" w:cs="Arial Narrow"/>
                <w:i w:val="0"/>
                <w:iCs w:val="0"/>
                <w:color w:val="auto"/>
                <w:sz w:val="18"/>
                <w:szCs w:val="18"/>
                <w:highlight w:val="none"/>
                <w:u w:val="none"/>
              </w:rPr>
            </w:pPr>
          </w:p>
        </w:tc>
      </w:tr>
      <w:tr w14:paraId="7B161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1187" w:type="dxa"/>
          <w:trHeight w:val="300" w:hRule="atLeast"/>
          <w:jc w:val="center"/>
        </w:trPr>
        <w:tc>
          <w:tcPr>
            <w:tcW w:w="1026" w:type="dxa"/>
            <w:gridSpan w:val="2"/>
            <w:tcBorders>
              <w:top w:val="nil"/>
              <w:left w:val="single" w:color="000000" w:sz="8" w:space="0"/>
              <w:bottom w:val="single" w:color="000000" w:sz="4" w:space="0"/>
              <w:right w:val="single" w:color="000000" w:sz="4" w:space="0"/>
            </w:tcBorders>
            <w:shd w:val="clear" w:color="auto" w:fill="FFFFFF"/>
            <w:vAlign w:val="center"/>
          </w:tcPr>
          <w:p w14:paraId="0A2935D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TS802</w:t>
            </w:r>
          </w:p>
        </w:tc>
        <w:tc>
          <w:tcPr>
            <w:tcW w:w="4045" w:type="dxa"/>
            <w:gridSpan w:val="4"/>
            <w:tcBorders>
              <w:top w:val="nil"/>
              <w:left w:val="nil"/>
              <w:bottom w:val="single" w:color="000000" w:sz="4" w:space="0"/>
              <w:right w:val="single" w:color="000000" w:sz="4" w:space="0"/>
            </w:tcBorders>
            <w:shd w:val="clear" w:color="auto" w:fill="FFFFFF"/>
            <w:vAlign w:val="center"/>
          </w:tcPr>
          <w:p w14:paraId="512677D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管道</w:t>
            </w:r>
          </w:p>
        </w:tc>
        <w:tc>
          <w:tcPr>
            <w:tcW w:w="997" w:type="dxa"/>
            <w:tcBorders>
              <w:top w:val="nil"/>
              <w:left w:val="nil"/>
              <w:bottom w:val="single" w:color="000000" w:sz="4" w:space="0"/>
              <w:right w:val="single" w:color="000000" w:sz="4" w:space="0"/>
            </w:tcBorders>
            <w:shd w:val="clear" w:color="auto" w:fill="FFFFFF"/>
            <w:vAlign w:val="center"/>
          </w:tcPr>
          <w:p w14:paraId="3591DCEE">
            <w:pPr>
              <w:jc w:val="center"/>
              <w:rPr>
                <w:rFonts w:hint="eastAsia" w:ascii="宋体" w:hAnsi="宋体" w:eastAsia="宋体" w:cs="宋体"/>
                <w:i w:val="0"/>
                <w:iCs w:val="0"/>
                <w:color w:val="auto"/>
                <w:sz w:val="18"/>
                <w:szCs w:val="18"/>
                <w:highlight w:val="none"/>
                <w:u w:val="none"/>
              </w:rPr>
            </w:pPr>
          </w:p>
        </w:tc>
        <w:tc>
          <w:tcPr>
            <w:tcW w:w="1196" w:type="dxa"/>
            <w:gridSpan w:val="2"/>
            <w:tcBorders>
              <w:top w:val="nil"/>
              <w:left w:val="nil"/>
              <w:bottom w:val="single" w:color="000000" w:sz="4" w:space="0"/>
              <w:right w:val="single" w:color="000000" w:sz="4" w:space="0"/>
            </w:tcBorders>
            <w:shd w:val="clear" w:color="auto" w:fill="FFFFFF"/>
            <w:vAlign w:val="center"/>
          </w:tcPr>
          <w:p w14:paraId="26834C0E">
            <w:pPr>
              <w:jc w:val="right"/>
              <w:rPr>
                <w:rFonts w:hint="default" w:ascii="Arial Narrow" w:hAnsi="Arial Narrow" w:eastAsia="Arial Narrow" w:cs="Arial Narrow"/>
                <w:i w:val="0"/>
                <w:iCs w:val="0"/>
                <w:color w:val="auto"/>
                <w:sz w:val="18"/>
                <w:szCs w:val="18"/>
                <w:highlight w:val="none"/>
                <w:u w:val="none"/>
              </w:rPr>
            </w:pPr>
          </w:p>
        </w:tc>
        <w:tc>
          <w:tcPr>
            <w:tcW w:w="1198" w:type="dxa"/>
            <w:gridSpan w:val="3"/>
            <w:tcBorders>
              <w:top w:val="nil"/>
              <w:left w:val="nil"/>
              <w:bottom w:val="single" w:color="000000" w:sz="4" w:space="0"/>
              <w:right w:val="single" w:color="000000" w:sz="4" w:space="0"/>
            </w:tcBorders>
            <w:shd w:val="clear" w:color="auto" w:fill="FFFFFF"/>
            <w:vAlign w:val="center"/>
          </w:tcPr>
          <w:p w14:paraId="3B6E8923">
            <w:pPr>
              <w:jc w:val="right"/>
              <w:rPr>
                <w:rFonts w:hint="default" w:ascii="Arial Narrow" w:hAnsi="Arial Narrow" w:eastAsia="Arial Narrow" w:cs="Arial Narrow"/>
                <w:i w:val="0"/>
                <w:iCs w:val="0"/>
                <w:color w:val="auto"/>
                <w:sz w:val="18"/>
                <w:szCs w:val="18"/>
                <w:highlight w:val="none"/>
                <w:u w:val="none"/>
              </w:rPr>
            </w:pPr>
          </w:p>
        </w:tc>
        <w:tc>
          <w:tcPr>
            <w:tcW w:w="1198" w:type="dxa"/>
            <w:gridSpan w:val="2"/>
            <w:tcBorders>
              <w:top w:val="nil"/>
              <w:left w:val="nil"/>
              <w:bottom w:val="single" w:color="000000" w:sz="4" w:space="0"/>
              <w:right w:val="single" w:color="000000" w:sz="8" w:space="0"/>
            </w:tcBorders>
            <w:shd w:val="clear" w:color="auto" w:fill="FFFFFF"/>
            <w:vAlign w:val="center"/>
          </w:tcPr>
          <w:p w14:paraId="0053751F">
            <w:pPr>
              <w:jc w:val="right"/>
              <w:rPr>
                <w:rFonts w:hint="default" w:ascii="Arial Narrow" w:hAnsi="Arial Narrow" w:eastAsia="Arial Narrow" w:cs="Arial Narrow"/>
                <w:i w:val="0"/>
                <w:iCs w:val="0"/>
                <w:color w:val="auto"/>
                <w:sz w:val="18"/>
                <w:szCs w:val="18"/>
                <w:highlight w:val="none"/>
                <w:u w:val="none"/>
              </w:rPr>
            </w:pPr>
          </w:p>
        </w:tc>
      </w:tr>
      <w:tr w14:paraId="202A12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1187" w:type="dxa"/>
          <w:trHeight w:val="300" w:hRule="atLeast"/>
          <w:jc w:val="center"/>
        </w:trPr>
        <w:tc>
          <w:tcPr>
            <w:tcW w:w="1026" w:type="dxa"/>
            <w:gridSpan w:val="2"/>
            <w:tcBorders>
              <w:top w:val="nil"/>
              <w:left w:val="single" w:color="000000" w:sz="8" w:space="0"/>
              <w:bottom w:val="single" w:color="000000" w:sz="4" w:space="0"/>
              <w:right w:val="single" w:color="000000" w:sz="4" w:space="0"/>
            </w:tcBorders>
            <w:shd w:val="clear" w:color="auto" w:fill="FFFFFF"/>
            <w:vAlign w:val="center"/>
          </w:tcPr>
          <w:p w14:paraId="426BA6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TS802-2</w:t>
            </w:r>
          </w:p>
        </w:tc>
        <w:tc>
          <w:tcPr>
            <w:tcW w:w="4045" w:type="dxa"/>
            <w:gridSpan w:val="4"/>
            <w:tcBorders>
              <w:top w:val="nil"/>
              <w:left w:val="nil"/>
              <w:bottom w:val="single" w:color="000000" w:sz="4" w:space="0"/>
              <w:right w:val="single" w:color="000000" w:sz="4" w:space="0"/>
            </w:tcBorders>
            <w:shd w:val="clear" w:color="auto" w:fill="FFFFFF"/>
            <w:vAlign w:val="center"/>
          </w:tcPr>
          <w:p w14:paraId="5991A81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管道</w:t>
            </w:r>
          </w:p>
        </w:tc>
        <w:tc>
          <w:tcPr>
            <w:tcW w:w="997" w:type="dxa"/>
            <w:tcBorders>
              <w:top w:val="nil"/>
              <w:left w:val="nil"/>
              <w:bottom w:val="single" w:color="000000" w:sz="4" w:space="0"/>
              <w:right w:val="single" w:color="000000" w:sz="4" w:space="0"/>
            </w:tcBorders>
            <w:shd w:val="clear" w:color="auto" w:fill="FFFFFF"/>
            <w:vAlign w:val="center"/>
          </w:tcPr>
          <w:p w14:paraId="0B5A68EA">
            <w:pPr>
              <w:jc w:val="center"/>
              <w:rPr>
                <w:rFonts w:hint="eastAsia" w:ascii="宋体" w:hAnsi="宋体" w:eastAsia="宋体" w:cs="宋体"/>
                <w:i w:val="0"/>
                <w:iCs w:val="0"/>
                <w:color w:val="auto"/>
                <w:sz w:val="18"/>
                <w:szCs w:val="18"/>
                <w:highlight w:val="none"/>
                <w:u w:val="none"/>
              </w:rPr>
            </w:pPr>
          </w:p>
        </w:tc>
        <w:tc>
          <w:tcPr>
            <w:tcW w:w="1196" w:type="dxa"/>
            <w:gridSpan w:val="2"/>
            <w:tcBorders>
              <w:top w:val="nil"/>
              <w:left w:val="nil"/>
              <w:bottom w:val="single" w:color="000000" w:sz="4" w:space="0"/>
              <w:right w:val="single" w:color="000000" w:sz="4" w:space="0"/>
            </w:tcBorders>
            <w:shd w:val="clear" w:color="auto" w:fill="FFFFFF"/>
            <w:vAlign w:val="center"/>
          </w:tcPr>
          <w:p w14:paraId="293A51CE">
            <w:pPr>
              <w:jc w:val="right"/>
              <w:rPr>
                <w:rFonts w:hint="default" w:ascii="Arial Narrow" w:hAnsi="Arial Narrow" w:eastAsia="Arial Narrow" w:cs="Arial Narrow"/>
                <w:i w:val="0"/>
                <w:iCs w:val="0"/>
                <w:color w:val="auto"/>
                <w:sz w:val="18"/>
                <w:szCs w:val="18"/>
                <w:highlight w:val="none"/>
                <w:u w:val="none"/>
              </w:rPr>
            </w:pPr>
          </w:p>
        </w:tc>
        <w:tc>
          <w:tcPr>
            <w:tcW w:w="1198" w:type="dxa"/>
            <w:gridSpan w:val="3"/>
            <w:tcBorders>
              <w:top w:val="nil"/>
              <w:left w:val="nil"/>
              <w:bottom w:val="single" w:color="000000" w:sz="4" w:space="0"/>
              <w:right w:val="single" w:color="000000" w:sz="4" w:space="0"/>
            </w:tcBorders>
            <w:shd w:val="clear" w:color="auto" w:fill="FFFFFF"/>
            <w:vAlign w:val="center"/>
          </w:tcPr>
          <w:p w14:paraId="22998910">
            <w:pPr>
              <w:jc w:val="right"/>
              <w:rPr>
                <w:rFonts w:hint="default" w:ascii="Arial Narrow" w:hAnsi="Arial Narrow" w:eastAsia="Arial Narrow" w:cs="Arial Narrow"/>
                <w:i w:val="0"/>
                <w:iCs w:val="0"/>
                <w:color w:val="auto"/>
                <w:sz w:val="18"/>
                <w:szCs w:val="18"/>
                <w:highlight w:val="none"/>
                <w:u w:val="none"/>
              </w:rPr>
            </w:pPr>
          </w:p>
        </w:tc>
        <w:tc>
          <w:tcPr>
            <w:tcW w:w="1198" w:type="dxa"/>
            <w:gridSpan w:val="2"/>
            <w:tcBorders>
              <w:top w:val="nil"/>
              <w:left w:val="nil"/>
              <w:bottom w:val="single" w:color="000000" w:sz="4" w:space="0"/>
              <w:right w:val="single" w:color="000000" w:sz="8" w:space="0"/>
            </w:tcBorders>
            <w:shd w:val="clear" w:color="auto" w:fill="FFFFFF"/>
            <w:vAlign w:val="center"/>
          </w:tcPr>
          <w:p w14:paraId="6A1BEEF4">
            <w:pPr>
              <w:jc w:val="right"/>
              <w:rPr>
                <w:rFonts w:hint="default" w:ascii="Arial Narrow" w:hAnsi="Arial Narrow" w:eastAsia="Arial Narrow" w:cs="Arial Narrow"/>
                <w:i w:val="0"/>
                <w:iCs w:val="0"/>
                <w:color w:val="auto"/>
                <w:sz w:val="18"/>
                <w:szCs w:val="18"/>
                <w:highlight w:val="none"/>
                <w:u w:val="none"/>
              </w:rPr>
            </w:pPr>
          </w:p>
        </w:tc>
      </w:tr>
      <w:tr w14:paraId="58D6A8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1187" w:type="dxa"/>
          <w:trHeight w:val="300" w:hRule="atLeast"/>
          <w:jc w:val="center"/>
        </w:trPr>
        <w:tc>
          <w:tcPr>
            <w:tcW w:w="1026" w:type="dxa"/>
            <w:gridSpan w:val="2"/>
            <w:tcBorders>
              <w:top w:val="nil"/>
              <w:left w:val="single" w:color="000000" w:sz="8" w:space="0"/>
              <w:bottom w:val="single" w:color="000000" w:sz="4" w:space="0"/>
              <w:right w:val="single" w:color="000000" w:sz="4" w:space="0"/>
            </w:tcBorders>
            <w:shd w:val="clear" w:color="auto" w:fill="FFFFFF"/>
            <w:vAlign w:val="center"/>
          </w:tcPr>
          <w:p w14:paraId="53D6AB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TS802-2-a</w:t>
            </w:r>
          </w:p>
        </w:tc>
        <w:tc>
          <w:tcPr>
            <w:tcW w:w="4045" w:type="dxa"/>
            <w:gridSpan w:val="4"/>
            <w:tcBorders>
              <w:top w:val="nil"/>
              <w:left w:val="nil"/>
              <w:bottom w:val="single" w:color="000000" w:sz="4" w:space="0"/>
              <w:right w:val="single" w:color="000000" w:sz="4" w:space="0"/>
            </w:tcBorders>
            <w:shd w:val="clear" w:color="auto" w:fill="FFFFFF"/>
            <w:vAlign w:val="center"/>
          </w:tcPr>
          <w:p w14:paraId="27907EF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Ф25PVC电缆保护管</w:t>
            </w:r>
          </w:p>
        </w:tc>
        <w:tc>
          <w:tcPr>
            <w:tcW w:w="997" w:type="dxa"/>
            <w:tcBorders>
              <w:top w:val="nil"/>
              <w:left w:val="nil"/>
              <w:bottom w:val="single" w:color="000000" w:sz="4" w:space="0"/>
              <w:right w:val="single" w:color="000000" w:sz="4" w:space="0"/>
            </w:tcBorders>
            <w:shd w:val="clear" w:color="auto" w:fill="FFFFFF"/>
            <w:vAlign w:val="center"/>
          </w:tcPr>
          <w:p w14:paraId="5C433D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196" w:type="dxa"/>
            <w:gridSpan w:val="2"/>
            <w:tcBorders>
              <w:top w:val="nil"/>
              <w:left w:val="nil"/>
              <w:bottom w:val="single" w:color="000000" w:sz="4" w:space="0"/>
              <w:right w:val="single" w:color="000000" w:sz="4" w:space="0"/>
            </w:tcBorders>
            <w:shd w:val="clear" w:color="auto" w:fill="FFFFFF"/>
            <w:vAlign w:val="center"/>
          </w:tcPr>
          <w:p w14:paraId="3E751FA0">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4550</w:t>
            </w:r>
          </w:p>
        </w:tc>
        <w:tc>
          <w:tcPr>
            <w:tcW w:w="1198" w:type="dxa"/>
            <w:gridSpan w:val="3"/>
            <w:tcBorders>
              <w:top w:val="nil"/>
              <w:left w:val="nil"/>
              <w:bottom w:val="single" w:color="000000" w:sz="4" w:space="0"/>
              <w:right w:val="single" w:color="000000" w:sz="4" w:space="0"/>
            </w:tcBorders>
            <w:shd w:val="clear" w:color="auto" w:fill="FFFFFF"/>
            <w:vAlign w:val="center"/>
          </w:tcPr>
          <w:p w14:paraId="0FCC2AE0">
            <w:pPr>
              <w:jc w:val="right"/>
              <w:rPr>
                <w:rFonts w:hint="default" w:ascii="Arial Narrow" w:hAnsi="Arial Narrow" w:eastAsia="Arial Narrow" w:cs="Arial Narrow"/>
                <w:i w:val="0"/>
                <w:iCs w:val="0"/>
                <w:color w:val="auto"/>
                <w:sz w:val="18"/>
                <w:szCs w:val="18"/>
                <w:highlight w:val="none"/>
                <w:u w:val="none"/>
              </w:rPr>
            </w:pPr>
          </w:p>
        </w:tc>
        <w:tc>
          <w:tcPr>
            <w:tcW w:w="1198" w:type="dxa"/>
            <w:gridSpan w:val="2"/>
            <w:tcBorders>
              <w:top w:val="nil"/>
              <w:left w:val="nil"/>
              <w:bottom w:val="single" w:color="000000" w:sz="4" w:space="0"/>
              <w:right w:val="single" w:color="000000" w:sz="8" w:space="0"/>
            </w:tcBorders>
            <w:shd w:val="clear" w:color="auto" w:fill="FFFFFF"/>
            <w:vAlign w:val="center"/>
          </w:tcPr>
          <w:p w14:paraId="0001CB4C">
            <w:pPr>
              <w:jc w:val="right"/>
              <w:rPr>
                <w:rFonts w:hint="default" w:ascii="Arial Narrow" w:hAnsi="Arial Narrow" w:eastAsia="Arial Narrow" w:cs="Arial Narrow"/>
                <w:i w:val="0"/>
                <w:iCs w:val="0"/>
                <w:color w:val="auto"/>
                <w:sz w:val="18"/>
                <w:szCs w:val="18"/>
                <w:highlight w:val="none"/>
                <w:u w:val="none"/>
              </w:rPr>
            </w:pPr>
          </w:p>
        </w:tc>
      </w:tr>
      <w:tr w14:paraId="23635C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1187" w:type="dxa"/>
          <w:trHeight w:val="300" w:hRule="atLeast"/>
          <w:jc w:val="center"/>
        </w:trPr>
        <w:tc>
          <w:tcPr>
            <w:tcW w:w="1026" w:type="dxa"/>
            <w:gridSpan w:val="2"/>
            <w:tcBorders>
              <w:top w:val="nil"/>
              <w:left w:val="single" w:color="000000" w:sz="8" w:space="0"/>
              <w:bottom w:val="single" w:color="000000" w:sz="4" w:space="0"/>
              <w:right w:val="single" w:color="000000" w:sz="4" w:space="0"/>
            </w:tcBorders>
            <w:shd w:val="clear" w:color="auto" w:fill="FFFFFF"/>
            <w:vAlign w:val="center"/>
          </w:tcPr>
          <w:p w14:paraId="54FFE2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TS802-2-b</w:t>
            </w:r>
          </w:p>
        </w:tc>
        <w:tc>
          <w:tcPr>
            <w:tcW w:w="4045" w:type="dxa"/>
            <w:gridSpan w:val="4"/>
            <w:tcBorders>
              <w:top w:val="nil"/>
              <w:left w:val="nil"/>
              <w:bottom w:val="single" w:color="000000" w:sz="4" w:space="0"/>
              <w:right w:val="single" w:color="000000" w:sz="4" w:space="0"/>
            </w:tcBorders>
            <w:shd w:val="clear" w:color="auto" w:fill="FFFFFF"/>
            <w:vAlign w:val="center"/>
          </w:tcPr>
          <w:p w14:paraId="480F9E9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电缆保护管 （φ25 PE管）</w:t>
            </w:r>
          </w:p>
        </w:tc>
        <w:tc>
          <w:tcPr>
            <w:tcW w:w="997" w:type="dxa"/>
            <w:tcBorders>
              <w:top w:val="nil"/>
              <w:left w:val="nil"/>
              <w:bottom w:val="single" w:color="000000" w:sz="4" w:space="0"/>
              <w:right w:val="single" w:color="000000" w:sz="4" w:space="0"/>
            </w:tcBorders>
            <w:shd w:val="clear" w:color="auto" w:fill="FFFFFF"/>
            <w:vAlign w:val="center"/>
          </w:tcPr>
          <w:p w14:paraId="1F6315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196" w:type="dxa"/>
            <w:gridSpan w:val="2"/>
            <w:tcBorders>
              <w:top w:val="nil"/>
              <w:left w:val="nil"/>
              <w:bottom w:val="single" w:color="000000" w:sz="4" w:space="0"/>
              <w:right w:val="single" w:color="000000" w:sz="4" w:space="0"/>
            </w:tcBorders>
            <w:shd w:val="clear" w:color="auto" w:fill="FFFFFF"/>
            <w:vAlign w:val="center"/>
          </w:tcPr>
          <w:p w14:paraId="09996292">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90</w:t>
            </w:r>
          </w:p>
        </w:tc>
        <w:tc>
          <w:tcPr>
            <w:tcW w:w="1198" w:type="dxa"/>
            <w:gridSpan w:val="3"/>
            <w:tcBorders>
              <w:top w:val="nil"/>
              <w:left w:val="nil"/>
              <w:bottom w:val="single" w:color="000000" w:sz="4" w:space="0"/>
              <w:right w:val="single" w:color="000000" w:sz="4" w:space="0"/>
            </w:tcBorders>
            <w:shd w:val="clear" w:color="auto" w:fill="FFFFFF"/>
            <w:vAlign w:val="center"/>
          </w:tcPr>
          <w:p w14:paraId="00E1E64F">
            <w:pPr>
              <w:jc w:val="right"/>
              <w:rPr>
                <w:rFonts w:hint="default" w:ascii="Arial Narrow" w:hAnsi="Arial Narrow" w:eastAsia="Arial Narrow" w:cs="Arial Narrow"/>
                <w:i w:val="0"/>
                <w:iCs w:val="0"/>
                <w:color w:val="auto"/>
                <w:sz w:val="18"/>
                <w:szCs w:val="18"/>
                <w:highlight w:val="none"/>
                <w:u w:val="none"/>
              </w:rPr>
            </w:pPr>
          </w:p>
        </w:tc>
        <w:tc>
          <w:tcPr>
            <w:tcW w:w="1198" w:type="dxa"/>
            <w:gridSpan w:val="2"/>
            <w:tcBorders>
              <w:top w:val="nil"/>
              <w:left w:val="nil"/>
              <w:bottom w:val="single" w:color="000000" w:sz="4" w:space="0"/>
              <w:right w:val="single" w:color="000000" w:sz="8" w:space="0"/>
            </w:tcBorders>
            <w:shd w:val="clear" w:color="auto" w:fill="FFFFFF"/>
            <w:vAlign w:val="center"/>
          </w:tcPr>
          <w:p w14:paraId="223A1A11">
            <w:pPr>
              <w:jc w:val="right"/>
              <w:rPr>
                <w:rFonts w:hint="default" w:ascii="Arial Narrow" w:hAnsi="Arial Narrow" w:eastAsia="Arial Narrow" w:cs="Arial Narrow"/>
                <w:i w:val="0"/>
                <w:iCs w:val="0"/>
                <w:color w:val="auto"/>
                <w:sz w:val="18"/>
                <w:szCs w:val="18"/>
                <w:highlight w:val="none"/>
                <w:u w:val="none"/>
              </w:rPr>
            </w:pPr>
          </w:p>
        </w:tc>
      </w:tr>
      <w:tr w14:paraId="22ECBF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1187" w:type="dxa"/>
          <w:trHeight w:val="300" w:hRule="atLeast"/>
          <w:jc w:val="center"/>
        </w:trPr>
        <w:tc>
          <w:tcPr>
            <w:tcW w:w="1026" w:type="dxa"/>
            <w:gridSpan w:val="2"/>
            <w:tcBorders>
              <w:top w:val="nil"/>
              <w:left w:val="single" w:color="000000" w:sz="8" w:space="0"/>
              <w:bottom w:val="single" w:color="000000" w:sz="4" w:space="0"/>
              <w:right w:val="single" w:color="000000" w:sz="4" w:space="0"/>
            </w:tcBorders>
            <w:shd w:val="clear" w:color="auto" w:fill="FFFFFF"/>
            <w:vAlign w:val="center"/>
          </w:tcPr>
          <w:p w14:paraId="1807683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TS802-5</w:t>
            </w:r>
          </w:p>
        </w:tc>
        <w:tc>
          <w:tcPr>
            <w:tcW w:w="4045" w:type="dxa"/>
            <w:gridSpan w:val="4"/>
            <w:tcBorders>
              <w:top w:val="nil"/>
              <w:left w:val="nil"/>
              <w:bottom w:val="single" w:color="000000" w:sz="4" w:space="0"/>
              <w:right w:val="single" w:color="000000" w:sz="4" w:space="0"/>
            </w:tcBorders>
            <w:shd w:val="clear" w:color="auto" w:fill="FFFFFF"/>
            <w:vAlign w:val="center"/>
          </w:tcPr>
          <w:p w14:paraId="2137692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电缆桥架</w:t>
            </w:r>
          </w:p>
        </w:tc>
        <w:tc>
          <w:tcPr>
            <w:tcW w:w="997" w:type="dxa"/>
            <w:tcBorders>
              <w:top w:val="nil"/>
              <w:left w:val="nil"/>
              <w:bottom w:val="single" w:color="000000" w:sz="4" w:space="0"/>
              <w:right w:val="single" w:color="000000" w:sz="4" w:space="0"/>
            </w:tcBorders>
            <w:shd w:val="clear" w:color="auto" w:fill="FFFFFF"/>
            <w:vAlign w:val="center"/>
          </w:tcPr>
          <w:p w14:paraId="5B730327">
            <w:pPr>
              <w:jc w:val="center"/>
              <w:rPr>
                <w:rFonts w:hint="eastAsia" w:ascii="宋体" w:hAnsi="宋体" w:eastAsia="宋体" w:cs="宋体"/>
                <w:i w:val="0"/>
                <w:iCs w:val="0"/>
                <w:color w:val="auto"/>
                <w:sz w:val="18"/>
                <w:szCs w:val="18"/>
                <w:highlight w:val="none"/>
                <w:u w:val="none"/>
              </w:rPr>
            </w:pPr>
          </w:p>
        </w:tc>
        <w:tc>
          <w:tcPr>
            <w:tcW w:w="1196" w:type="dxa"/>
            <w:gridSpan w:val="2"/>
            <w:tcBorders>
              <w:top w:val="nil"/>
              <w:left w:val="nil"/>
              <w:bottom w:val="single" w:color="000000" w:sz="4" w:space="0"/>
              <w:right w:val="single" w:color="000000" w:sz="4" w:space="0"/>
            </w:tcBorders>
            <w:shd w:val="clear" w:color="auto" w:fill="FFFFFF"/>
            <w:vAlign w:val="center"/>
          </w:tcPr>
          <w:p w14:paraId="431FC924">
            <w:pPr>
              <w:jc w:val="right"/>
              <w:rPr>
                <w:rFonts w:hint="default" w:ascii="Arial Narrow" w:hAnsi="Arial Narrow" w:eastAsia="Arial Narrow" w:cs="Arial Narrow"/>
                <w:i w:val="0"/>
                <w:iCs w:val="0"/>
                <w:color w:val="auto"/>
                <w:sz w:val="18"/>
                <w:szCs w:val="18"/>
                <w:highlight w:val="none"/>
                <w:u w:val="none"/>
              </w:rPr>
            </w:pPr>
          </w:p>
        </w:tc>
        <w:tc>
          <w:tcPr>
            <w:tcW w:w="1198" w:type="dxa"/>
            <w:gridSpan w:val="3"/>
            <w:tcBorders>
              <w:top w:val="nil"/>
              <w:left w:val="nil"/>
              <w:bottom w:val="single" w:color="000000" w:sz="4" w:space="0"/>
              <w:right w:val="single" w:color="000000" w:sz="4" w:space="0"/>
            </w:tcBorders>
            <w:shd w:val="clear" w:color="auto" w:fill="FFFFFF"/>
            <w:vAlign w:val="center"/>
          </w:tcPr>
          <w:p w14:paraId="2002326C">
            <w:pPr>
              <w:jc w:val="right"/>
              <w:rPr>
                <w:rFonts w:hint="default" w:ascii="Arial Narrow" w:hAnsi="Arial Narrow" w:eastAsia="Arial Narrow" w:cs="Arial Narrow"/>
                <w:i w:val="0"/>
                <w:iCs w:val="0"/>
                <w:color w:val="auto"/>
                <w:sz w:val="18"/>
                <w:szCs w:val="18"/>
                <w:highlight w:val="none"/>
                <w:u w:val="none"/>
              </w:rPr>
            </w:pPr>
          </w:p>
        </w:tc>
        <w:tc>
          <w:tcPr>
            <w:tcW w:w="1198" w:type="dxa"/>
            <w:gridSpan w:val="2"/>
            <w:tcBorders>
              <w:top w:val="nil"/>
              <w:left w:val="nil"/>
              <w:bottom w:val="single" w:color="000000" w:sz="4" w:space="0"/>
              <w:right w:val="single" w:color="000000" w:sz="8" w:space="0"/>
            </w:tcBorders>
            <w:shd w:val="clear" w:color="auto" w:fill="FFFFFF"/>
            <w:vAlign w:val="center"/>
          </w:tcPr>
          <w:p w14:paraId="19803322">
            <w:pPr>
              <w:jc w:val="right"/>
              <w:rPr>
                <w:rFonts w:hint="default" w:ascii="Arial Narrow" w:hAnsi="Arial Narrow" w:eastAsia="Arial Narrow" w:cs="Arial Narrow"/>
                <w:i w:val="0"/>
                <w:iCs w:val="0"/>
                <w:color w:val="auto"/>
                <w:sz w:val="18"/>
                <w:szCs w:val="18"/>
                <w:highlight w:val="none"/>
                <w:u w:val="none"/>
              </w:rPr>
            </w:pPr>
          </w:p>
        </w:tc>
      </w:tr>
      <w:tr w14:paraId="072D9F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1187" w:type="dxa"/>
          <w:trHeight w:val="300" w:hRule="atLeast"/>
          <w:jc w:val="center"/>
        </w:trPr>
        <w:tc>
          <w:tcPr>
            <w:tcW w:w="1026" w:type="dxa"/>
            <w:gridSpan w:val="2"/>
            <w:tcBorders>
              <w:top w:val="nil"/>
              <w:left w:val="single" w:color="000000" w:sz="8" w:space="0"/>
              <w:bottom w:val="single" w:color="000000" w:sz="4" w:space="0"/>
              <w:right w:val="single" w:color="000000" w:sz="4" w:space="0"/>
            </w:tcBorders>
            <w:shd w:val="clear" w:color="auto" w:fill="FFFFFF"/>
            <w:vAlign w:val="center"/>
          </w:tcPr>
          <w:p w14:paraId="405BA7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TS802-5-a</w:t>
            </w:r>
          </w:p>
        </w:tc>
        <w:tc>
          <w:tcPr>
            <w:tcW w:w="4045" w:type="dxa"/>
            <w:gridSpan w:val="4"/>
            <w:tcBorders>
              <w:top w:val="nil"/>
              <w:left w:val="nil"/>
              <w:bottom w:val="single" w:color="000000" w:sz="4" w:space="0"/>
              <w:right w:val="single" w:color="000000" w:sz="4" w:space="0"/>
            </w:tcBorders>
            <w:shd w:val="clear" w:color="auto" w:fill="FFFFFF"/>
            <w:vAlign w:val="center"/>
          </w:tcPr>
          <w:p w14:paraId="350C022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桥架拆除</w:t>
            </w:r>
          </w:p>
        </w:tc>
        <w:tc>
          <w:tcPr>
            <w:tcW w:w="997" w:type="dxa"/>
            <w:tcBorders>
              <w:top w:val="nil"/>
              <w:left w:val="nil"/>
              <w:bottom w:val="single" w:color="000000" w:sz="4" w:space="0"/>
              <w:right w:val="single" w:color="000000" w:sz="4" w:space="0"/>
            </w:tcBorders>
            <w:shd w:val="clear" w:color="auto" w:fill="FFFFFF"/>
            <w:vAlign w:val="center"/>
          </w:tcPr>
          <w:p w14:paraId="2AD3364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196" w:type="dxa"/>
            <w:gridSpan w:val="2"/>
            <w:tcBorders>
              <w:top w:val="nil"/>
              <w:left w:val="nil"/>
              <w:bottom w:val="single" w:color="000000" w:sz="4" w:space="0"/>
              <w:right w:val="single" w:color="000000" w:sz="4" w:space="0"/>
            </w:tcBorders>
            <w:shd w:val="clear" w:color="auto" w:fill="FFFFFF"/>
            <w:vAlign w:val="center"/>
          </w:tcPr>
          <w:p w14:paraId="41DB9E1D">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3818</w:t>
            </w:r>
          </w:p>
        </w:tc>
        <w:tc>
          <w:tcPr>
            <w:tcW w:w="1198" w:type="dxa"/>
            <w:gridSpan w:val="3"/>
            <w:tcBorders>
              <w:top w:val="nil"/>
              <w:left w:val="nil"/>
              <w:bottom w:val="single" w:color="000000" w:sz="4" w:space="0"/>
              <w:right w:val="single" w:color="000000" w:sz="4" w:space="0"/>
            </w:tcBorders>
            <w:shd w:val="clear" w:color="auto" w:fill="FFFFFF"/>
            <w:vAlign w:val="center"/>
          </w:tcPr>
          <w:p w14:paraId="0DEA35BA">
            <w:pPr>
              <w:jc w:val="right"/>
              <w:rPr>
                <w:rFonts w:hint="default" w:ascii="Arial Narrow" w:hAnsi="Arial Narrow" w:eastAsia="Arial Narrow" w:cs="Arial Narrow"/>
                <w:i w:val="0"/>
                <w:iCs w:val="0"/>
                <w:color w:val="auto"/>
                <w:sz w:val="18"/>
                <w:szCs w:val="18"/>
                <w:highlight w:val="none"/>
                <w:u w:val="none"/>
              </w:rPr>
            </w:pPr>
          </w:p>
        </w:tc>
        <w:tc>
          <w:tcPr>
            <w:tcW w:w="1198" w:type="dxa"/>
            <w:gridSpan w:val="2"/>
            <w:tcBorders>
              <w:top w:val="nil"/>
              <w:left w:val="nil"/>
              <w:bottom w:val="single" w:color="000000" w:sz="4" w:space="0"/>
              <w:right w:val="single" w:color="000000" w:sz="8" w:space="0"/>
            </w:tcBorders>
            <w:shd w:val="clear" w:color="auto" w:fill="FFFFFF"/>
            <w:vAlign w:val="center"/>
          </w:tcPr>
          <w:p w14:paraId="1C294759">
            <w:pPr>
              <w:jc w:val="right"/>
              <w:rPr>
                <w:rFonts w:hint="default" w:ascii="Arial Narrow" w:hAnsi="Arial Narrow" w:eastAsia="Arial Narrow" w:cs="Arial Narrow"/>
                <w:i w:val="0"/>
                <w:iCs w:val="0"/>
                <w:color w:val="auto"/>
                <w:sz w:val="18"/>
                <w:szCs w:val="18"/>
                <w:highlight w:val="none"/>
                <w:u w:val="none"/>
              </w:rPr>
            </w:pPr>
          </w:p>
        </w:tc>
      </w:tr>
      <w:tr w14:paraId="1A94C2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1187" w:type="dxa"/>
          <w:trHeight w:val="300" w:hRule="atLeast"/>
          <w:jc w:val="center"/>
        </w:trPr>
        <w:tc>
          <w:tcPr>
            <w:tcW w:w="1026" w:type="dxa"/>
            <w:gridSpan w:val="2"/>
            <w:tcBorders>
              <w:top w:val="nil"/>
              <w:left w:val="single" w:color="000000" w:sz="8" w:space="0"/>
              <w:bottom w:val="single" w:color="000000" w:sz="4" w:space="0"/>
              <w:right w:val="single" w:color="000000" w:sz="4" w:space="0"/>
            </w:tcBorders>
            <w:shd w:val="clear" w:color="auto" w:fill="FFFFFF"/>
            <w:vAlign w:val="center"/>
          </w:tcPr>
          <w:p w14:paraId="04670A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TS802-5-b</w:t>
            </w:r>
          </w:p>
        </w:tc>
        <w:tc>
          <w:tcPr>
            <w:tcW w:w="4045" w:type="dxa"/>
            <w:gridSpan w:val="4"/>
            <w:tcBorders>
              <w:top w:val="nil"/>
              <w:left w:val="nil"/>
              <w:bottom w:val="single" w:color="000000" w:sz="4" w:space="0"/>
              <w:right w:val="single" w:color="000000" w:sz="4" w:space="0"/>
            </w:tcBorders>
            <w:shd w:val="clear" w:color="auto" w:fill="FFFFFF"/>
            <w:vAlign w:val="center"/>
          </w:tcPr>
          <w:p w14:paraId="024E9F1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装配式配电桥接单元 IP65</w:t>
            </w:r>
          </w:p>
        </w:tc>
        <w:tc>
          <w:tcPr>
            <w:tcW w:w="997" w:type="dxa"/>
            <w:tcBorders>
              <w:top w:val="nil"/>
              <w:left w:val="nil"/>
              <w:bottom w:val="single" w:color="000000" w:sz="4" w:space="0"/>
              <w:right w:val="single" w:color="000000" w:sz="4" w:space="0"/>
            </w:tcBorders>
            <w:shd w:val="clear" w:color="auto" w:fill="FFFFFF"/>
            <w:vAlign w:val="center"/>
          </w:tcPr>
          <w:p w14:paraId="23A8900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196" w:type="dxa"/>
            <w:gridSpan w:val="2"/>
            <w:tcBorders>
              <w:top w:val="nil"/>
              <w:left w:val="nil"/>
              <w:bottom w:val="single" w:color="000000" w:sz="4" w:space="0"/>
              <w:right w:val="single" w:color="000000" w:sz="4" w:space="0"/>
            </w:tcBorders>
            <w:shd w:val="clear" w:color="auto" w:fill="FFFFFF"/>
            <w:vAlign w:val="center"/>
          </w:tcPr>
          <w:p w14:paraId="3B30A26B">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552</w:t>
            </w:r>
          </w:p>
        </w:tc>
        <w:tc>
          <w:tcPr>
            <w:tcW w:w="1198" w:type="dxa"/>
            <w:gridSpan w:val="3"/>
            <w:tcBorders>
              <w:top w:val="nil"/>
              <w:left w:val="nil"/>
              <w:bottom w:val="single" w:color="000000" w:sz="4" w:space="0"/>
              <w:right w:val="single" w:color="000000" w:sz="4" w:space="0"/>
            </w:tcBorders>
            <w:shd w:val="clear" w:color="auto" w:fill="FFFFFF"/>
            <w:vAlign w:val="center"/>
          </w:tcPr>
          <w:p w14:paraId="14F157A2">
            <w:pPr>
              <w:jc w:val="right"/>
              <w:rPr>
                <w:rFonts w:hint="default" w:ascii="Arial Narrow" w:hAnsi="Arial Narrow" w:eastAsia="Arial Narrow" w:cs="Arial Narrow"/>
                <w:i w:val="0"/>
                <w:iCs w:val="0"/>
                <w:color w:val="auto"/>
                <w:sz w:val="18"/>
                <w:szCs w:val="18"/>
                <w:highlight w:val="none"/>
                <w:u w:val="none"/>
              </w:rPr>
            </w:pPr>
          </w:p>
        </w:tc>
        <w:tc>
          <w:tcPr>
            <w:tcW w:w="1198" w:type="dxa"/>
            <w:gridSpan w:val="2"/>
            <w:tcBorders>
              <w:top w:val="nil"/>
              <w:left w:val="nil"/>
              <w:bottom w:val="single" w:color="000000" w:sz="4" w:space="0"/>
              <w:right w:val="single" w:color="000000" w:sz="8" w:space="0"/>
            </w:tcBorders>
            <w:shd w:val="clear" w:color="auto" w:fill="FFFFFF"/>
            <w:vAlign w:val="center"/>
          </w:tcPr>
          <w:p w14:paraId="02F542EE">
            <w:pPr>
              <w:jc w:val="right"/>
              <w:rPr>
                <w:rFonts w:hint="default" w:ascii="Arial Narrow" w:hAnsi="Arial Narrow" w:eastAsia="Arial Narrow" w:cs="Arial Narrow"/>
                <w:i w:val="0"/>
                <w:iCs w:val="0"/>
                <w:color w:val="auto"/>
                <w:sz w:val="18"/>
                <w:szCs w:val="18"/>
                <w:highlight w:val="none"/>
                <w:u w:val="none"/>
              </w:rPr>
            </w:pPr>
          </w:p>
        </w:tc>
      </w:tr>
      <w:tr w14:paraId="2D72B9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1187" w:type="dxa"/>
          <w:trHeight w:val="300" w:hRule="atLeast"/>
          <w:jc w:val="center"/>
        </w:trPr>
        <w:tc>
          <w:tcPr>
            <w:tcW w:w="1026" w:type="dxa"/>
            <w:gridSpan w:val="2"/>
            <w:tcBorders>
              <w:top w:val="nil"/>
              <w:left w:val="single" w:color="000000" w:sz="8" w:space="0"/>
              <w:bottom w:val="single" w:color="000000" w:sz="4" w:space="0"/>
              <w:right w:val="single" w:color="000000" w:sz="4" w:space="0"/>
            </w:tcBorders>
            <w:shd w:val="clear" w:color="auto" w:fill="FFFFFF"/>
            <w:vAlign w:val="center"/>
          </w:tcPr>
          <w:p w14:paraId="5DCAF0D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TS802-6</w:t>
            </w:r>
          </w:p>
        </w:tc>
        <w:tc>
          <w:tcPr>
            <w:tcW w:w="4045" w:type="dxa"/>
            <w:gridSpan w:val="4"/>
            <w:tcBorders>
              <w:top w:val="nil"/>
              <w:left w:val="nil"/>
              <w:bottom w:val="single" w:color="000000" w:sz="4" w:space="0"/>
              <w:right w:val="single" w:color="000000" w:sz="4" w:space="0"/>
            </w:tcBorders>
            <w:shd w:val="clear" w:color="auto" w:fill="FFFFFF"/>
            <w:vAlign w:val="center"/>
          </w:tcPr>
          <w:p w14:paraId="6EA7F08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可挠金属保护管φ32</w:t>
            </w:r>
          </w:p>
        </w:tc>
        <w:tc>
          <w:tcPr>
            <w:tcW w:w="997" w:type="dxa"/>
            <w:tcBorders>
              <w:top w:val="nil"/>
              <w:left w:val="nil"/>
              <w:bottom w:val="single" w:color="000000" w:sz="4" w:space="0"/>
              <w:right w:val="single" w:color="000000" w:sz="4" w:space="0"/>
            </w:tcBorders>
            <w:shd w:val="clear" w:color="auto" w:fill="FFFFFF"/>
            <w:vAlign w:val="center"/>
          </w:tcPr>
          <w:p w14:paraId="74C723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196" w:type="dxa"/>
            <w:gridSpan w:val="2"/>
            <w:tcBorders>
              <w:top w:val="nil"/>
              <w:left w:val="nil"/>
              <w:bottom w:val="single" w:color="000000" w:sz="4" w:space="0"/>
              <w:right w:val="single" w:color="000000" w:sz="4" w:space="0"/>
            </w:tcBorders>
            <w:shd w:val="clear" w:color="auto" w:fill="FFFFFF"/>
            <w:vAlign w:val="center"/>
          </w:tcPr>
          <w:p w14:paraId="6B3AF572">
            <w:pPr>
              <w:keepNext w:val="0"/>
              <w:keepLines w:val="0"/>
              <w:widowControl/>
              <w:suppressLineNumbers w:val="0"/>
              <w:jc w:val="right"/>
              <w:textAlignment w:val="center"/>
              <w:rPr>
                <w:rFonts w:hint="default" w:ascii="Arial Narrow" w:hAnsi="Arial Narrow" w:eastAsia="Arial Narrow" w:cs="Arial Narrow"/>
                <w:i w:val="0"/>
                <w:iCs w:val="0"/>
                <w:color w:val="auto"/>
                <w:sz w:val="18"/>
                <w:szCs w:val="18"/>
                <w:highlight w:val="none"/>
                <w:u w:val="none"/>
              </w:rPr>
            </w:pPr>
            <w:r>
              <w:rPr>
                <w:rFonts w:hint="default" w:ascii="Arial Narrow" w:hAnsi="Arial Narrow" w:eastAsia="Arial Narrow" w:cs="Arial Narrow"/>
                <w:i w:val="0"/>
                <w:iCs w:val="0"/>
                <w:color w:val="auto"/>
                <w:kern w:val="0"/>
                <w:sz w:val="18"/>
                <w:szCs w:val="18"/>
                <w:highlight w:val="none"/>
                <w:u w:val="none"/>
                <w:lang w:val="en-US" w:eastAsia="zh-CN" w:bidi="ar"/>
              </w:rPr>
              <w:t>100</w:t>
            </w:r>
          </w:p>
        </w:tc>
        <w:tc>
          <w:tcPr>
            <w:tcW w:w="1198" w:type="dxa"/>
            <w:gridSpan w:val="3"/>
            <w:tcBorders>
              <w:top w:val="nil"/>
              <w:left w:val="nil"/>
              <w:bottom w:val="single" w:color="000000" w:sz="4" w:space="0"/>
              <w:right w:val="single" w:color="000000" w:sz="4" w:space="0"/>
            </w:tcBorders>
            <w:shd w:val="clear" w:color="auto" w:fill="FFFFFF"/>
            <w:vAlign w:val="center"/>
          </w:tcPr>
          <w:p w14:paraId="042B637F">
            <w:pPr>
              <w:jc w:val="right"/>
              <w:rPr>
                <w:rFonts w:hint="default" w:ascii="Arial Narrow" w:hAnsi="Arial Narrow" w:eastAsia="Arial Narrow" w:cs="Arial Narrow"/>
                <w:i w:val="0"/>
                <w:iCs w:val="0"/>
                <w:color w:val="auto"/>
                <w:sz w:val="18"/>
                <w:szCs w:val="18"/>
                <w:highlight w:val="none"/>
                <w:u w:val="none"/>
              </w:rPr>
            </w:pPr>
          </w:p>
        </w:tc>
        <w:tc>
          <w:tcPr>
            <w:tcW w:w="1198" w:type="dxa"/>
            <w:gridSpan w:val="2"/>
            <w:tcBorders>
              <w:top w:val="nil"/>
              <w:left w:val="nil"/>
              <w:bottom w:val="single" w:color="000000" w:sz="4" w:space="0"/>
              <w:right w:val="single" w:color="000000" w:sz="8" w:space="0"/>
            </w:tcBorders>
            <w:shd w:val="clear" w:color="auto" w:fill="FFFFFF"/>
            <w:vAlign w:val="center"/>
          </w:tcPr>
          <w:p w14:paraId="1A947B8A">
            <w:pPr>
              <w:jc w:val="right"/>
              <w:rPr>
                <w:rFonts w:hint="default" w:ascii="Arial Narrow" w:hAnsi="Arial Narrow" w:eastAsia="Arial Narrow" w:cs="Arial Narrow"/>
                <w:i w:val="0"/>
                <w:iCs w:val="0"/>
                <w:color w:val="auto"/>
                <w:sz w:val="18"/>
                <w:szCs w:val="18"/>
                <w:highlight w:val="none"/>
                <w:u w:val="none"/>
              </w:rPr>
            </w:pPr>
          </w:p>
        </w:tc>
      </w:tr>
      <w:tr w14:paraId="7719FA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1187" w:type="dxa"/>
          <w:trHeight w:val="300" w:hRule="atLeast"/>
          <w:jc w:val="center"/>
        </w:trPr>
        <w:tc>
          <w:tcPr>
            <w:tcW w:w="9660" w:type="dxa"/>
            <w:gridSpan w:val="14"/>
            <w:tcBorders>
              <w:top w:val="nil"/>
              <w:left w:val="single" w:color="000000" w:sz="8" w:space="0"/>
              <w:bottom w:val="single" w:color="000000" w:sz="4" w:space="0"/>
              <w:right w:val="single" w:color="000000" w:sz="8" w:space="0"/>
            </w:tcBorders>
            <w:shd w:val="clear" w:color="auto" w:fill="FFFFFF"/>
            <w:vAlign w:val="center"/>
          </w:tcPr>
          <w:p w14:paraId="68F976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清单    第900章  合计                        元</w:t>
            </w:r>
          </w:p>
        </w:tc>
      </w:tr>
      <w:tr w14:paraId="4CAEB8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662" w:type="dxa"/>
          <w:trHeight w:val="480" w:hRule="atLeast"/>
          <w:jc w:val="center"/>
        </w:trPr>
        <w:tc>
          <w:tcPr>
            <w:tcW w:w="7590" w:type="dxa"/>
            <w:gridSpan w:val="10"/>
            <w:tcBorders>
              <w:top w:val="nil"/>
              <w:left w:val="nil"/>
              <w:bottom w:val="nil"/>
              <w:right w:val="nil"/>
            </w:tcBorders>
            <w:shd w:val="clear" w:color="FFFFFF" w:fill="FFFFFF"/>
            <w:vAlign w:val="center"/>
          </w:tcPr>
          <w:p w14:paraId="5D27A21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【表10.2.2-13】</w:t>
            </w:r>
          </w:p>
        </w:tc>
        <w:tc>
          <w:tcPr>
            <w:tcW w:w="2595" w:type="dxa"/>
            <w:gridSpan w:val="5"/>
            <w:tcBorders>
              <w:top w:val="nil"/>
              <w:left w:val="nil"/>
              <w:bottom w:val="nil"/>
              <w:right w:val="nil"/>
            </w:tcBorders>
            <w:shd w:val="clear" w:color="FFFFFF" w:fill="FFFFFF"/>
            <w:vAlign w:val="center"/>
          </w:tcPr>
          <w:p w14:paraId="36B0031A">
            <w:pPr>
              <w:jc w:val="right"/>
              <w:rPr>
                <w:rFonts w:hint="eastAsia" w:ascii="宋体" w:hAnsi="宋体" w:eastAsia="宋体" w:cs="宋体"/>
                <w:i w:val="0"/>
                <w:iCs w:val="0"/>
                <w:color w:val="auto"/>
                <w:sz w:val="18"/>
                <w:szCs w:val="18"/>
                <w:highlight w:val="none"/>
                <w:u w:val="none"/>
              </w:rPr>
            </w:pPr>
          </w:p>
        </w:tc>
      </w:tr>
      <w:tr w14:paraId="68825A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662" w:type="dxa"/>
          <w:trHeight w:val="585" w:hRule="atLeast"/>
          <w:jc w:val="center"/>
        </w:trPr>
        <w:tc>
          <w:tcPr>
            <w:tcW w:w="10185" w:type="dxa"/>
            <w:gridSpan w:val="15"/>
            <w:tcBorders>
              <w:top w:val="nil"/>
              <w:left w:val="nil"/>
              <w:bottom w:val="nil"/>
              <w:right w:val="nil"/>
            </w:tcBorders>
            <w:shd w:val="clear" w:color="FFFFFF" w:fill="FFFFFF"/>
            <w:vAlign w:val="center"/>
          </w:tcPr>
          <w:p w14:paraId="7BE77F54">
            <w:pPr>
              <w:keepNext w:val="0"/>
              <w:keepLines w:val="0"/>
              <w:widowControl/>
              <w:suppressLineNumbers w:val="0"/>
              <w:jc w:val="center"/>
              <w:textAlignment w:val="center"/>
              <w:rPr>
                <w:rFonts w:hint="eastAsia" w:ascii="宋体" w:hAnsi="宋体" w:eastAsia="宋体" w:cs="宋体"/>
                <w:b/>
                <w:bCs/>
                <w:i w:val="0"/>
                <w:iCs w:val="0"/>
                <w:color w:val="auto"/>
                <w:sz w:val="40"/>
                <w:szCs w:val="40"/>
                <w:highlight w:val="none"/>
                <w:u w:val="none"/>
              </w:rPr>
            </w:pPr>
            <w:r>
              <w:rPr>
                <w:rFonts w:hint="eastAsia" w:ascii="宋体" w:hAnsi="宋体" w:eastAsia="宋体" w:cs="宋体"/>
                <w:b/>
                <w:bCs/>
                <w:i w:val="0"/>
                <w:iCs w:val="0"/>
                <w:color w:val="auto"/>
                <w:kern w:val="0"/>
                <w:sz w:val="40"/>
                <w:szCs w:val="40"/>
                <w:highlight w:val="none"/>
                <w:u w:val="none"/>
                <w:lang w:val="en-US" w:eastAsia="zh-CN" w:bidi="ar"/>
              </w:rPr>
              <w:t>单位工程招标控制价费用表</w:t>
            </w:r>
          </w:p>
        </w:tc>
      </w:tr>
      <w:tr w14:paraId="34E9BD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662" w:type="dxa"/>
          <w:trHeight w:val="825" w:hRule="atLeast"/>
          <w:jc w:val="center"/>
        </w:trPr>
        <w:tc>
          <w:tcPr>
            <w:tcW w:w="4200" w:type="dxa"/>
            <w:gridSpan w:val="4"/>
            <w:tcBorders>
              <w:top w:val="nil"/>
              <w:left w:val="nil"/>
              <w:bottom w:val="nil"/>
              <w:right w:val="nil"/>
            </w:tcBorders>
            <w:shd w:val="clear" w:color="FFFFFF" w:fill="FFFFFF"/>
            <w:vAlign w:val="bottom"/>
          </w:tcPr>
          <w:p w14:paraId="5891A1CE">
            <w:pPr>
              <w:keepNext w:val="0"/>
              <w:keepLines w:val="0"/>
              <w:widowControl/>
              <w:suppressLineNumbers w:val="0"/>
              <w:jc w:val="lef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工程名称：单项工程-配套用房建筑工程</w:t>
            </w:r>
          </w:p>
        </w:tc>
        <w:tc>
          <w:tcPr>
            <w:tcW w:w="3390" w:type="dxa"/>
            <w:gridSpan w:val="6"/>
            <w:tcBorders>
              <w:top w:val="nil"/>
              <w:left w:val="nil"/>
              <w:bottom w:val="nil"/>
              <w:right w:val="nil"/>
            </w:tcBorders>
            <w:shd w:val="clear" w:color="FFFFFF" w:fill="FFFFFF"/>
            <w:vAlign w:val="bottom"/>
          </w:tcPr>
          <w:p w14:paraId="2CD5C640">
            <w:pPr>
              <w:keepNext w:val="0"/>
              <w:keepLines w:val="0"/>
              <w:widowControl/>
              <w:suppressLineNumbers w:val="0"/>
              <w:jc w:val="lef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标段：</w:t>
            </w:r>
          </w:p>
        </w:tc>
        <w:tc>
          <w:tcPr>
            <w:tcW w:w="2595" w:type="dxa"/>
            <w:gridSpan w:val="5"/>
            <w:tcBorders>
              <w:top w:val="nil"/>
              <w:left w:val="nil"/>
              <w:bottom w:val="nil"/>
              <w:right w:val="nil"/>
            </w:tcBorders>
            <w:shd w:val="clear" w:color="FFFFFF" w:fill="FFFFFF"/>
            <w:vAlign w:val="bottom"/>
          </w:tcPr>
          <w:p w14:paraId="0F4500FE">
            <w:pPr>
              <w:keepNext w:val="0"/>
              <w:keepLines w:val="0"/>
              <w:widowControl/>
              <w:suppressLineNumbers w:val="0"/>
              <w:jc w:val="righ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第  1  页  共  1  页</w:t>
            </w:r>
          </w:p>
        </w:tc>
      </w:tr>
      <w:tr w14:paraId="12E7C9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662" w:type="dxa"/>
          <w:trHeight w:val="450" w:hRule="atLeast"/>
          <w:jc w:val="center"/>
        </w:trPr>
        <w:tc>
          <w:tcPr>
            <w:tcW w:w="945" w:type="dxa"/>
            <w:gridSpan w:val="2"/>
            <w:tcBorders>
              <w:top w:val="single" w:color="000000" w:sz="8" w:space="0"/>
              <w:left w:val="single" w:color="000000" w:sz="8" w:space="0"/>
              <w:bottom w:val="single" w:color="000000" w:sz="4" w:space="0"/>
              <w:right w:val="single" w:color="000000" w:sz="4" w:space="0"/>
            </w:tcBorders>
            <w:shd w:val="clear" w:color="FFFFFF" w:fill="FFFFFF"/>
            <w:vAlign w:val="center"/>
          </w:tcPr>
          <w:p w14:paraId="1DA90EA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序号</w:t>
            </w:r>
          </w:p>
        </w:tc>
        <w:tc>
          <w:tcPr>
            <w:tcW w:w="3255"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14:paraId="6E6BB44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名称</w:t>
            </w:r>
          </w:p>
        </w:tc>
        <w:tc>
          <w:tcPr>
            <w:tcW w:w="3390" w:type="dxa"/>
            <w:gridSpan w:val="6"/>
            <w:tcBorders>
              <w:top w:val="single" w:color="000000" w:sz="8" w:space="0"/>
              <w:left w:val="single" w:color="000000" w:sz="4" w:space="0"/>
              <w:bottom w:val="single" w:color="000000" w:sz="4" w:space="0"/>
              <w:right w:val="single" w:color="000000" w:sz="4" w:space="0"/>
            </w:tcBorders>
            <w:shd w:val="clear" w:color="FFFFFF" w:fill="FFFFFF"/>
            <w:vAlign w:val="center"/>
          </w:tcPr>
          <w:p w14:paraId="010574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计算公式</w:t>
            </w:r>
          </w:p>
        </w:tc>
        <w:tc>
          <w:tcPr>
            <w:tcW w:w="1515" w:type="dxa"/>
            <w:gridSpan w:val="4"/>
            <w:tcBorders>
              <w:top w:val="single" w:color="000000" w:sz="8" w:space="0"/>
              <w:left w:val="single" w:color="000000" w:sz="4" w:space="0"/>
              <w:bottom w:val="single" w:color="000000" w:sz="4" w:space="0"/>
              <w:right w:val="single" w:color="000000" w:sz="4" w:space="0"/>
            </w:tcBorders>
            <w:shd w:val="clear" w:color="FFFFFF" w:fill="FFFFFF"/>
            <w:vAlign w:val="center"/>
          </w:tcPr>
          <w:p w14:paraId="64CC77B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金额（元）</w:t>
            </w:r>
          </w:p>
        </w:tc>
        <w:tc>
          <w:tcPr>
            <w:tcW w:w="1080" w:type="dxa"/>
            <w:tcBorders>
              <w:top w:val="single" w:color="000000" w:sz="8" w:space="0"/>
              <w:left w:val="single" w:color="000000" w:sz="4" w:space="0"/>
              <w:bottom w:val="single" w:color="000000" w:sz="4" w:space="0"/>
              <w:right w:val="single" w:color="000000" w:sz="8" w:space="0"/>
            </w:tcBorders>
            <w:shd w:val="clear" w:color="FFFFFF" w:fill="FFFFFF"/>
            <w:vAlign w:val="center"/>
          </w:tcPr>
          <w:p w14:paraId="4A5812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备注</w:t>
            </w:r>
          </w:p>
        </w:tc>
      </w:tr>
      <w:tr w14:paraId="7E394D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662" w:type="dxa"/>
          <w:trHeight w:val="450" w:hRule="atLeast"/>
          <w:jc w:val="center"/>
        </w:trPr>
        <w:tc>
          <w:tcPr>
            <w:tcW w:w="945"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40398C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32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A02DDB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分部分项工程费</w:t>
            </w:r>
          </w:p>
        </w:tc>
        <w:tc>
          <w:tcPr>
            <w:tcW w:w="3390" w:type="dxa"/>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1646ADF6">
            <w:pPr>
              <w:jc w:val="left"/>
              <w:rPr>
                <w:rFonts w:hint="eastAsia" w:ascii="宋体" w:hAnsi="宋体" w:eastAsia="宋体" w:cs="宋体"/>
                <w:i w:val="0"/>
                <w:iCs w:val="0"/>
                <w:color w:val="auto"/>
                <w:sz w:val="18"/>
                <w:szCs w:val="18"/>
                <w:highlight w:val="none"/>
                <w:u w:val="none"/>
              </w:rPr>
            </w:pPr>
          </w:p>
        </w:tc>
        <w:tc>
          <w:tcPr>
            <w:tcW w:w="151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15F702B">
            <w:pPr>
              <w:jc w:val="right"/>
              <w:rPr>
                <w:rFonts w:hint="eastAsia" w:ascii="宋体" w:hAnsi="宋体" w:eastAsia="宋体" w:cs="宋体"/>
                <w:i w:val="0"/>
                <w:iCs w:val="0"/>
                <w:color w:val="auto"/>
                <w:sz w:val="18"/>
                <w:szCs w:val="18"/>
                <w:highlight w:val="none"/>
                <w:u w:val="none"/>
              </w:rPr>
            </w:pPr>
          </w:p>
        </w:tc>
        <w:tc>
          <w:tcPr>
            <w:tcW w:w="10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6EE5A46">
            <w:pPr>
              <w:jc w:val="left"/>
              <w:rPr>
                <w:rFonts w:hint="eastAsia" w:ascii="宋体" w:hAnsi="宋体" w:eastAsia="宋体" w:cs="宋体"/>
                <w:i w:val="0"/>
                <w:iCs w:val="0"/>
                <w:color w:val="auto"/>
                <w:sz w:val="18"/>
                <w:szCs w:val="18"/>
                <w:highlight w:val="none"/>
                <w:u w:val="none"/>
              </w:rPr>
            </w:pPr>
          </w:p>
        </w:tc>
      </w:tr>
      <w:tr w14:paraId="59A543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662" w:type="dxa"/>
          <w:trHeight w:val="450" w:hRule="atLeast"/>
          <w:jc w:val="center"/>
        </w:trPr>
        <w:tc>
          <w:tcPr>
            <w:tcW w:w="945"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5C0E04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32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81F9C6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措施项目费</w:t>
            </w:r>
          </w:p>
        </w:tc>
        <w:tc>
          <w:tcPr>
            <w:tcW w:w="3390" w:type="dxa"/>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C116751">
            <w:pPr>
              <w:jc w:val="left"/>
              <w:rPr>
                <w:rFonts w:hint="eastAsia" w:ascii="宋体" w:hAnsi="宋体" w:eastAsia="宋体" w:cs="宋体"/>
                <w:i w:val="0"/>
                <w:iCs w:val="0"/>
                <w:color w:val="auto"/>
                <w:sz w:val="18"/>
                <w:szCs w:val="18"/>
                <w:highlight w:val="none"/>
                <w:u w:val="none"/>
              </w:rPr>
            </w:pPr>
          </w:p>
        </w:tc>
        <w:tc>
          <w:tcPr>
            <w:tcW w:w="151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2D2040BB">
            <w:pPr>
              <w:jc w:val="right"/>
              <w:rPr>
                <w:rFonts w:hint="eastAsia" w:ascii="宋体" w:hAnsi="宋体" w:eastAsia="宋体" w:cs="宋体"/>
                <w:i w:val="0"/>
                <w:iCs w:val="0"/>
                <w:color w:val="auto"/>
                <w:sz w:val="18"/>
                <w:szCs w:val="18"/>
                <w:highlight w:val="none"/>
                <w:u w:val="none"/>
              </w:rPr>
            </w:pPr>
          </w:p>
        </w:tc>
        <w:tc>
          <w:tcPr>
            <w:tcW w:w="10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717CC05F">
            <w:pPr>
              <w:jc w:val="left"/>
              <w:rPr>
                <w:rFonts w:hint="eastAsia" w:ascii="宋体" w:hAnsi="宋体" w:eastAsia="宋体" w:cs="宋体"/>
                <w:i w:val="0"/>
                <w:iCs w:val="0"/>
                <w:color w:val="auto"/>
                <w:sz w:val="18"/>
                <w:szCs w:val="18"/>
                <w:highlight w:val="none"/>
                <w:u w:val="none"/>
              </w:rPr>
            </w:pPr>
          </w:p>
        </w:tc>
      </w:tr>
      <w:tr w14:paraId="71768B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662" w:type="dxa"/>
          <w:trHeight w:val="450" w:hRule="atLeast"/>
          <w:jc w:val="center"/>
        </w:trPr>
        <w:tc>
          <w:tcPr>
            <w:tcW w:w="945"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03AD08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c>
          <w:tcPr>
            <w:tcW w:w="32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758A1D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其他项目费</w:t>
            </w:r>
          </w:p>
        </w:tc>
        <w:tc>
          <w:tcPr>
            <w:tcW w:w="3390" w:type="dxa"/>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783DAA58">
            <w:pPr>
              <w:jc w:val="left"/>
              <w:rPr>
                <w:rFonts w:hint="eastAsia" w:ascii="宋体" w:hAnsi="宋体" w:eastAsia="宋体" w:cs="宋体"/>
                <w:i w:val="0"/>
                <w:iCs w:val="0"/>
                <w:color w:val="auto"/>
                <w:sz w:val="18"/>
                <w:szCs w:val="18"/>
                <w:highlight w:val="none"/>
                <w:u w:val="none"/>
              </w:rPr>
            </w:pPr>
          </w:p>
        </w:tc>
        <w:tc>
          <w:tcPr>
            <w:tcW w:w="151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EA5F7E7">
            <w:pPr>
              <w:jc w:val="right"/>
              <w:rPr>
                <w:rFonts w:hint="eastAsia" w:ascii="宋体" w:hAnsi="宋体" w:eastAsia="宋体" w:cs="宋体"/>
                <w:i w:val="0"/>
                <w:iCs w:val="0"/>
                <w:color w:val="auto"/>
                <w:sz w:val="18"/>
                <w:szCs w:val="18"/>
                <w:highlight w:val="none"/>
                <w:u w:val="none"/>
              </w:rPr>
            </w:pPr>
          </w:p>
        </w:tc>
        <w:tc>
          <w:tcPr>
            <w:tcW w:w="10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7D391D6">
            <w:pPr>
              <w:jc w:val="left"/>
              <w:rPr>
                <w:rFonts w:hint="eastAsia" w:ascii="宋体" w:hAnsi="宋体" w:eastAsia="宋体" w:cs="宋体"/>
                <w:i w:val="0"/>
                <w:iCs w:val="0"/>
                <w:color w:val="auto"/>
                <w:sz w:val="18"/>
                <w:szCs w:val="18"/>
                <w:highlight w:val="none"/>
                <w:u w:val="none"/>
              </w:rPr>
            </w:pPr>
          </w:p>
        </w:tc>
      </w:tr>
      <w:tr w14:paraId="587357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662" w:type="dxa"/>
          <w:trHeight w:val="450" w:hRule="atLeast"/>
          <w:jc w:val="center"/>
        </w:trPr>
        <w:tc>
          <w:tcPr>
            <w:tcW w:w="945"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289A43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32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145EDF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其他项目费增值税</w:t>
            </w:r>
          </w:p>
        </w:tc>
        <w:tc>
          <w:tcPr>
            <w:tcW w:w="3390" w:type="dxa"/>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556088C">
            <w:pPr>
              <w:jc w:val="left"/>
              <w:rPr>
                <w:rFonts w:hint="eastAsia" w:ascii="宋体" w:hAnsi="宋体" w:eastAsia="宋体" w:cs="宋体"/>
                <w:i w:val="0"/>
                <w:iCs w:val="0"/>
                <w:color w:val="auto"/>
                <w:sz w:val="18"/>
                <w:szCs w:val="18"/>
                <w:highlight w:val="none"/>
                <w:u w:val="none"/>
              </w:rPr>
            </w:pPr>
          </w:p>
        </w:tc>
        <w:tc>
          <w:tcPr>
            <w:tcW w:w="151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20768620">
            <w:pPr>
              <w:jc w:val="right"/>
              <w:rPr>
                <w:rFonts w:hint="eastAsia" w:ascii="宋体" w:hAnsi="宋体" w:eastAsia="宋体" w:cs="宋体"/>
                <w:i w:val="0"/>
                <w:iCs w:val="0"/>
                <w:color w:val="auto"/>
                <w:sz w:val="18"/>
                <w:szCs w:val="18"/>
                <w:highlight w:val="none"/>
                <w:u w:val="none"/>
              </w:rPr>
            </w:pPr>
          </w:p>
        </w:tc>
        <w:tc>
          <w:tcPr>
            <w:tcW w:w="10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37724F0">
            <w:pPr>
              <w:jc w:val="left"/>
              <w:rPr>
                <w:rFonts w:hint="eastAsia" w:ascii="宋体" w:hAnsi="宋体" w:eastAsia="宋体" w:cs="宋体"/>
                <w:i w:val="0"/>
                <w:iCs w:val="0"/>
                <w:color w:val="auto"/>
                <w:sz w:val="18"/>
                <w:szCs w:val="18"/>
                <w:highlight w:val="none"/>
                <w:u w:val="none"/>
              </w:rPr>
            </w:pPr>
          </w:p>
        </w:tc>
      </w:tr>
      <w:tr w14:paraId="3054C0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662" w:type="dxa"/>
          <w:trHeight w:val="450" w:hRule="atLeast"/>
          <w:jc w:val="center"/>
        </w:trPr>
        <w:tc>
          <w:tcPr>
            <w:tcW w:w="945"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6BA1C22D">
            <w:pPr>
              <w:jc w:val="center"/>
              <w:rPr>
                <w:rFonts w:hint="eastAsia" w:ascii="宋体" w:hAnsi="宋体" w:eastAsia="宋体" w:cs="宋体"/>
                <w:i w:val="0"/>
                <w:iCs w:val="0"/>
                <w:color w:val="auto"/>
                <w:sz w:val="18"/>
                <w:szCs w:val="18"/>
                <w:highlight w:val="none"/>
                <w:u w:val="none"/>
              </w:rPr>
            </w:pPr>
          </w:p>
        </w:tc>
        <w:tc>
          <w:tcPr>
            <w:tcW w:w="32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0D2D0A4">
            <w:pPr>
              <w:jc w:val="left"/>
              <w:rPr>
                <w:rFonts w:hint="eastAsia" w:ascii="宋体" w:hAnsi="宋体" w:eastAsia="宋体" w:cs="宋体"/>
                <w:i w:val="0"/>
                <w:iCs w:val="0"/>
                <w:color w:val="auto"/>
                <w:sz w:val="18"/>
                <w:szCs w:val="18"/>
                <w:highlight w:val="none"/>
                <w:u w:val="none"/>
              </w:rPr>
            </w:pPr>
          </w:p>
        </w:tc>
        <w:tc>
          <w:tcPr>
            <w:tcW w:w="3390" w:type="dxa"/>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CAA40A3">
            <w:pPr>
              <w:jc w:val="left"/>
              <w:rPr>
                <w:rFonts w:hint="eastAsia" w:ascii="宋体" w:hAnsi="宋体" w:eastAsia="宋体" w:cs="宋体"/>
                <w:i w:val="0"/>
                <w:iCs w:val="0"/>
                <w:color w:val="auto"/>
                <w:sz w:val="18"/>
                <w:szCs w:val="18"/>
                <w:highlight w:val="none"/>
                <w:u w:val="none"/>
              </w:rPr>
            </w:pPr>
          </w:p>
        </w:tc>
        <w:tc>
          <w:tcPr>
            <w:tcW w:w="151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0D01132">
            <w:pPr>
              <w:jc w:val="right"/>
              <w:rPr>
                <w:rFonts w:hint="eastAsia" w:ascii="宋体" w:hAnsi="宋体" w:eastAsia="宋体" w:cs="宋体"/>
                <w:i w:val="0"/>
                <w:iCs w:val="0"/>
                <w:color w:val="auto"/>
                <w:sz w:val="18"/>
                <w:szCs w:val="18"/>
                <w:highlight w:val="none"/>
                <w:u w:val="none"/>
              </w:rPr>
            </w:pPr>
          </w:p>
        </w:tc>
        <w:tc>
          <w:tcPr>
            <w:tcW w:w="10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7C38B2D8">
            <w:pPr>
              <w:jc w:val="left"/>
              <w:rPr>
                <w:rFonts w:hint="eastAsia" w:ascii="宋体" w:hAnsi="宋体" w:eastAsia="宋体" w:cs="宋体"/>
                <w:i w:val="0"/>
                <w:iCs w:val="0"/>
                <w:color w:val="auto"/>
                <w:sz w:val="18"/>
                <w:szCs w:val="18"/>
                <w:highlight w:val="none"/>
                <w:u w:val="none"/>
              </w:rPr>
            </w:pPr>
          </w:p>
        </w:tc>
      </w:tr>
      <w:tr w14:paraId="4545E6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662" w:type="dxa"/>
          <w:trHeight w:val="450" w:hRule="atLeast"/>
          <w:jc w:val="center"/>
        </w:trPr>
        <w:tc>
          <w:tcPr>
            <w:tcW w:w="945"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067FF377">
            <w:pPr>
              <w:jc w:val="center"/>
              <w:rPr>
                <w:rFonts w:hint="eastAsia" w:ascii="宋体" w:hAnsi="宋体" w:eastAsia="宋体" w:cs="宋体"/>
                <w:i w:val="0"/>
                <w:iCs w:val="0"/>
                <w:color w:val="auto"/>
                <w:sz w:val="18"/>
                <w:szCs w:val="18"/>
                <w:highlight w:val="none"/>
                <w:u w:val="none"/>
              </w:rPr>
            </w:pPr>
          </w:p>
        </w:tc>
        <w:tc>
          <w:tcPr>
            <w:tcW w:w="32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3272398">
            <w:pPr>
              <w:jc w:val="left"/>
              <w:rPr>
                <w:rFonts w:hint="eastAsia" w:ascii="宋体" w:hAnsi="宋体" w:eastAsia="宋体" w:cs="宋体"/>
                <w:i w:val="0"/>
                <w:iCs w:val="0"/>
                <w:color w:val="auto"/>
                <w:sz w:val="18"/>
                <w:szCs w:val="18"/>
                <w:highlight w:val="none"/>
                <w:u w:val="none"/>
              </w:rPr>
            </w:pPr>
          </w:p>
        </w:tc>
        <w:tc>
          <w:tcPr>
            <w:tcW w:w="3390" w:type="dxa"/>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50DC46ED">
            <w:pPr>
              <w:jc w:val="left"/>
              <w:rPr>
                <w:rFonts w:hint="eastAsia" w:ascii="宋体" w:hAnsi="宋体" w:eastAsia="宋体" w:cs="宋体"/>
                <w:i w:val="0"/>
                <w:iCs w:val="0"/>
                <w:color w:val="auto"/>
                <w:sz w:val="18"/>
                <w:szCs w:val="18"/>
                <w:highlight w:val="none"/>
                <w:u w:val="none"/>
              </w:rPr>
            </w:pPr>
          </w:p>
        </w:tc>
        <w:tc>
          <w:tcPr>
            <w:tcW w:w="151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E3C5F31">
            <w:pPr>
              <w:jc w:val="right"/>
              <w:rPr>
                <w:rFonts w:hint="eastAsia" w:ascii="宋体" w:hAnsi="宋体" w:eastAsia="宋体" w:cs="宋体"/>
                <w:i w:val="0"/>
                <w:iCs w:val="0"/>
                <w:color w:val="auto"/>
                <w:sz w:val="18"/>
                <w:szCs w:val="18"/>
                <w:highlight w:val="none"/>
                <w:u w:val="none"/>
              </w:rPr>
            </w:pPr>
          </w:p>
        </w:tc>
        <w:tc>
          <w:tcPr>
            <w:tcW w:w="10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0C10266A">
            <w:pPr>
              <w:jc w:val="left"/>
              <w:rPr>
                <w:rFonts w:hint="eastAsia" w:ascii="宋体" w:hAnsi="宋体" w:eastAsia="宋体" w:cs="宋体"/>
                <w:i w:val="0"/>
                <w:iCs w:val="0"/>
                <w:color w:val="auto"/>
                <w:sz w:val="18"/>
                <w:szCs w:val="18"/>
                <w:highlight w:val="none"/>
                <w:u w:val="none"/>
              </w:rPr>
            </w:pPr>
          </w:p>
        </w:tc>
      </w:tr>
      <w:tr w14:paraId="0EC6B9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662" w:type="dxa"/>
          <w:trHeight w:val="450" w:hRule="atLeast"/>
          <w:jc w:val="center"/>
        </w:trPr>
        <w:tc>
          <w:tcPr>
            <w:tcW w:w="945"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1DFA2B61">
            <w:pPr>
              <w:jc w:val="center"/>
              <w:rPr>
                <w:rFonts w:hint="eastAsia" w:ascii="宋体" w:hAnsi="宋体" w:eastAsia="宋体" w:cs="宋体"/>
                <w:i w:val="0"/>
                <w:iCs w:val="0"/>
                <w:color w:val="auto"/>
                <w:sz w:val="18"/>
                <w:szCs w:val="18"/>
                <w:highlight w:val="none"/>
                <w:u w:val="none"/>
              </w:rPr>
            </w:pPr>
          </w:p>
        </w:tc>
        <w:tc>
          <w:tcPr>
            <w:tcW w:w="32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5F176A1">
            <w:pPr>
              <w:jc w:val="left"/>
              <w:rPr>
                <w:rFonts w:hint="eastAsia" w:ascii="宋体" w:hAnsi="宋体" w:eastAsia="宋体" w:cs="宋体"/>
                <w:i w:val="0"/>
                <w:iCs w:val="0"/>
                <w:color w:val="auto"/>
                <w:sz w:val="18"/>
                <w:szCs w:val="18"/>
                <w:highlight w:val="none"/>
                <w:u w:val="none"/>
              </w:rPr>
            </w:pPr>
          </w:p>
        </w:tc>
        <w:tc>
          <w:tcPr>
            <w:tcW w:w="3390" w:type="dxa"/>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D432C4E">
            <w:pPr>
              <w:jc w:val="left"/>
              <w:rPr>
                <w:rFonts w:hint="eastAsia" w:ascii="宋体" w:hAnsi="宋体" w:eastAsia="宋体" w:cs="宋体"/>
                <w:i w:val="0"/>
                <w:iCs w:val="0"/>
                <w:color w:val="auto"/>
                <w:sz w:val="18"/>
                <w:szCs w:val="18"/>
                <w:highlight w:val="none"/>
                <w:u w:val="none"/>
              </w:rPr>
            </w:pPr>
          </w:p>
        </w:tc>
        <w:tc>
          <w:tcPr>
            <w:tcW w:w="151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A442B4A">
            <w:pPr>
              <w:jc w:val="right"/>
              <w:rPr>
                <w:rFonts w:hint="eastAsia" w:ascii="宋体" w:hAnsi="宋体" w:eastAsia="宋体" w:cs="宋体"/>
                <w:i w:val="0"/>
                <w:iCs w:val="0"/>
                <w:color w:val="auto"/>
                <w:sz w:val="18"/>
                <w:szCs w:val="18"/>
                <w:highlight w:val="none"/>
                <w:u w:val="none"/>
              </w:rPr>
            </w:pPr>
          </w:p>
        </w:tc>
        <w:tc>
          <w:tcPr>
            <w:tcW w:w="10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50B39E98">
            <w:pPr>
              <w:jc w:val="left"/>
              <w:rPr>
                <w:rFonts w:hint="eastAsia" w:ascii="宋体" w:hAnsi="宋体" w:eastAsia="宋体" w:cs="宋体"/>
                <w:i w:val="0"/>
                <w:iCs w:val="0"/>
                <w:color w:val="auto"/>
                <w:sz w:val="18"/>
                <w:szCs w:val="18"/>
                <w:highlight w:val="none"/>
                <w:u w:val="none"/>
              </w:rPr>
            </w:pPr>
          </w:p>
        </w:tc>
      </w:tr>
      <w:tr w14:paraId="4B4FF4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662" w:type="dxa"/>
          <w:trHeight w:val="450" w:hRule="atLeast"/>
          <w:jc w:val="center"/>
        </w:trPr>
        <w:tc>
          <w:tcPr>
            <w:tcW w:w="945"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1D995424">
            <w:pPr>
              <w:jc w:val="center"/>
              <w:rPr>
                <w:rFonts w:hint="eastAsia" w:ascii="宋体" w:hAnsi="宋体" w:eastAsia="宋体" w:cs="宋体"/>
                <w:i w:val="0"/>
                <w:iCs w:val="0"/>
                <w:color w:val="auto"/>
                <w:sz w:val="18"/>
                <w:szCs w:val="18"/>
                <w:highlight w:val="none"/>
                <w:u w:val="none"/>
              </w:rPr>
            </w:pPr>
          </w:p>
        </w:tc>
        <w:tc>
          <w:tcPr>
            <w:tcW w:w="32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EE13130">
            <w:pPr>
              <w:jc w:val="left"/>
              <w:rPr>
                <w:rFonts w:hint="eastAsia" w:ascii="宋体" w:hAnsi="宋体" w:eastAsia="宋体" w:cs="宋体"/>
                <w:i w:val="0"/>
                <w:iCs w:val="0"/>
                <w:color w:val="auto"/>
                <w:sz w:val="18"/>
                <w:szCs w:val="18"/>
                <w:highlight w:val="none"/>
                <w:u w:val="none"/>
              </w:rPr>
            </w:pPr>
          </w:p>
        </w:tc>
        <w:tc>
          <w:tcPr>
            <w:tcW w:w="3390" w:type="dxa"/>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58C46BCB">
            <w:pPr>
              <w:jc w:val="left"/>
              <w:rPr>
                <w:rFonts w:hint="eastAsia" w:ascii="宋体" w:hAnsi="宋体" w:eastAsia="宋体" w:cs="宋体"/>
                <w:i w:val="0"/>
                <w:iCs w:val="0"/>
                <w:color w:val="auto"/>
                <w:sz w:val="18"/>
                <w:szCs w:val="18"/>
                <w:highlight w:val="none"/>
                <w:u w:val="none"/>
              </w:rPr>
            </w:pPr>
          </w:p>
        </w:tc>
        <w:tc>
          <w:tcPr>
            <w:tcW w:w="151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3790DFF">
            <w:pPr>
              <w:jc w:val="right"/>
              <w:rPr>
                <w:rFonts w:hint="eastAsia" w:ascii="宋体" w:hAnsi="宋体" w:eastAsia="宋体" w:cs="宋体"/>
                <w:i w:val="0"/>
                <w:iCs w:val="0"/>
                <w:color w:val="auto"/>
                <w:sz w:val="18"/>
                <w:szCs w:val="18"/>
                <w:highlight w:val="none"/>
                <w:u w:val="none"/>
              </w:rPr>
            </w:pPr>
          </w:p>
        </w:tc>
        <w:tc>
          <w:tcPr>
            <w:tcW w:w="10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04DEBE5">
            <w:pPr>
              <w:jc w:val="left"/>
              <w:rPr>
                <w:rFonts w:hint="eastAsia" w:ascii="宋体" w:hAnsi="宋体" w:eastAsia="宋体" w:cs="宋体"/>
                <w:i w:val="0"/>
                <w:iCs w:val="0"/>
                <w:color w:val="auto"/>
                <w:sz w:val="18"/>
                <w:szCs w:val="18"/>
                <w:highlight w:val="none"/>
                <w:u w:val="none"/>
              </w:rPr>
            </w:pPr>
          </w:p>
        </w:tc>
      </w:tr>
      <w:tr w14:paraId="2DB278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662" w:type="dxa"/>
          <w:trHeight w:val="450" w:hRule="atLeast"/>
          <w:jc w:val="center"/>
        </w:trPr>
        <w:tc>
          <w:tcPr>
            <w:tcW w:w="945"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2B1B3552">
            <w:pPr>
              <w:jc w:val="center"/>
              <w:rPr>
                <w:rFonts w:hint="eastAsia" w:ascii="宋体" w:hAnsi="宋体" w:eastAsia="宋体" w:cs="宋体"/>
                <w:i w:val="0"/>
                <w:iCs w:val="0"/>
                <w:color w:val="auto"/>
                <w:sz w:val="18"/>
                <w:szCs w:val="18"/>
                <w:highlight w:val="none"/>
                <w:u w:val="none"/>
              </w:rPr>
            </w:pPr>
          </w:p>
        </w:tc>
        <w:tc>
          <w:tcPr>
            <w:tcW w:w="32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D805082">
            <w:pPr>
              <w:jc w:val="left"/>
              <w:rPr>
                <w:rFonts w:hint="eastAsia" w:ascii="宋体" w:hAnsi="宋体" w:eastAsia="宋体" w:cs="宋体"/>
                <w:i w:val="0"/>
                <w:iCs w:val="0"/>
                <w:color w:val="auto"/>
                <w:sz w:val="18"/>
                <w:szCs w:val="18"/>
                <w:highlight w:val="none"/>
                <w:u w:val="none"/>
              </w:rPr>
            </w:pPr>
          </w:p>
        </w:tc>
        <w:tc>
          <w:tcPr>
            <w:tcW w:w="3390" w:type="dxa"/>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B254991">
            <w:pPr>
              <w:jc w:val="left"/>
              <w:rPr>
                <w:rFonts w:hint="eastAsia" w:ascii="宋体" w:hAnsi="宋体" w:eastAsia="宋体" w:cs="宋体"/>
                <w:i w:val="0"/>
                <w:iCs w:val="0"/>
                <w:color w:val="auto"/>
                <w:sz w:val="18"/>
                <w:szCs w:val="18"/>
                <w:highlight w:val="none"/>
                <w:u w:val="none"/>
              </w:rPr>
            </w:pPr>
          </w:p>
        </w:tc>
        <w:tc>
          <w:tcPr>
            <w:tcW w:w="151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4B8BD2BD">
            <w:pPr>
              <w:jc w:val="right"/>
              <w:rPr>
                <w:rFonts w:hint="eastAsia" w:ascii="宋体" w:hAnsi="宋体" w:eastAsia="宋体" w:cs="宋体"/>
                <w:i w:val="0"/>
                <w:iCs w:val="0"/>
                <w:color w:val="auto"/>
                <w:sz w:val="18"/>
                <w:szCs w:val="18"/>
                <w:highlight w:val="none"/>
                <w:u w:val="none"/>
              </w:rPr>
            </w:pPr>
          </w:p>
        </w:tc>
        <w:tc>
          <w:tcPr>
            <w:tcW w:w="10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7006970B">
            <w:pPr>
              <w:jc w:val="left"/>
              <w:rPr>
                <w:rFonts w:hint="eastAsia" w:ascii="宋体" w:hAnsi="宋体" w:eastAsia="宋体" w:cs="宋体"/>
                <w:i w:val="0"/>
                <w:iCs w:val="0"/>
                <w:color w:val="auto"/>
                <w:sz w:val="18"/>
                <w:szCs w:val="18"/>
                <w:highlight w:val="none"/>
                <w:u w:val="none"/>
              </w:rPr>
            </w:pPr>
          </w:p>
        </w:tc>
      </w:tr>
      <w:tr w14:paraId="2ACE07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662" w:type="dxa"/>
          <w:trHeight w:val="450" w:hRule="atLeast"/>
          <w:jc w:val="center"/>
        </w:trPr>
        <w:tc>
          <w:tcPr>
            <w:tcW w:w="945"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78D28244">
            <w:pPr>
              <w:jc w:val="center"/>
              <w:rPr>
                <w:rFonts w:hint="eastAsia" w:ascii="宋体" w:hAnsi="宋体" w:eastAsia="宋体" w:cs="宋体"/>
                <w:i w:val="0"/>
                <w:iCs w:val="0"/>
                <w:color w:val="auto"/>
                <w:sz w:val="18"/>
                <w:szCs w:val="18"/>
                <w:highlight w:val="none"/>
                <w:u w:val="none"/>
              </w:rPr>
            </w:pPr>
          </w:p>
        </w:tc>
        <w:tc>
          <w:tcPr>
            <w:tcW w:w="32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BF0AB92">
            <w:pPr>
              <w:jc w:val="left"/>
              <w:rPr>
                <w:rFonts w:hint="eastAsia" w:ascii="宋体" w:hAnsi="宋体" w:eastAsia="宋体" w:cs="宋体"/>
                <w:i w:val="0"/>
                <w:iCs w:val="0"/>
                <w:color w:val="auto"/>
                <w:sz w:val="18"/>
                <w:szCs w:val="18"/>
                <w:highlight w:val="none"/>
                <w:u w:val="none"/>
              </w:rPr>
            </w:pPr>
          </w:p>
        </w:tc>
        <w:tc>
          <w:tcPr>
            <w:tcW w:w="3390" w:type="dxa"/>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E0B50C9">
            <w:pPr>
              <w:jc w:val="left"/>
              <w:rPr>
                <w:rFonts w:hint="eastAsia" w:ascii="宋体" w:hAnsi="宋体" w:eastAsia="宋体" w:cs="宋体"/>
                <w:i w:val="0"/>
                <w:iCs w:val="0"/>
                <w:color w:val="auto"/>
                <w:sz w:val="18"/>
                <w:szCs w:val="18"/>
                <w:highlight w:val="none"/>
                <w:u w:val="none"/>
              </w:rPr>
            </w:pPr>
          </w:p>
        </w:tc>
        <w:tc>
          <w:tcPr>
            <w:tcW w:w="151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5DC9318">
            <w:pPr>
              <w:jc w:val="right"/>
              <w:rPr>
                <w:rFonts w:hint="eastAsia" w:ascii="宋体" w:hAnsi="宋体" w:eastAsia="宋体" w:cs="宋体"/>
                <w:i w:val="0"/>
                <w:iCs w:val="0"/>
                <w:color w:val="auto"/>
                <w:sz w:val="18"/>
                <w:szCs w:val="18"/>
                <w:highlight w:val="none"/>
                <w:u w:val="none"/>
              </w:rPr>
            </w:pPr>
          </w:p>
        </w:tc>
        <w:tc>
          <w:tcPr>
            <w:tcW w:w="10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0F4910BA">
            <w:pPr>
              <w:jc w:val="left"/>
              <w:rPr>
                <w:rFonts w:hint="eastAsia" w:ascii="宋体" w:hAnsi="宋体" w:eastAsia="宋体" w:cs="宋体"/>
                <w:i w:val="0"/>
                <w:iCs w:val="0"/>
                <w:color w:val="auto"/>
                <w:sz w:val="18"/>
                <w:szCs w:val="18"/>
                <w:highlight w:val="none"/>
                <w:u w:val="none"/>
              </w:rPr>
            </w:pPr>
          </w:p>
        </w:tc>
      </w:tr>
      <w:tr w14:paraId="1EF60A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662" w:type="dxa"/>
          <w:trHeight w:val="450" w:hRule="atLeast"/>
          <w:jc w:val="center"/>
        </w:trPr>
        <w:tc>
          <w:tcPr>
            <w:tcW w:w="945"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7AA9564D">
            <w:pPr>
              <w:jc w:val="center"/>
              <w:rPr>
                <w:rFonts w:hint="eastAsia" w:ascii="宋体" w:hAnsi="宋体" w:eastAsia="宋体" w:cs="宋体"/>
                <w:i w:val="0"/>
                <w:iCs w:val="0"/>
                <w:color w:val="auto"/>
                <w:sz w:val="18"/>
                <w:szCs w:val="18"/>
                <w:highlight w:val="none"/>
                <w:u w:val="none"/>
              </w:rPr>
            </w:pPr>
          </w:p>
        </w:tc>
        <w:tc>
          <w:tcPr>
            <w:tcW w:w="32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ECACFA7">
            <w:pPr>
              <w:jc w:val="left"/>
              <w:rPr>
                <w:rFonts w:hint="eastAsia" w:ascii="宋体" w:hAnsi="宋体" w:eastAsia="宋体" w:cs="宋体"/>
                <w:i w:val="0"/>
                <w:iCs w:val="0"/>
                <w:color w:val="auto"/>
                <w:sz w:val="18"/>
                <w:szCs w:val="18"/>
                <w:highlight w:val="none"/>
                <w:u w:val="none"/>
              </w:rPr>
            </w:pPr>
          </w:p>
        </w:tc>
        <w:tc>
          <w:tcPr>
            <w:tcW w:w="3390" w:type="dxa"/>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7456FF75">
            <w:pPr>
              <w:jc w:val="left"/>
              <w:rPr>
                <w:rFonts w:hint="eastAsia" w:ascii="宋体" w:hAnsi="宋体" w:eastAsia="宋体" w:cs="宋体"/>
                <w:i w:val="0"/>
                <w:iCs w:val="0"/>
                <w:color w:val="auto"/>
                <w:sz w:val="18"/>
                <w:szCs w:val="18"/>
                <w:highlight w:val="none"/>
                <w:u w:val="none"/>
              </w:rPr>
            </w:pPr>
          </w:p>
        </w:tc>
        <w:tc>
          <w:tcPr>
            <w:tcW w:w="151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2E2AA8E">
            <w:pPr>
              <w:jc w:val="right"/>
              <w:rPr>
                <w:rFonts w:hint="eastAsia" w:ascii="宋体" w:hAnsi="宋体" w:eastAsia="宋体" w:cs="宋体"/>
                <w:i w:val="0"/>
                <w:iCs w:val="0"/>
                <w:color w:val="auto"/>
                <w:sz w:val="18"/>
                <w:szCs w:val="18"/>
                <w:highlight w:val="none"/>
                <w:u w:val="none"/>
              </w:rPr>
            </w:pPr>
          </w:p>
        </w:tc>
        <w:tc>
          <w:tcPr>
            <w:tcW w:w="10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9E9DDD2">
            <w:pPr>
              <w:jc w:val="left"/>
              <w:rPr>
                <w:rFonts w:hint="eastAsia" w:ascii="宋体" w:hAnsi="宋体" w:eastAsia="宋体" w:cs="宋体"/>
                <w:i w:val="0"/>
                <w:iCs w:val="0"/>
                <w:color w:val="auto"/>
                <w:sz w:val="18"/>
                <w:szCs w:val="18"/>
                <w:highlight w:val="none"/>
                <w:u w:val="none"/>
              </w:rPr>
            </w:pPr>
          </w:p>
        </w:tc>
      </w:tr>
      <w:tr w14:paraId="6383B9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662" w:type="dxa"/>
          <w:trHeight w:val="450" w:hRule="atLeast"/>
          <w:jc w:val="center"/>
        </w:trPr>
        <w:tc>
          <w:tcPr>
            <w:tcW w:w="945"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0FC43A90">
            <w:pPr>
              <w:jc w:val="center"/>
              <w:rPr>
                <w:rFonts w:hint="eastAsia" w:ascii="宋体" w:hAnsi="宋体" w:eastAsia="宋体" w:cs="宋体"/>
                <w:i w:val="0"/>
                <w:iCs w:val="0"/>
                <w:color w:val="auto"/>
                <w:sz w:val="18"/>
                <w:szCs w:val="18"/>
                <w:highlight w:val="none"/>
                <w:u w:val="none"/>
              </w:rPr>
            </w:pPr>
          </w:p>
        </w:tc>
        <w:tc>
          <w:tcPr>
            <w:tcW w:w="32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5563F72">
            <w:pPr>
              <w:jc w:val="left"/>
              <w:rPr>
                <w:rFonts w:hint="eastAsia" w:ascii="宋体" w:hAnsi="宋体" w:eastAsia="宋体" w:cs="宋体"/>
                <w:i w:val="0"/>
                <w:iCs w:val="0"/>
                <w:color w:val="auto"/>
                <w:sz w:val="18"/>
                <w:szCs w:val="18"/>
                <w:highlight w:val="none"/>
                <w:u w:val="none"/>
              </w:rPr>
            </w:pPr>
          </w:p>
        </w:tc>
        <w:tc>
          <w:tcPr>
            <w:tcW w:w="3390" w:type="dxa"/>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B6BC269">
            <w:pPr>
              <w:jc w:val="left"/>
              <w:rPr>
                <w:rFonts w:hint="eastAsia" w:ascii="宋体" w:hAnsi="宋体" w:eastAsia="宋体" w:cs="宋体"/>
                <w:i w:val="0"/>
                <w:iCs w:val="0"/>
                <w:color w:val="auto"/>
                <w:sz w:val="18"/>
                <w:szCs w:val="18"/>
                <w:highlight w:val="none"/>
                <w:u w:val="none"/>
              </w:rPr>
            </w:pPr>
          </w:p>
        </w:tc>
        <w:tc>
          <w:tcPr>
            <w:tcW w:w="151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4A1DB4C9">
            <w:pPr>
              <w:jc w:val="right"/>
              <w:rPr>
                <w:rFonts w:hint="eastAsia" w:ascii="宋体" w:hAnsi="宋体" w:eastAsia="宋体" w:cs="宋体"/>
                <w:i w:val="0"/>
                <w:iCs w:val="0"/>
                <w:color w:val="auto"/>
                <w:sz w:val="18"/>
                <w:szCs w:val="18"/>
                <w:highlight w:val="none"/>
                <w:u w:val="none"/>
              </w:rPr>
            </w:pPr>
          </w:p>
        </w:tc>
        <w:tc>
          <w:tcPr>
            <w:tcW w:w="10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CBDBCFB">
            <w:pPr>
              <w:jc w:val="left"/>
              <w:rPr>
                <w:rFonts w:hint="eastAsia" w:ascii="宋体" w:hAnsi="宋体" w:eastAsia="宋体" w:cs="宋体"/>
                <w:i w:val="0"/>
                <w:iCs w:val="0"/>
                <w:color w:val="auto"/>
                <w:sz w:val="18"/>
                <w:szCs w:val="18"/>
                <w:highlight w:val="none"/>
                <w:u w:val="none"/>
              </w:rPr>
            </w:pPr>
          </w:p>
        </w:tc>
      </w:tr>
      <w:tr w14:paraId="63F520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662" w:type="dxa"/>
          <w:trHeight w:val="450" w:hRule="atLeast"/>
          <w:jc w:val="center"/>
        </w:trPr>
        <w:tc>
          <w:tcPr>
            <w:tcW w:w="945"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79480302">
            <w:pPr>
              <w:jc w:val="center"/>
              <w:rPr>
                <w:rFonts w:hint="eastAsia" w:ascii="宋体" w:hAnsi="宋体" w:eastAsia="宋体" w:cs="宋体"/>
                <w:i w:val="0"/>
                <w:iCs w:val="0"/>
                <w:color w:val="auto"/>
                <w:sz w:val="18"/>
                <w:szCs w:val="18"/>
                <w:highlight w:val="none"/>
                <w:u w:val="none"/>
              </w:rPr>
            </w:pPr>
          </w:p>
        </w:tc>
        <w:tc>
          <w:tcPr>
            <w:tcW w:w="32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F888837">
            <w:pPr>
              <w:jc w:val="left"/>
              <w:rPr>
                <w:rFonts w:hint="eastAsia" w:ascii="宋体" w:hAnsi="宋体" w:eastAsia="宋体" w:cs="宋体"/>
                <w:i w:val="0"/>
                <w:iCs w:val="0"/>
                <w:color w:val="auto"/>
                <w:sz w:val="18"/>
                <w:szCs w:val="18"/>
                <w:highlight w:val="none"/>
                <w:u w:val="none"/>
              </w:rPr>
            </w:pPr>
          </w:p>
        </w:tc>
        <w:tc>
          <w:tcPr>
            <w:tcW w:w="3390" w:type="dxa"/>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D00D50C">
            <w:pPr>
              <w:jc w:val="left"/>
              <w:rPr>
                <w:rFonts w:hint="eastAsia" w:ascii="宋体" w:hAnsi="宋体" w:eastAsia="宋体" w:cs="宋体"/>
                <w:i w:val="0"/>
                <w:iCs w:val="0"/>
                <w:color w:val="auto"/>
                <w:sz w:val="18"/>
                <w:szCs w:val="18"/>
                <w:highlight w:val="none"/>
                <w:u w:val="none"/>
              </w:rPr>
            </w:pPr>
          </w:p>
        </w:tc>
        <w:tc>
          <w:tcPr>
            <w:tcW w:w="151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478C4808">
            <w:pPr>
              <w:jc w:val="right"/>
              <w:rPr>
                <w:rFonts w:hint="eastAsia" w:ascii="宋体" w:hAnsi="宋体" w:eastAsia="宋体" w:cs="宋体"/>
                <w:i w:val="0"/>
                <w:iCs w:val="0"/>
                <w:color w:val="auto"/>
                <w:sz w:val="18"/>
                <w:szCs w:val="18"/>
                <w:highlight w:val="none"/>
                <w:u w:val="none"/>
              </w:rPr>
            </w:pPr>
          </w:p>
        </w:tc>
        <w:tc>
          <w:tcPr>
            <w:tcW w:w="10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77E43A71">
            <w:pPr>
              <w:jc w:val="left"/>
              <w:rPr>
                <w:rFonts w:hint="eastAsia" w:ascii="宋体" w:hAnsi="宋体" w:eastAsia="宋体" w:cs="宋体"/>
                <w:i w:val="0"/>
                <w:iCs w:val="0"/>
                <w:color w:val="auto"/>
                <w:sz w:val="18"/>
                <w:szCs w:val="18"/>
                <w:highlight w:val="none"/>
                <w:u w:val="none"/>
              </w:rPr>
            </w:pPr>
          </w:p>
        </w:tc>
      </w:tr>
      <w:tr w14:paraId="5F4CB7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662" w:type="dxa"/>
          <w:trHeight w:val="450" w:hRule="atLeast"/>
          <w:jc w:val="center"/>
        </w:trPr>
        <w:tc>
          <w:tcPr>
            <w:tcW w:w="945"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723A63C3">
            <w:pPr>
              <w:jc w:val="center"/>
              <w:rPr>
                <w:rFonts w:hint="eastAsia" w:ascii="宋体" w:hAnsi="宋体" w:eastAsia="宋体" w:cs="宋体"/>
                <w:i w:val="0"/>
                <w:iCs w:val="0"/>
                <w:color w:val="auto"/>
                <w:sz w:val="18"/>
                <w:szCs w:val="18"/>
                <w:highlight w:val="none"/>
                <w:u w:val="none"/>
              </w:rPr>
            </w:pPr>
          </w:p>
        </w:tc>
        <w:tc>
          <w:tcPr>
            <w:tcW w:w="32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FC1ED68">
            <w:pPr>
              <w:jc w:val="left"/>
              <w:rPr>
                <w:rFonts w:hint="eastAsia" w:ascii="宋体" w:hAnsi="宋体" w:eastAsia="宋体" w:cs="宋体"/>
                <w:i w:val="0"/>
                <w:iCs w:val="0"/>
                <w:color w:val="auto"/>
                <w:sz w:val="18"/>
                <w:szCs w:val="18"/>
                <w:highlight w:val="none"/>
                <w:u w:val="none"/>
              </w:rPr>
            </w:pPr>
          </w:p>
        </w:tc>
        <w:tc>
          <w:tcPr>
            <w:tcW w:w="3390" w:type="dxa"/>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7852A7C1">
            <w:pPr>
              <w:jc w:val="left"/>
              <w:rPr>
                <w:rFonts w:hint="eastAsia" w:ascii="宋体" w:hAnsi="宋体" w:eastAsia="宋体" w:cs="宋体"/>
                <w:i w:val="0"/>
                <w:iCs w:val="0"/>
                <w:color w:val="auto"/>
                <w:sz w:val="18"/>
                <w:szCs w:val="18"/>
                <w:highlight w:val="none"/>
                <w:u w:val="none"/>
              </w:rPr>
            </w:pPr>
          </w:p>
        </w:tc>
        <w:tc>
          <w:tcPr>
            <w:tcW w:w="151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4B3C189">
            <w:pPr>
              <w:jc w:val="right"/>
              <w:rPr>
                <w:rFonts w:hint="eastAsia" w:ascii="宋体" w:hAnsi="宋体" w:eastAsia="宋体" w:cs="宋体"/>
                <w:i w:val="0"/>
                <w:iCs w:val="0"/>
                <w:color w:val="auto"/>
                <w:sz w:val="18"/>
                <w:szCs w:val="18"/>
                <w:highlight w:val="none"/>
                <w:u w:val="none"/>
              </w:rPr>
            </w:pPr>
          </w:p>
        </w:tc>
        <w:tc>
          <w:tcPr>
            <w:tcW w:w="10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7425118C">
            <w:pPr>
              <w:jc w:val="left"/>
              <w:rPr>
                <w:rFonts w:hint="eastAsia" w:ascii="宋体" w:hAnsi="宋体" w:eastAsia="宋体" w:cs="宋体"/>
                <w:i w:val="0"/>
                <w:iCs w:val="0"/>
                <w:color w:val="auto"/>
                <w:sz w:val="18"/>
                <w:szCs w:val="18"/>
                <w:highlight w:val="none"/>
                <w:u w:val="none"/>
              </w:rPr>
            </w:pPr>
          </w:p>
        </w:tc>
      </w:tr>
      <w:tr w14:paraId="20CFC0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662" w:type="dxa"/>
          <w:trHeight w:val="450" w:hRule="atLeast"/>
          <w:jc w:val="center"/>
        </w:trPr>
        <w:tc>
          <w:tcPr>
            <w:tcW w:w="945"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34630DEC">
            <w:pPr>
              <w:jc w:val="center"/>
              <w:rPr>
                <w:rFonts w:hint="eastAsia" w:ascii="宋体" w:hAnsi="宋体" w:eastAsia="宋体" w:cs="宋体"/>
                <w:i w:val="0"/>
                <w:iCs w:val="0"/>
                <w:color w:val="auto"/>
                <w:sz w:val="18"/>
                <w:szCs w:val="18"/>
                <w:highlight w:val="none"/>
                <w:u w:val="none"/>
              </w:rPr>
            </w:pPr>
          </w:p>
        </w:tc>
        <w:tc>
          <w:tcPr>
            <w:tcW w:w="32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890DD02">
            <w:pPr>
              <w:jc w:val="left"/>
              <w:rPr>
                <w:rFonts w:hint="eastAsia" w:ascii="宋体" w:hAnsi="宋体" w:eastAsia="宋体" w:cs="宋体"/>
                <w:i w:val="0"/>
                <w:iCs w:val="0"/>
                <w:color w:val="auto"/>
                <w:sz w:val="18"/>
                <w:szCs w:val="18"/>
                <w:highlight w:val="none"/>
                <w:u w:val="none"/>
              </w:rPr>
            </w:pPr>
          </w:p>
        </w:tc>
        <w:tc>
          <w:tcPr>
            <w:tcW w:w="3390" w:type="dxa"/>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9A4089A">
            <w:pPr>
              <w:jc w:val="left"/>
              <w:rPr>
                <w:rFonts w:hint="eastAsia" w:ascii="宋体" w:hAnsi="宋体" w:eastAsia="宋体" w:cs="宋体"/>
                <w:i w:val="0"/>
                <w:iCs w:val="0"/>
                <w:color w:val="auto"/>
                <w:sz w:val="18"/>
                <w:szCs w:val="18"/>
                <w:highlight w:val="none"/>
                <w:u w:val="none"/>
              </w:rPr>
            </w:pPr>
          </w:p>
        </w:tc>
        <w:tc>
          <w:tcPr>
            <w:tcW w:w="151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7687FDF">
            <w:pPr>
              <w:jc w:val="right"/>
              <w:rPr>
                <w:rFonts w:hint="eastAsia" w:ascii="宋体" w:hAnsi="宋体" w:eastAsia="宋体" w:cs="宋体"/>
                <w:i w:val="0"/>
                <w:iCs w:val="0"/>
                <w:color w:val="auto"/>
                <w:sz w:val="18"/>
                <w:szCs w:val="18"/>
                <w:highlight w:val="none"/>
                <w:u w:val="none"/>
              </w:rPr>
            </w:pPr>
          </w:p>
        </w:tc>
        <w:tc>
          <w:tcPr>
            <w:tcW w:w="10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5E2BDEC9">
            <w:pPr>
              <w:jc w:val="left"/>
              <w:rPr>
                <w:rFonts w:hint="eastAsia" w:ascii="宋体" w:hAnsi="宋体" w:eastAsia="宋体" w:cs="宋体"/>
                <w:i w:val="0"/>
                <w:iCs w:val="0"/>
                <w:color w:val="auto"/>
                <w:sz w:val="18"/>
                <w:szCs w:val="18"/>
                <w:highlight w:val="none"/>
                <w:u w:val="none"/>
              </w:rPr>
            </w:pPr>
          </w:p>
        </w:tc>
      </w:tr>
      <w:tr w14:paraId="5DDF05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662" w:type="dxa"/>
          <w:trHeight w:val="450" w:hRule="atLeast"/>
          <w:jc w:val="center"/>
        </w:trPr>
        <w:tc>
          <w:tcPr>
            <w:tcW w:w="945"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54F2E0A6">
            <w:pPr>
              <w:jc w:val="center"/>
              <w:rPr>
                <w:rFonts w:hint="eastAsia" w:ascii="宋体" w:hAnsi="宋体" w:eastAsia="宋体" w:cs="宋体"/>
                <w:i w:val="0"/>
                <w:iCs w:val="0"/>
                <w:color w:val="auto"/>
                <w:sz w:val="18"/>
                <w:szCs w:val="18"/>
                <w:highlight w:val="none"/>
                <w:u w:val="none"/>
              </w:rPr>
            </w:pPr>
          </w:p>
        </w:tc>
        <w:tc>
          <w:tcPr>
            <w:tcW w:w="32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8B641BE">
            <w:pPr>
              <w:jc w:val="left"/>
              <w:rPr>
                <w:rFonts w:hint="eastAsia" w:ascii="宋体" w:hAnsi="宋体" w:eastAsia="宋体" w:cs="宋体"/>
                <w:i w:val="0"/>
                <w:iCs w:val="0"/>
                <w:color w:val="auto"/>
                <w:sz w:val="18"/>
                <w:szCs w:val="18"/>
                <w:highlight w:val="none"/>
                <w:u w:val="none"/>
              </w:rPr>
            </w:pPr>
          </w:p>
        </w:tc>
        <w:tc>
          <w:tcPr>
            <w:tcW w:w="3390" w:type="dxa"/>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B6F5E62">
            <w:pPr>
              <w:jc w:val="left"/>
              <w:rPr>
                <w:rFonts w:hint="eastAsia" w:ascii="宋体" w:hAnsi="宋体" w:eastAsia="宋体" w:cs="宋体"/>
                <w:i w:val="0"/>
                <w:iCs w:val="0"/>
                <w:color w:val="auto"/>
                <w:sz w:val="18"/>
                <w:szCs w:val="18"/>
                <w:highlight w:val="none"/>
                <w:u w:val="none"/>
              </w:rPr>
            </w:pPr>
          </w:p>
        </w:tc>
        <w:tc>
          <w:tcPr>
            <w:tcW w:w="151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3854345">
            <w:pPr>
              <w:jc w:val="right"/>
              <w:rPr>
                <w:rFonts w:hint="eastAsia" w:ascii="宋体" w:hAnsi="宋体" w:eastAsia="宋体" w:cs="宋体"/>
                <w:i w:val="0"/>
                <w:iCs w:val="0"/>
                <w:color w:val="auto"/>
                <w:sz w:val="18"/>
                <w:szCs w:val="18"/>
                <w:highlight w:val="none"/>
                <w:u w:val="none"/>
              </w:rPr>
            </w:pPr>
          </w:p>
        </w:tc>
        <w:tc>
          <w:tcPr>
            <w:tcW w:w="10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CD815B5">
            <w:pPr>
              <w:jc w:val="left"/>
              <w:rPr>
                <w:rFonts w:hint="eastAsia" w:ascii="宋体" w:hAnsi="宋体" w:eastAsia="宋体" w:cs="宋体"/>
                <w:i w:val="0"/>
                <w:iCs w:val="0"/>
                <w:color w:val="auto"/>
                <w:sz w:val="18"/>
                <w:szCs w:val="18"/>
                <w:highlight w:val="none"/>
                <w:u w:val="none"/>
              </w:rPr>
            </w:pPr>
          </w:p>
        </w:tc>
      </w:tr>
      <w:tr w14:paraId="617861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662" w:type="dxa"/>
          <w:trHeight w:val="450" w:hRule="atLeast"/>
          <w:jc w:val="center"/>
        </w:trPr>
        <w:tc>
          <w:tcPr>
            <w:tcW w:w="4200" w:type="dxa"/>
            <w:gridSpan w:val="4"/>
            <w:tcBorders>
              <w:top w:val="single" w:color="000000" w:sz="4" w:space="0"/>
              <w:left w:val="single" w:color="000000" w:sz="8" w:space="0"/>
              <w:bottom w:val="single" w:color="000000" w:sz="8" w:space="0"/>
              <w:right w:val="single" w:color="000000" w:sz="4" w:space="0"/>
            </w:tcBorders>
            <w:shd w:val="clear" w:color="FFFFFF" w:fill="FFFFFF"/>
            <w:vAlign w:val="center"/>
          </w:tcPr>
          <w:p w14:paraId="475C3E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招标控制价合计</w:t>
            </w:r>
          </w:p>
        </w:tc>
        <w:tc>
          <w:tcPr>
            <w:tcW w:w="3390" w:type="dxa"/>
            <w:gridSpan w:val="6"/>
            <w:tcBorders>
              <w:top w:val="single" w:color="000000" w:sz="4" w:space="0"/>
              <w:left w:val="single" w:color="000000" w:sz="4" w:space="0"/>
              <w:bottom w:val="single" w:color="000000" w:sz="8" w:space="0"/>
              <w:right w:val="single" w:color="000000" w:sz="4" w:space="0"/>
            </w:tcBorders>
            <w:shd w:val="clear" w:color="FFFFFF" w:fill="FFFFFF"/>
            <w:vAlign w:val="center"/>
          </w:tcPr>
          <w:p w14:paraId="38B07E6B">
            <w:pPr>
              <w:jc w:val="left"/>
              <w:rPr>
                <w:rFonts w:hint="eastAsia" w:ascii="宋体" w:hAnsi="宋体" w:eastAsia="宋体" w:cs="宋体"/>
                <w:i w:val="0"/>
                <w:iCs w:val="0"/>
                <w:color w:val="auto"/>
                <w:sz w:val="18"/>
                <w:szCs w:val="18"/>
                <w:highlight w:val="none"/>
                <w:u w:val="none"/>
              </w:rPr>
            </w:pPr>
          </w:p>
        </w:tc>
        <w:tc>
          <w:tcPr>
            <w:tcW w:w="1515" w:type="dxa"/>
            <w:gridSpan w:val="4"/>
            <w:tcBorders>
              <w:top w:val="single" w:color="000000" w:sz="4" w:space="0"/>
              <w:left w:val="single" w:color="000000" w:sz="4" w:space="0"/>
              <w:bottom w:val="single" w:color="000000" w:sz="8" w:space="0"/>
              <w:right w:val="single" w:color="000000" w:sz="4" w:space="0"/>
            </w:tcBorders>
            <w:shd w:val="clear" w:color="FFFFFF" w:fill="FFFFFF"/>
            <w:vAlign w:val="center"/>
          </w:tcPr>
          <w:p w14:paraId="2E16BA3A">
            <w:pPr>
              <w:jc w:val="right"/>
              <w:rPr>
                <w:rFonts w:hint="eastAsia" w:ascii="宋体" w:hAnsi="宋体" w:eastAsia="宋体" w:cs="宋体"/>
                <w:i w:val="0"/>
                <w:iCs w:val="0"/>
                <w:color w:val="auto"/>
                <w:sz w:val="18"/>
                <w:szCs w:val="18"/>
                <w:highlight w:val="none"/>
                <w:u w:val="none"/>
              </w:rPr>
            </w:pPr>
          </w:p>
        </w:tc>
        <w:tc>
          <w:tcPr>
            <w:tcW w:w="1080"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4C662CE8">
            <w:pPr>
              <w:jc w:val="right"/>
              <w:rPr>
                <w:rFonts w:hint="eastAsia" w:ascii="宋体" w:hAnsi="宋体" w:eastAsia="宋体" w:cs="宋体"/>
                <w:i w:val="0"/>
                <w:iCs w:val="0"/>
                <w:color w:val="auto"/>
                <w:sz w:val="18"/>
                <w:szCs w:val="18"/>
                <w:highlight w:val="none"/>
                <w:u w:val="none"/>
              </w:rPr>
            </w:pPr>
          </w:p>
        </w:tc>
      </w:tr>
    </w:tbl>
    <w:p w14:paraId="39065CAC">
      <w:pPr>
        <w:widowControl/>
        <w:ind w:left="42" w:right="42"/>
        <w:jc w:val="both"/>
        <w:rPr>
          <w:rFonts w:hint="eastAsia" w:ascii="宋体" w:hAnsi="宋体" w:eastAsia="宋体" w:cs="宋体"/>
          <w:color w:val="auto"/>
          <w:kern w:val="2"/>
          <w:sz w:val="24"/>
          <w:szCs w:val="24"/>
          <w:highlight w:val="none"/>
          <w:lang w:val="en-US" w:eastAsia="zh-CN" w:bidi="ar-SA"/>
        </w:rPr>
      </w:pPr>
    </w:p>
    <w:p w14:paraId="3BC5BC6A">
      <w:pPr>
        <w:widowControl/>
        <w:ind w:left="42" w:right="42"/>
        <w:jc w:val="both"/>
        <w:rPr>
          <w:rFonts w:hint="eastAsia" w:ascii="宋体" w:hAnsi="宋体" w:eastAsia="宋体" w:cs="宋体"/>
          <w:color w:val="auto"/>
          <w:kern w:val="2"/>
          <w:sz w:val="24"/>
          <w:szCs w:val="24"/>
          <w:highlight w:val="none"/>
          <w:lang w:val="en-US" w:eastAsia="zh-CN" w:bidi="ar-SA"/>
        </w:rPr>
      </w:pPr>
    </w:p>
    <w:p w14:paraId="065A76DB">
      <w:pP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br w:type="page"/>
      </w:r>
    </w:p>
    <w:p w14:paraId="355F9AFC">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sectPr>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tbl>
      <w:tblPr>
        <w:tblStyle w:val="23"/>
        <w:tblW w:w="1461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69"/>
        <w:gridCol w:w="1416"/>
        <w:gridCol w:w="1303"/>
        <w:gridCol w:w="4527"/>
        <w:gridCol w:w="540"/>
        <w:gridCol w:w="945"/>
        <w:gridCol w:w="1035"/>
        <w:gridCol w:w="840"/>
        <w:gridCol w:w="885"/>
        <w:gridCol w:w="885"/>
        <w:gridCol w:w="885"/>
        <w:gridCol w:w="780"/>
      </w:tblGrid>
      <w:tr w14:paraId="210F9A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 w:hRule="atLeast"/>
        </w:trPr>
        <w:tc>
          <w:tcPr>
            <w:tcW w:w="11175" w:type="dxa"/>
            <w:gridSpan w:val="8"/>
            <w:tcBorders>
              <w:top w:val="nil"/>
              <w:left w:val="nil"/>
              <w:bottom w:val="nil"/>
              <w:right w:val="nil"/>
            </w:tcBorders>
            <w:shd w:val="clear" w:color="FFFFFF" w:fill="FFFFFF"/>
            <w:vAlign w:val="center"/>
          </w:tcPr>
          <w:p w14:paraId="71116C0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【表10.2.2-16】</w:t>
            </w:r>
          </w:p>
        </w:tc>
        <w:tc>
          <w:tcPr>
            <w:tcW w:w="3435" w:type="dxa"/>
            <w:gridSpan w:val="4"/>
            <w:tcBorders>
              <w:top w:val="nil"/>
              <w:left w:val="nil"/>
              <w:bottom w:val="nil"/>
              <w:right w:val="nil"/>
            </w:tcBorders>
            <w:shd w:val="clear" w:color="FFFFFF" w:fill="FFFFFF"/>
            <w:vAlign w:val="center"/>
          </w:tcPr>
          <w:p w14:paraId="0F7EB8DF">
            <w:pPr>
              <w:jc w:val="right"/>
              <w:rPr>
                <w:rFonts w:hint="eastAsia" w:ascii="宋体" w:hAnsi="宋体" w:eastAsia="宋体" w:cs="宋体"/>
                <w:i w:val="0"/>
                <w:iCs w:val="0"/>
                <w:color w:val="auto"/>
                <w:sz w:val="18"/>
                <w:szCs w:val="18"/>
                <w:highlight w:val="none"/>
                <w:u w:val="none"/>
              </w:rPr>
            </w:pPr>
          </w:p>
        </w:tc>
      </w:tr>
      <w:tr w14:paraId="684D78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4610" w:type="dxa"/>
            <w:gridSpan w:val="12"/>
            <w:tcBorders>
              <w:top w:val="nil"/>
              <w:left w:val="nil"/>
              <w:bottom w:val="nil"/>
              <w:right w:val="nil"/>
            </w:tcBorders>
            <w:shd w:val="clear" w:color="FFFFFF" w:fill="FFFFFF"/>
            <w:vAlign w:val="center"/>
          </w:tcPr>
          <w:p w14:paraId="21A5ED86">
            <w:pPr>
              <w:keepNext w:val="0"/>
              <w:keepLines w:val="0"/>
              <w:widowControl/>
              <w:suppressLineNumbers w:val="0"/>
              <w:jc w:val="center"/>
              <w:textAlignment w:val="center"/>
              <w:rPr>
                <w:rFonts w:hint="eastAsia" w:ascii="宋体" w:hAnsi="宋体" w:eastAsia="宋体" w:cs="宋体"/>
                <w:b/>
                <w:bCs/>
                <w:i w:val="0"/>
                <w:iCs w:val="0"/>
                <w:color w:val="auto"/>
                <w:sz w:val="40"/>
                <w:szCs w:val="40"/>
                <w:highlight w:val="none"/>
                <w:u w:val="none"/>
              </w:rPr>
            </w:pPr>
            <w:r>
              <w:rPr>
                <w:rFonts w:hint="eastAsia" w:ascii="宋体" w:hAnsi="宋体" w:eastAsia="宋体" w:cs="宋体"/>
                <w:b/>
                <w:bCs/>
                <w:i w:val="0"/>
                <w:iCs w:val="0"/>
                <w:color w:val="auto"/>
                <w:kern w:val="0"/>
                <w:sz w:val="40"/>
                <w:szCs w:val="40"/>
                <w:highlight w:val="none"/>
                <w:u w:val="none"/>
                <w:lang w:val="en-US" w:eastAsia="zh-CN" w:bidi="ar"/>
              </w:rPr>
              <w:t>分部分项工程清单与计价表</w:t>
            </w:r>
          </w:p>
        </w:tc>
      </w:tr>
      <w:tr w14:paraId="5DC495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3285" w:type="dxa"/>
            <w:gridSpan w:val="3"/>
            <w:tcBorders>
              <w:top w:val="nil"/>
              <w:left w:val="nil"/>
              <w:bottom w:val="nil"/>
              <w:right w:val="nil"/>
            </w:tcBorders>
            <w:shd w:val="clear" w:color="FFFFFF" w:fill="FFFFFF"/>
            <w:vAlign w:val="bottom"/>
          </w:tcPr>
          <w:p w14:paraId="0022C3C8">
            <w:pPr>
              <w:keepNext w:val="0"/>
              <w:keepLines w:val="0"/>
              <w:widowControl/>
              <w:suppressLineNumbers w:val="0"/>
              <w:jc w:val="lef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工程名称：单项工程-配套用房建筑工程</w:t>
            </w:r>
          </w:p>
        </w:tc>
        <w:tc>
          <w:tcPr>
            <w:tcW w:w="7890" w:type="dxa"/>
            <w:gridSpan w:val="5"/>
            <w:tcBorders>
              <w:top w:val="nil"/>
              <w:left w:val="nil"/>
              <w:bottom w:val="nil"/>
              <w:right w:val="nil"/>
            </w:tcBorders>
            <w:shd w:val="clear" w:color="FFFFFF" w:fill="FFFFFF"/>
            <w:vAlign w:val="bottom"/>
          </w:tcPr>
          <w:p w14:paraId="27EA8E4F">
            <w:pPr>
              <w:keepNext w:val="0"/>
              <w:keepLines w:val="0"/>
              <w:widowControl/>
              <w:suppressLineNumbers w:val="0"/>
              <w:jc w:val="lef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标段：</w:t>
            </w:r>
          </w:p>
        </w:tc>
        <w:tc>
          <w:tcPr>
            <w:tcW w:w="3435" w:type="dxa"/>
            <w:gridSpan w:val="4"/>
            <w:tcBorders>
              <w:top w:val="nil"/>
              <w:left w:val="nil"/>
              <w:bottom w:val="nil"/>
              <w:right w:val="nil"/>
            </w:tcBorders>
            <w:shd w:val="clear" w:color="FFFFFF" w:fill="FFFFFF"/>
            <w:vAlign w:val="bottom"/>
          </w:tcPr>
          <w:p w14:paraId="31D65ED2">
            <w:pPr>
              <w:keepNext w:val="0"/>
              <w:keepLines w:val="0"/>
              <w:widowControl/>
              <w:suppressLineNumbers w:val="0"/>
              <w:jc w:val="righ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第 1 页  共 7 页</w:t>
            </w:r>
          </w:p>
        </w:tc>
      </w:tr>
      <w:tr w14:paraId="2E987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70"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1D4146B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序号</w:t>
            </w:r>
          </w:p>
        </w:tc>
        <w:tc>
          <w:tcPr>
            <w:tcW w:w="141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1E1F50B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项目编码</w:t>
            </w:r>
          </w:p>
        </w:tc>
        <w:tc>
          <w:tcPr>
            <w:tcW w:w="1305"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85BB8E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项目名称</w:t>
            </w:r>
          </w:p>
        </w:tc>
        <w:tc>
          <w:tcPr>
            <w:tcW w:w="453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12A108C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项目特征</w:t>
            </w:r>
          </w:p>
        </w:tc>
        <w:tc>
          <w:tcPr>
            <w:tcW w:w="54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E5BDD4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计量单位</w:t>
            </w:r>
          </w:p>
        </w:tc>
        <w:tc>
          <w:tcPr>
            <w:tcW w:w="945"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36D464B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工程量</w:t>
            </w:r>
          </w:p>
        </w:tc>
        <w:tc>
          <w:tcPr>
            <w:tcW w:w="4530" w:type="dxa"/>
            <w:gridSpan w:val="5"/>
            <w:tcBorders>
              <w:top w:val="single" w:color="000000" w:sz="8" w:space="0"/>
              <w:left w:val="single" w:color="000000" w:sz="4" w:space="0"/>
              <w:bottom w:val="single" w:color="000000" w:sz="4" w:space="0"/>
              <w:right w:val="single" w:color="000000" w:sz="4" w:space="0"/>
            </w:tcBorders>
            <w:shd w:val="clear" w:color="FFFFFF" w:fill="FFFFFF"/>
            <w:vAlign w:val="center"/>
          </w:tcPr>
          <w:p w14:paraId="76F9C04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金额（元）</w:t>
            </w:r>
          </w:p>
        </w:tc>
        <w:tc>
          <w:tcPr>
            <w:tcW w:w="780" w:type="dxa"/>
            <w:vMerge w:val="restart"/>
            <w:tcBorders>
              <w:top w:val="single" w:color="000000" w:sz="8" w:space="0"/>
              <w:left w:val="single" w:color="000000" w:sz="4" w:space="0"/>
              <w:bottom w:val="single" w:color="000000" w:sz="4" w:space="0"/>
              <w:right w:val="single" w:color="000000" w:sz="8" w:space="0"/>
            </w:tcBorders>
            <w:shd w:val="clear" w:color="FFFFFF" w:fill="FFFFFF"/>
            <w:vAlign w:val="center"/>
          </w:tcPr>
          <w:p w14:paraId="39152F8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备注</w:t>
            </w:r>
          </w:p>
        </w:tc>
      </w:tr>
      <w:tr w14:paraId="08054E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7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1BEF2A80">
            <w:pPr>
              <w:jc w:val="center"/>
              <w:rPr>
                <w:rFonts w:hint="eastAsia" w:ascii="宋体" w:hAnsi="宋体" w:eastAsia="宋体" w:cs="宋体"/>
                <w:i w:val="0"/>
                <w:iCs w:val="0"/>
                <w:color w:val="auto"/>
                <w:sz w:val="20"/>
                <w:szCs w:val="20"/>
                <w:highlight w:val="none"/>
                <w:u w:val="none"/>
              </w:rPr>
            </w:pPr>
          </w:p>
        </w:tc>
        <w:tc>
          <w:tcPr>
            <w:tcW w:w="141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CDD058D">
            <w:pPr>
              <w:jc w:val="center"/>
              <w:rPr>
                <w:rFonts w:hint="eastAsia" w:ascii="宋体" w:hAnsi="宋体" w:eastAsia="宋体" w:cs="宋体"/>
                <w:i w:val="0"/>
                <w:iCs w:val="0"/>
                <w:color w:val="auto"/>
                <w:sz w:val="20"/>
                <w:szCs w:val="20"/>
                <w:highlight w:val="none"/>
                <w:u w:val="none"/>
              </w:rPr>
            </w:pPr>
          </w:p>
        </w:tc>
        <w:tc>
          <w:tcPr>
            <w:tcW w:w="130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6B65E80">
            <w:pPr>
              <w:jc w:val="center"/>
              <w:rPr>
                <w:rFonts w:hint="eastAsia" w:ascii="宋体" w:hAnsi="宋体" w:eastAsia="宋体" w:cs="宋体"/>
                <w:i w:val="0"/>
                <w:iCs w:val="0"/>
                <w:color w:val="auto"/>
                <w:sz w:val="20"/>
                <w:szCs w:val="20"/>
                <w:highlight w:val="none"/>
                <w:u w:val="none"/>
              </w:rPr>
            </w:pPr>
          </w:p>
        </w:tc>
        <w:tc>
          <w:tcPr>
            <w:tcW w:w="453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D76D6E7">
            <w:pPr>
              <w:jc w:val="center"/>
              <w:rPr>
                <w:rFonts w:hint="eastAsia" w:ascii="宋体" w:hAnsi="宋体" w:eastAsia="宋体" w:cs="宋体"/>
                <w:i w:val="0"/>
                <w:iCs w:val="0"/>
                <w:color w:val="auto"/>
                <w:sz w:val="20"/>
                <w:szCs w:val="20"/>
                <w:highlight w:val="none"/>
                <w:u w:val="none"/>
              </w:rPr>
            </w:pPr>
          </w:p>
        </w:tc>
        <w:tc>
          <w:tcPr>
            <w:tcW w:w="54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3E25D1C">
            <w:pPr>
              <w:jc w:val="center"/>
              <w:rPr>
                <w:rFonts w:hint="eastAsia" w:ascii="宋体" w:hAnsi="宋体" w:eastAsia="宋体" w:cs="宋体"/>
                <w:i w:val="0"/>
                <w:iCs w:val="0"/>
                <w:color w:val="auto"/>
                <w:sz w:val="20"/>
                <w:szCs w:val="20"/>
                <w:highlight w:val="none"/>
                <w:u w:val="none"/>
              </w:rPr>
            </w:pPr>
          </w:p>
        </w:tc>
        <w:tc>
          <w:tcPr>
            <w:tcW w:w="94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EC00739">
            <w:pPr>
              <w:jc w:val="center"/>
              <w:rPr>
                <w:rFonts w:hint="eastAsia" w:ascii="宋体" w:hAnsi="宋体" w:eastAsia="宋体" w:cs="宋体"/>
                <w:i w:val="0"/>
                <w:iCs w:val="0"/>
                <w:color w:val="auto"/>
                <w:sz w:val="20"/>
                <w:szCs w:val="20"/>
                <w:highlight w:val="none"/>
                <w:u w:val="none"/>
              </w:rPr>
            </w:pPr>
          </w:p>
        </w:tc>
        <w:tc>
          <w:tcPr>
            <w:tcW w:w="1035"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739A504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综合单价</w:t>
            </w:r>
          </w:p>
        </w:tc>
        <w:tc>
          <w:tcPr>
            <w:tcW w:w="840"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49B9C6B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合价</w:t>
            </w:r>
          </w:p>
        </w:tc>
        <w:tc>
          <w:tcPr>
            <w:tcW w:w="265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32B4C71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其中</w:t>
            </w:r>
          </w:p>
        </w:tc>
        <w:tc>
          <w:tcPr>
            <w:tcW w:w="780" w:type="dxa"/>
            <w:vMerge w:val="continue"/>
            <w:tcBorders>
              <w:top w:val="single" w:color="000000" w:sz="8" w:space="0"/>
              <w:left w:val="single" w:color="000000" w:sz="4" w:space="0"/>
              <w:bottom w:val="single" w:color="000000" w:sz="4" w:space="0"/>
              <w:right w:val="single" w:color="000000" w:sz="8" w:space="0"/>
            </w:tcBorders>
            <w:shd w:val="clear" w:color="FFFFFF" w:fill="FFFFFF"/>
            <w:vAlign w:val="center"/>
          </w:tcPr>
          <w:p w14:paraId="00381D0C">
            <w:pPr>
              <w:jc w:val="center"/>
              <w:rPr>
                <w:rFonts w:hint="eastAsia" w:ascii="宋体" w:hAnsi="宋体" w:eastAsia="宋体" w:cs="宋体"/>
                <w:i w:val="0"/>
                <w:iCs w:val="0"/>
                <w:color w:val="auto"/>
                <w:sz w:val="20"/>
                <w:szCs w:val="20"/>
                <w:highlight w:val="none"/>
                <w:u w:val="none"/>
              </w:rPr>
            </w:pPr>
          </w:p>
        </w:tc>
      </w:tr>
      <w:tr w14:paraId="3BE4D2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7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3C960B6F">
            <w:pPr>
              <w:jc w:val="center"/>
              <w:rPr>
                <w:rFonts w:hint="eastAsia" w:ascii="宋体" w:hAnsi="宋体" w:eastAsia="宋体" w:cs="宋体"/>
                <w:i w:val="0"/>
                <w:iCs w:val="0"/>
                <w:color w:val="auto"/>
                <w:sz w:val="20"/>
                <w:szCs w:val="20"/>
                <w:highlight w:val="none"/>
                <w:u w:val="none"/>
              </w:rPr>
            </w:pPr>
          </w:p>
        </w:tc>
        <w:tc>
          <w:tcPr>
            <w:tcW w:w="141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66957F7">
            <w:pPr>
              <w:jc w:val="center"/>
              <w:rPr>
                <w:rFonts w:hint="eastAsia" w:ascii="宋体" w:hAnsi="宋体" w:eastAsia="宋体" w:cs="宋体"/>
                <w:i w:val="0"/>
                <w:iCs w:val="0"/>
                <w:color w:val="auto"/>
                <w:sz w:val="20"/>
                <w:szCs w:val="20"/>
                <w:highlight w:val="none"/>
                <w:u w:val="none"/>
              </w:rPr>
            </w:pPr>
          </w:p>
        </w:tc>
        <w:tc>
          <w:tcPr>
            <w:tcW w:w="130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9494C4E">
            <w:pPr>
              <w:jc w:val="center"/>
              <w:rPr>
                <w:rFonts w:hint="eastAsia" w:ascii="宋体" w:hAnsi="宋体" w:eastAsia="宋体" w:cs="宋体"/>
                <w:i w:val="0"/>
                <w:iCs w:val="0"/>
                <w:color w:val="auto"/>
                <w:sz w:val="20"/>
                <w:szCs w:val="20"/>
                <w:highlight w:val="none"/>
                <w:u w:val="none"/>
              </w:rPr>
            </w:pPr>
          </w:p>
        </w:tc>
        <w:tc>
          <w:tcPr>
            <w:tcW w:w="453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C6E16D0">
            <w:pPr>
              <w:jc w:val="center"/>
              <w:rPr>
                <w:rFonts w:hint="eastAsia" w:ascii="宋体" w:hAnsi="宋体" w:eastAsia="宋体" w:cs="宋体"/>
                <w:i w:val="0"/>
                <w:iCs w:val="0"/>
                <w:color w:val="auto"/>
                <w:sz w:val="20"/>
                <w:szCs w:val="20"/>
                <w:highlight w:val="none"/>
                <w:u w:val="none"/>
              </w:rPr>
            </w:pPr>
          </w:p>
        </w:tc>
        <w:tc>
          <w:tcPr>
            <w:tcW w:w="54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84B8A89">
            <w:pPr>
              <w:jc w:val="center"/>
              <w:rPr>
                <w:rFonts w:hint="eastAsia" w:ascii="宋体" w:hAnsi="宋体" w:eastAsia="宋体" w:cs="宋体"/>
                <w:i w:val="0"/>
                <w:iCs w:val="0"/>
                <w:color w:val="auto"/>
                <w:sz w:val="20"/>
                <w:szCs w:val="20"/>
                <w:highlight w:val="none"/>
                <w:u w:val="none"/>
              </w:rPr>
            </w:pPr>
          </w:p>
        </w:tc>
        <w:tc>
          <w:tcPr>
            <w:tcW w:w="94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9E34E47">
            <w:pPr>
              <w:jc w:val="center"/>
              <w:rPr>
                <w:rFonts w:hint="eastAsia" w:ascii="宋体" w:hAnsi="宋体" w:eastAsia="宋体" w:cs="宋体"/>
                <w:i w:val="0"/>
                <w:iCs w:val="0"/>
                <w:color w:val="auto"/>
                <w:sz w:val="20"/>
                <w:szCs w:val="20"/>
                <w:highlight w:val="none"/>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771B8720">
            <w:pPr>
              <w:jc w:val="center"/>
              <w:rPr>
                <w:rFonts w:hint="eastAsia" w:ascii="宋体" w:hAnsi="宋体" w:eastAsia="宋体" w:cs="宋体"/>
                <w:i w:val="0"/>
                <w:iCs w:val="0"/>
                <w:color w:val="auto"/>
                <w:sz w:val="20"/>
                <w:szCs w:val="20"/>
                <w:highlight w:val="none"/>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44E2B274">
            <w:pPr>
              <w:jc w:val="center"/>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893492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人工费</w:t>
            </w: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2E886B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机械费</w:t>
            </w: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65755A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暂估价</w:t>
            </w:r>
          </w:p>
        </w:tc>
        <w:tc>
          <w:tcPr>
            <w:tcW w:w="780" w:type="dxa"/>
            <w:vMerge w:val="continue"/>
            <w:tcBorders>
              <w:top w:val="single" w:color="000000" w:sz="8" w:space="0"/>
              <w:left w:val="single" w:color="000000" w:sz="4" w:space="0"/>
              <w:bottom w:val="single" w:color="000000" w:sz="4" w:space="0"/>
              <w:right w:val="single" w:color="000000" w:sz="8" w:space="0"/>
            </w:tcBorders>
            <w:shd w:val="clear" w:color="FFFFFF" w:fill="FFFFFF"/>
            <w:vAlign w:val="center"/>
          </w:tcPr>
          <w:p w14:paraId="3677C713">
            <w:pPr>
              <w:jc w:val="center"/>
              <w:rPr>
                <w:rFonts w:hint="eastAsia" w:ascii="宋体" w:hAnsi="宋体" w:eastAsia="宋体" w:cs="宋体"/>
                <w:i w:val="0"/>
                <w:iCs w:val="0"/>
                <w:color w:val="auto"/>
                <w:sz w:val="20"/>
                <w:szCs w:val="20"/>
                <w:highlight w:val="none"/>
                <w:u w:val="none"/>
              </w:rPr>
            </w:pPr>
          </w:p>
        </w:tc>
      </w:tr>
      <w:tr w14:paraId="348F59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7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0F82C75">
            <w:pPr>
              <w:jc w:val="right"/>
              <w:rPr>
                <w:rFonts w:hint="eastAsia" w:ascii="宋体" w:hAnsi="宋体" w:eastAsia="宋体" w:cs="宋体"/>
                <w:i w:val="0"/>
                <w:iCs w:val="0"/>
                <w:color w:val="auto"/>
                <w:sz w:val="20"/>
                <w:szCs w:val="20"/>
                <w:highlight w:val="none"/>
                <w:u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7000A93">
            <w:pPr>
              <w:jc w:val="center"/>
              <w:rPr>
                <w:rFonts w:hint="eastAsia" w:ascii="宋体" w:hAnsi="宋体" w:eastAsia="宋体" w:cs="宋体"/>
                <w:i w:val="0"/>
                <w:iCs w:val="0"/>
                <w:color w:val="auto"/>
                <w:sz w:val="20"/>
                <w:szCs w:val="20"/>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D1F80B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土石方工程</w:t>
            </w:r>
          </w:p>
        </w:tc>
        <w:tc>
          <w:tcPr>
            <w:tcW w:w="453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E690810">
            <w:pPr>
              <w:jc w:val="left"/>
              <w:rPr>
                <w:rFonts w:hint="eastAsia" w:ascii="宋体" w:hAnsi="宋体" w:eastAsia="宋体" w:cs="宋体"/>
                <w:i w:val="0"/>
                <w:iCs w:val="0"/>
                <w:color w:val="auto"/>
                <w:sz w:val="20"/>
                <w:szCs w:val="20"/>
                <w:highlight w:val="none"/>
                <w:u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7832D27">
            <w:pPr>
              <w:jc w:val="left"/>
              <w:rPr>
                <w:rFonts w:hint="eastAsia" w:ascii="宋体" w:hAnsi="宋体" w:eastAsia="宋体" w:cs="宋体"/>
                <w:i w:val="0"/>
                <w:iCs w:val="0"/>
                <w:color w:val="auto"/>
                <w:sz w:val="20"/>
                <w:szCs w:val="20"/>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6B34ECE">
            <w:pPr>
              <w:jc w:val="left"/>
              <w:rPr>
                <w:rFonts w:hint="eastAsia" w:ascii="宋体" w:hAnsi="宋体" w:eastAsia="宋体" w:cs="宋体"/>
                <w:i w:val="0"/>
                <w:iCs w:val="0"/>
                <w:color w:val="auto"/>
                <w:sz w:val="20"/>
                <w:szCs w:val="20"/>
                <w:highlight w:val="none"/>
                <w:u w:val="none"/>
              </w:rPr>
            </w:pP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60F8FB9">
            <w:pPr>
              <w:jc w:val="lef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473CBE">
            <w:pPr>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BA84C5A">
            <w:pPr>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0C7FE3A">
            <w:pPr>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8E4E1C0">
            <w:pPr>
              <w:jc w:val="lef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761DA7B1">
            <w:pPr>
              <w:jc w:val="left"/>
              <w:rPr>
                <w:rFonts w:hint="eastAsia" w:ascii="宋体" w:hAnsi="宋体" w:eastAsia="宋体" w:cs="宋体"/>
                <w:i w:val="0"/>
                <w:iCs w:val="0"/>
                <w:color w:val="auto"/>
                <w:sz w:val="20"/>
                <w:szCs w:val="20"/>
                <w:highlight w:val="none"/>
                <w:u w:val="none"/>
              </w:rPr>
            </w:pPr>
          </w:p>
        </w:tc>
      </w:tr>
      <w:tr w14:paraId="74D203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57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17A19E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D5E099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010101004001</w:t>
            </w: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239BD8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挖基坑土方</w:t>
            </w:r>
          </w:p>
        </w:tc>
        <w:tc>
          <w:tcPr>
            <w:tcW w:w="453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8917D1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1.土壤类别:详见勘探报告</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2.挖土深度:综合考虑</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3.工程量按定额计算规则</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24C205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m3</w:t>
            </w: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B644AB0">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128.06</w:t>
            </w: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4380220">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2B9775A">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ED3E6E2">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343F45">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2009312">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50D98631">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4C72B1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57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64368A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F0A75E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010103001001</w:t>
            </w: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5112E8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回填方</w:t>
            </w:r>
          </w:p>
        </w:tc>
        <w:tc>
          <w:tcPr>
            <w:tcW w:w="453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124ECA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1.密实度要求:满足设计及规范要求</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2.填方材料品种:开挖料</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3.工程量按定额计算规则</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5F81D7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m3</w:t>
            </w: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16BD728">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65.38</w:t>
            </w: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8E88B52">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D893A51">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F486D64">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12D7778">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CB893C2">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61FDFA9">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0F14AE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57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127854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126B34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010103002001</w:t>
            </w: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4E1514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余方弃置</w:t>
            </w:r>
          </w:p>
        </w:tc>
        <w:tc>
          <w:tcPr>
            <w:tcW w:w="453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46ADE2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1.废弃料品种：余方外运</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2.运距及堆场费用：运至指定消纳场地</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8A15FE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m3</w:t>
            </w: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42020DD">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62.68</w:t>
            </w: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D421F09">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7D51DA5">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DC1599B">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AF4992C">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D6694AE">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0ACDA361">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5BC823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57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C1186BC">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47EB081">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C1377B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砌筑工程</w:t>
            </w:r>
          </w:p>
        </w:tc>
        <w:tc>
          <w:tcPr>
            <w:tcW w:w="453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55F9411">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E35DCCE">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92B3825">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A327B09">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C1F1EF7">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5CC9634">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EF054ED">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372B92E">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4A6CAFB6">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01E7E6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57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04AE4B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F50720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010401001001</w:t>
            </w: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5A3361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砖基础</w:t>
            </w:r>
          </w:p>
        </w:tc>
        <w:tc>
          <w:tcPr>
            <w:tcW w:w="453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4130CF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1.砖品种、规格、强度等级:MU20混凝土实心砖</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2.砂浆强度等级:M10水泥砂浆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3.防潮层材料:20厚1：2水泥砂浆掺5%水泥重量的防水剂，两侧用1：2防水水泥砂浆粉光</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AE9514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m3</w:t>
            </w: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D9C731D">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8.71</w:t>
            </w: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A997C4A">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CFED434">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93FE5BD">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514A8FD">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F64888B">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CD5878C">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4FF0F6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57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BBDBE1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49AF51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010402001001</w:t>
            </w: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9A4AE3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砌块墙</w:t>
            </w:r>
          </w:p>
        </w:tc>
        <w:tc>
          <w:tcPr>
            <w:tcW w:w="453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20860B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1.砌块品种、规格、强度等级:蒸压砂加气混凝土砌块A5.0 B07</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2.墙体类型:（直形）200mm内</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3.砂浆强度等级:专用砂浆</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75AE28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m3</w:t>
            </w: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C06C061">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63.57</w:t>
            </w: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99EEAC5">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701F5E8">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83ECBB1">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45827EC">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014C0C1">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54F70270">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00C74F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10335" w:type="dxa"/>
            <w:gridSpan w:val="7"/>
            <w:tcBorders>
              <w:top w:val="single" w:color="000000" w:sz="4" w:space="0"/>
              <w:left w:val="single" w:color="000000" w:sz="8" w:space="0"/>
              <w:bottom w:val="single" w:color="000000" w:sz="8" w:space="0"/>
              <w:right w:val="single" w:color="000000" w:sz="4" w:space="0"/>
            </w:tcBorders>
            <w:shd w:val="clear" w:color="FFFFFF" w:fill="FFFFFF"/>
            <w:vAlign w:val="center"/>
          </w:tcPr>
          <w:p w14:paraId="4BF91F6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本页小计</w:t>
            </w:r>
          </w:p>
        </w:tc>
        <w:tc>
          <w:tcPr>
            <w:tcW w:w="840"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4412FE44">
            <w:pPr>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21BB4B83">
            <w:pPr>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6F4299BA">
            <w:pPr>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4112BD11">
            <w:pPr>
              <w:jc w:val="lef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4D4013B6">
            <w:pPr>
              <w:jc w:val="left"/>
              <w:rPr>
                <w:rFonts w:hint="eastAsia" w:ascii="宋体" w:hAnsi="宋体" w:eastAsia="宋体" w:cs="宋体"/>
                <w:i w:val="0"/>
                <w:iCs w:val="0"/>
                <w:color w:val="auto"/>
                <w:sz w:val="20"/>
                <w:szCs w:val="20"/>
                <w:highlight w:val="none"/>
                <w:u w:val="none"/>
              </w:rPr>
            </w:pPr>
          </w:p>
        </w:tc>
      </w:tr>
    </w:tbl>
    <w:p w14:paraId="38031872">
      <w:pPr>
        <w:widowControl/>
        <w:ind w:left="42" w:right="42"/>
        <w:jc w:val="both"/>
        <w:rPr>
          <w:rFonts w:hint="eastAsia" w:ascii="宋体" w:hAnsi="宋体" w:eastAsia="宋体" w:cs="宋体"/>
          <w:color w:val="auto"/>
          <w:kern w:val="2"/>
          <w:sz w:val="24"/>
          <w:szCs w:val="24"/>
          <w:highlight w:val="none"/>
          <w:lang w:val="en-US" w:eastAsia="zh-CN" w:bidi="ar-SA"/>
        </w:rPr>
        <w:sectPr>
          <w:pgSz w:w="16838" w:h="11906" w:orient="landscape"/>
          <w:pgMar w:top="1803" w:right="1440" w:bottom="1803" w:left="1440" w:header="851" w:footer="992" w:gutter="0"/>
          <w:pgBorders>
            <w:top w:val="none" w:sz="0" w:space="0"/>
            <w:left w:val="none" w:sz="0" w:space="0"/>
            <w:bottom w:val="none" w:sz="0" w:space="0"/>
            <w:right w:val="none" w:sz="0" w:space="0"/>
          </w:pgBorders>
          <w:pgNumType w:fmt="decimal"/>
          <w:cols w:space="0" w:num="1"/>
          <w:rtlGutter w:val="0"/>
          <w:docGrid w:type="lines" w:linePitch="319" w:charSpace="0"/>
        </w:sectPr>
      </w:pPr>
    </w:p>
    <w:tbl>
      <w:tblPr>
        <w:tblStyle w:val="23"/>
        <w:tblW w:w="1461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69"/>
        <w:gridCol w:w="1416"/>
        <w:gridCol w:w="1626"/>
        <w:gridCol w:w="4204"/>
        <w:gridCol w:w="540"/>
        <w:gridCol w:w="945"/>
        <w:gridCol w:w="1035"/>
        <w:gridCol w:w="840"/>
        <w:gridCol w:w="885"/>
        <w:gridCol w:w="885"/>
        <w:gridCol w:w="885"/>
        <w:gridCol w:w="780"/>
      </w:tblGrid>
      <w:tr w14:paraId="6A56AE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jc w:val="center"/>
        </w:trPr>
        <w:tc>
          <w:tcPr>
            <w:tcW w:w="11175" w:type="dxa"/>
            <w:gridSpan w:val="8"/>
            <w:tcBorders>
              <w:top w:val="nil"/>
              <w:left w:val="nil"/>
              <w:bottom w:val="nil"/>
              <w:right w:val="nil"/>
            </w:tcBorders>
            <w:shd w:val="clear" w:color="FFFFFF" w:fill="FFFFFF"/>
            <w:vAlign w:val="center"/>
          </w:tcPr>
          <w:p w14:paraId="0018446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【表10.2.2-16】</w:t>
            </w:r>
          </w:p>
        </w:tc>
        <w:tc>
          <w:tcPr>
            <w:tcW w:w="3435" w:type="dxa"/>
            <w:gridSpan w:val="4"/>
            <w:tcBorders>
              <w:top w:val="nil"/>
              <w:left w:val="nil"/>
              <w:bottom w:val="nil"/>
              <w:right w:val="nil"/>
            </w:tcBorders>
            <w:shd w:val="clear" w:color="FFFFFF" w:fill="FFFFFF"/>
            <w:vAlign w:val="center"/>
          </w:tcPr>
          <w:p w14:paraId="3249D3BD">
            <w:pPr>
              <w:jc w:val="right"/>
              <w:rPr>
                <w:rFonts w:hint="eastAsia" w:ascii="宋体" w:hAnsi="宋体" w:eastAsia="宋体" w:cs="宋体"/>
                <w:i w:val="0"/>
                <w:iCs w:val="0"/>
                <w:color w:val="auto"/>
                <w:sz w:val="18"/>
                <w:szCs w:val="18"/>
                <w:highlight w:val="none"/>
                <w:u w:val="none"/>
              </w:rPr>
            </w:pPr>
          </w:p>
        </w:tc>
      </w:tr>
      <w:tr w14:paraId="66DB6B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0" w:hRule="atLeast"/>
          <w:jc w:val="center"/>
        </w:trPr>
        <w:tc>
          <w:tcPr>
            <w:tcW w:w="14610" w:type="dxa"/>
            <w:gridSpan w:val="12"/>
            <w:tcBorders>
              <w:top w:val="nil"/>
              <w:left w:val="nil"/>
              <w:bottom w:val="nil"/>
              <w:right w:val="nil"/>
            </w:tcBorders>
            <w:shd w:val="clear" w:color="FFFFFF" w:fill="FFFFFF"/>
            <w:vAlign w:val="center"/>
          </w:tcPr>
          <w:p w14:paraId="0DD49FB7">
            <w:pPr>
              <w:keepNext w:val="0"/>
              <w:keepLines w:val="0"/>
              <w:widowControl/>
              <w:suppressLineNumbers w:val="0"/>
              <w:jc w:val="center"/>
              <w:textAlignment w:val="center"/>
              <w:rPr>
                <w:rFonts w:hint="eastAsia" w:ascii="宋体" w:hAnsi="宋体" w:eastAsia="宋体" w:cs="宋体"/>
                <w:b/>
                <w:bCs/>
                <w:i w:val="0"/>
                <w:iCs w:val="0"/>
                <w:color w:val="auto"/>
                <w:sz w:val="40"/>
                <w:szCs w:val="40"/>
                <w:highlight w:val="none"/>
                <w:u w:val="none"/>
              </w:rPr>
            </w:pPr>
            <w:r>
              <w:rPr>
                <w:rFonts w:hint="eastAsia" w:ascii="宋体" w:hAnsi="宋体" w:eastAsia="宋体" w:cs="宋体"/>
                <w:b/>
                <w:bCs/>
                <w:i w:val="0"/>
                <w:iCs w:val="0"/>
                <w:color w:val="auto"/>
                <w:kern w:val="0"/>
                <w:sz w:val="40"/>
                <w:szCs w:val="40"/>
                <w:highlight w:val="none"/>
                <w:u w:val="none"/>
                <w:lang w:val="en-US" w:eastAsia="zh-CN" w:bidi="ar"/>
              </w:rPr>
              <w:t>分部分项工程清单与计价表</w:t>
            </w:r>
          </w:p>
        </w:tc>
      </w:tr>
      <w:tr w14:paraId="6917D0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jc w:val="center"/>
        </w:trPr>
        <w:tc>
          <w:tcPr>
            <w:tcW w:w="3611" w:type="dxa"/>
            <w:gridSpan w:val="3"/>
            <w:tcBorders>
              <w:top w:val="nil"/>
              <w:left w:val="nil"/>
              <w:bottom w:val="nil"/>
              <w:right w:val="nil"/>
            </w:tcBorders>
            <w:shd w:val="clear" w:color="FFFFFF" w:fill="FFFFFF"/>
            <w:vAlign w:val="bottom"/>
          </w:tcPr>
          <w:p w14:paraId="02290F07">
            <w:pPr>
              <w:keepNext w:val="0"/>
              <w:keepLines w:val="0"/>
              <w:widowControl/>
              <w:suppressLineNumbers w:val="0"/>
              <w:jc w:val="lef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工程名称：单项工程-配套用房建筑工程</w:t>
            </w:r>
          </w:p>
        </w:tc>
        <w:tc>
          <w:tcPr>
            <w:tcW w:w="7564" w:type="dxa"/>
            <w:gridSpan w:val="5"/>
            <w:tcBorders>
              <w:top w:val="nil"/>
              <w:left w:val="nil"/>
              <w:bottom w:val="nil"/>
              <w:right w:val="nil"/>
            </w:tcBorders>
            <w:shd w:val="clear" w:color="FFFFFF" w:fill="FFFFFF"/>
            <w:vAlign w:val="bottom"/>
          </w:tcPr>
          <w:p w14:paraId="086BA70E">
            <w:pPr>
              <w:keepNext w:val="0"/>
              <w:keepLines w:val="0"/>
              <w:widowControl/>
              <w:suppressLineNumbers w:val="0"/>
              <w:jc w:val="lef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标段：</w:t>
            </w:r>
          </w:p>
        </w:tc>
        <w:tc>
          <w:tcPr>
            <w:tcW w:w="3435" w:type="dxa"/>
            <w:gridSpan w:val="4"/>
            <w:tcBorders>
              <w:top w:val="nil"/>
              <w:left w:val="nil"/>
              <w:bottom w:val="nil"/>
              <w:right w:val="nil"/>
            </w:tcBorders>
            <w:shd w:val="clear" w:color="FFFFFF" w:fill="FFFFFF"/>
            <w:vAlign w:val="bottom"/>
          </w:tcPr>
          <w:p w14:paraId="6905029A">
            <w:pPr>
              <w:keepNext w:val="0"/>
              <w:keepLines w:val="0"/>
              <w:widowControl/>
              <w:suppressLineNumbers w:val="0"/>
              <w:jc w:val="righ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第 2 页  共 7 页</w:t>
            </w:r>
          </w:p>
        </w:tc>
      </w:tr>
      <w:tr w14:paraId="51AB47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569"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20EDB02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序号</w:t>
            </w:r>
          </w:p>
        </w:tc>
        <w:tc>
          <w:tcPr>
            <w:tcW w:w="1416"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55A152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项目编码</w:t>
            </w:r>
          </w:p>
        </w:tc>
        <w:tc>
          <w:tcPr>
            <w:tcW w:w="1626"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54C1452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项目名称</w:t>
            </w:r>
          </w:p>
        </w:tc>
        <w:tc>
          <w:tcPr>
            <w:tcW w:w="420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6945A2B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项目特征</w:t>
            </w:r>
          </w:p>
        </w:tc>
        <w:tc>
          <w:tcPr>
            <w:tcW w:w="54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4F8BB8E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计量单位</w:t>
            </w:r>
          </w:p>
        </w:tc>
        <w:tc>
          <w:tcPr>
            <w:tcW w:w="945"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67464F1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工程量</w:t>
            </w:r>
          </w:p>
        </w:tc>
        <w:tc>
          <w:tcPr>
            <w:tcW w:w="4530" w:type="dxa"/>
            <w:gridSpan w:val="5"/>
            <w:tcBorders>
              <w:top w:val="single" w:color="000000" w:sz="8" w:space="0"/>
              <w:left w:val="single" w:color="000000" w:sz="4" w:space="0"/>
              <w:bottom w:val="single" w:color="000000" w:sz="4" w:space="0"/>
              <w:right w:val="single" w:color="000000" w:sz="4" w:space="0"/>
            </w:tcBorders>
            <w:shd w:val="clear" w:color="FFFFFF" w:fill="FFFFFF"/>
            <w:vAlign w:val="center"/>
          </w:tcPr>
          <w:p w14:paraId="028B19B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金额（元）</w:t>
            </w:r>
          </w:p>
        </w:tc>
        <w:tc>
          <w:tcPr>
            <w:tcW w:w="780" w:type="dxa"/>
            <w:vMerge w:val="restart"/>
            <w:tcBorders>
              <w:top w:val="single" w:color="000000" w:sz="8" w:space="0"/>
              <w:left w:val="single" w:color="000000" w:sz="4" w:space="0"/>
              <w:bottom w:val="single" w:color="000000" w:sz="4" w:space="0"/>
              <w:right w:val="single" w:color="000000" w:sz="8" w:space="0"/>
            </w:tcBorders>
            <w:shd w:val="clear" w:color="FFFFFF" w:fill="FFFFFF"/>
            <w:vAlign w:val="center"/>
          </w:tcPr>
          <w:p w14:paraId="4183968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备注</w:t>
            </w:r>
          </w:p>
        </w:tc>
      </w:tr>
      <w:tr w14:paraId="4D7A1B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569"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2E6ABF7A">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141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C007002">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162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70DB638">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420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1399080">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54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55DE3A9">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94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1C31D5B">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1035"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3FD1604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综合单价</w:t>
            </w:r>
          </w:p>
        </w:tc>
        <w:tc>
          <w:tcPr>
            <w:tcW w:w="840"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20F47FB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合价</w:t>
            </w:r>
          </w:p>
        </w:tc>
        <w:tc>
          <w:tcPr>
            <w:tcW w:w="265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D7EAB8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其中</w:t>
            </w:r>
          </w:p>
        </w:tc>
        <w:tc>
          <w:tcPr>
            <w:tcW w:w="780" w:type="dxa"/>
            <w:vMerge w:val="continue"/>
            <w:tcBorders>
              <w:top w:val="single" w:color="000000" w:sz="8" w:space="0"/>
              <w:left w:val="single" w:color="000000" w:sz="4" w:space="0"/>
              <w:bottom w:val="single" w:color="000000" w:sz="4" w:space="0"/>
              <w:right w:val="single" w:color="000000" w:sz="8" w:space="0"/>
            </w:tcBorders>
            <w:shd w:val="clear" w:color="FFFFFF" w:fill="FFFFFF"/>
            <w:vAlign w:val="center"/>
          </w:tcPr>
          <w:p w14:paraId="11B2A7F9">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r>
      <w:tr w14:paraId="303B88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3" w:hRule="atLeast"/>
          <w:jc w:val="center"/>
        </w:trPr>
        <w:tc>
          <w:tcPr>
            <w:tcW w:w="569"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2987C8AF">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141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E4F2060">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162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3AD6A4C">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420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28B27E9">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54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38A5726">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94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24BB832">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6F21F75C">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1A35AB6B">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AF01AF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人工费</w:t>
            </w: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438E65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机械费</w:t>
            </w: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1D153C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暂估价</w:t>
            </w:r>
          </w:p>
        </w:tc>
        <w:tc>
          <w:tcPr>
            <w:tcW w:w="780" w:type="dxa"/>
            <w:vMerge w:val="continue"/>
            <w:tcBorders>
              <w:top w:val="single" w:color="000000" w:sz="8" w:space="0"/>
              <w:left w:val="single" w:color="000000" w:sz="4" w:space="0"/>
              <w:bottom w:val="single" w:color="000000" w:sz="4" w:space="0"/>
              <w:right w:val="single" w:color="000000" w:sz="8" w:space="0"/>
            </w:tcBorders>
            <w:shd w:val="clear" w:color="FFFFFF" w:fill="FFFFFF"/>
            <w:vAlign w:val="center"/>
          </w:tcPr>
          <w:p w14:paraId="06107890">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r>
      <w:tr w14:paraId="17C078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6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B6ED0E4">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A364321">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162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A3806E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混凝土及钢筋混凝土工程</w:t>
            </w:r>
          </w:p>
        </w:tc>
        <w:tc>
          <w:tcPr>
            <w:tcW w:w="420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B87D429">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6362E23">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92AFAE9">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1811200">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11AAA69">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4BD7D0C">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98EFE07">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AA4549E">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791C155">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1FC7F5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6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F2F85D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w:t>
            </w: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5EB35C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010501001001</w:t>
            </w:r>
          </w:p>
        </w:tc>
        <w:tc>
          <w:tcPr>
            <w:tcW w:w="162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8FF6AE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垫层</w:t>
            </w:r>
          </w:p>
        </w:tc>
        <w:tc>
          <w:tcPr>
            <w:tcW w:w="420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444D22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1.混凝土种类:商品混凝土</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2.混凝土强度等级:C20</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63E0EC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m3</w:t>
            </w: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8A6C45F">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14.47</w:t>
            </w: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82878E8">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5A25A8A">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99F2BB1">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DA731BB">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2B5BD4B">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ED70BF1">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60EB0A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6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6DC268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w:t>
            </w: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BA4F8E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010501002001</w:t>
            </w:r>
          </w:p>
        </w:tc>
        <w:tc>
          <w:tcPr>
            <w:tcW w:w="162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282550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带形基础</w:t>
            </w:r>
          </w:p>
        </w:tc>
        <w:tc>
          <w:tcPr>
            <w:tcW w:w="420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69C4B0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1.混凝土种类:商品混凝土</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2.混凝土强度等级:C30</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044AE9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m3</w:t>
            </w: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1F01B7">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17.84</w:t>
            </w: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EF98C9B">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0AB8270">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104CF0C">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2E756B7">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235A02B">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D956C53">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31314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6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46084C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04CC14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010501003001</w:t>
            </w:r>
          </w:p>
        </w:tc>
        <w:tc>
          <w:tcPr>
            <w:tcW w:w="162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E1A16E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独立基础</w:t>
            </w:r>
          </w:p>
        </w:tc>
        <w:tc>
          <w:tcPr>
            <w:tcW w:w="420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973502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1.混凝土种类:商品混凝土</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2.混凝土强度等级:C30</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703942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m3</w:t>
            </w: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47B695">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30.42</w:t>
            </w: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B25B272">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F008E69">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2A81095">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421C100">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50857D6">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47BE0393">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30AD94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6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EF6676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w:t>
            </w: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9CF3D3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010502001001</w:t>
            </w:r>
          </w:p>
        </w:tc>
        <w:tc>
          <w:tcPr>
            <w:tcW w:w="162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52702D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矩形柱</w:t>
            </w:r>
          </w:p>
        </w:tc>
        <w:tc>
          <w:tcPr>
            <w:tcW w:w="420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BF4E9E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1.混凝土种类:商品混凝土</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2.混凝土强度等级:C30</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F993F0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m3</w:t>
            </w: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D5D9F6C">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5.82</w:t>
            </w: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73334A7">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7AAC841">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1ED2640">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27B5D19">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7B05D52">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77E1C6E">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4A90D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6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839B04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w:t>
            </w: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EBE1BF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010502002001</w:t>
            </w:r>
          </w:p>
        </w:tc>
        <w:tc>
          <w:tcPr>
            <w:tcW w:w="162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82BB4E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构造柱</w:t>
            </w:r>
          </w:p>
        </w:tc>
        <w:tc>
          <w:tcPr>
            <w:tcW w:w="420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EEA419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1.混凝土种类:商品混凝土</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2.混凝土强度等级:C25</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8833F7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m3</w:t>
            </w: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300085E">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3.12</w:t>
            </w: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3F70557">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C8631A7">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146C349">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6041C6D">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2EA280E">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19F4F17">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6F36AA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56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0B8EED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w:t>
            </w: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79BEDB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010503002001</w:t>
            </w:r>
          </w:p>
        </w:tc>
        <w:tc>
          <w:tcPr>
            <w:tcW w:w="162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2596D6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矩形梁</w:t>
            </w:r>
          </w:p>
        </w:tc>
        <w:tc>
          <w:tcPr>
            <w:tcW w:w="420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26F30B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1.混凝土种类:商品混凝土</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2.混凝土强度等级:C30/P6</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部位：斜梁</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3A0039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m3</w:t>
            </w: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CF6350A">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5.99</w:t>
            </w: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840D811">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56265B5">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274BCF2">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187366">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4DB495A">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CE1F6E2">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6280EE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6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057A17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w:t>
            </w: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A778BC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010503002002</w:t>
            </w:r>
          </w:p>
        </w:tc>
        <w:tc>
          <w:tcPr>
            <w:tcW w:w="162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AD8F66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矩形梁</w:t>
            </w:r>
          </w:p>
        </w:tc>
        <w:tc>
          <w:tcPr>
            <w:tcW w:w="420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69D66F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1.混凝土种类:商品混凝土</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2.混凝土强度等级:C30/P6</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7ACD83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m3</w:t>
            </w: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B4F25FE">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8.3</w:t>
            </w: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8AB880A">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54844B6">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51BD66">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5CB188B">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2CE713B">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C0BF257">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652B50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6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61FDD6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w:t>
            </w: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A217E3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010503005001</w:t>
            </w:r>
          </w:p>
        </w:tc>
        <w:tc>
          <w:tcPr>
            <w:tcW w:w="162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F0A4C8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过梁</w:t>
            </w:r>
          </w:p>
        </w:tc>
        <w:tc>
          <w:tcPr>
            <w:tcW w:w="420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3F10A1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1.混凝土种类:商品混凝土</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2.混凝土强度等级:C25</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E7616B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m3</w:t>
            </w: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D409581">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0.68</w:t>
            </w: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71EBC79">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5B32CDF">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1B9A99A">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98317A4">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EA6A405">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F7DB36C">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1E1529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6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8247AE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w:t>
            </w: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23F21A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010505003001</w:t>
            </w:r>
          </w:p>
        </w:tc>
        <w:tc>
          <w:tcPr>
            <w:tcW w:w="162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803DE1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平板</w:t>
            </w:r>
          </w:p>
        </w:tc>
        <w:tc>
          <w:tcPr>
            <w:tcW w:w="420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14A1F4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1.混凝土种类:商品混凝土</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2.混凝土强度等级:C30/P6</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A9FDC6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m3</w:t>
            </w: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9ABA766">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24.35</w:t>
            </w: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3B6EE6C">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4011A2C">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B907271">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2B1B9FC">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1BD6643">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F0D934A">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3655C0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jc w:val="center"/>
        </w:trPr>
        <w:tc>
          <w:tcPr>
            <w:tcW w:w="10335" w:type="dxa"/>
            <w:gridSpan w:val="7"/>
            <w:tcBorders>
              <w:top w:val="single" w:color="000000" w:sz="4" w:space="0"/>
              <w:left w:val="single" w:color="000000" w:sz="8" w:space="0"/>
              <w:bottom w:val="single" w:color="000000" w:sz="8" w:space="0"/>
              <w:right w:val="single" w:color="000000" w:sz="4" w:space="0"/>
            </w:tcBorders>
            <w:shd w:val="clear" w:color="FFFFFF" w:fill="FFFFFF"/>
            <w:vAlign w:val="center"/>
          </w:tcPr>
          <w:p w14:paraId="3C58DEA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本页小计</w:t>
            </w:r>
          </w:p>
        </w:tc>
        <w:tc>
          <w:tcPr>
            <w:tcW w:w="840"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5E240DED">
            <w:pPr>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72AE2ED8">
            <w:pPr>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46A65168">
            <w:pPr>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44573EA8">
            <w:pPr>
              <w:jc w:val="lef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6951212A">
            <w:pPr>
              <w:jc w:val="left"/>
              <w:rPr>
                <w:rFonts w:hint="eastAsia" w:ascii="宋体" w:hAnsi="宋体" w:eastAsia="宋体" w:cs="宋体"/>
                <w:i w:val="0"/>
                <w:iCs w:val="0"/>
                <w:color w:val="auto"/>
                <w:sz w:val="20"/>
                <w:szCs w:val="20"/>
                <w:highlight w:val="none"/>
                <w:u w:val="none"/>
              </w:rPr>
            </w:pPr>
          </w:p>
        </w:tc>
      </w:tr>
    </w:tbl>
    <w:p w14:paraId="2BD7BB61">
      <w:pPr>
        <w:widowControl/>
        <w:ind w:left="42" w:right="42"/>
        <w:jc w:val="both"/>
        <w:rPr>
          <w:rFonts w:hint="eastAsia" w:ascii="宋体" w:hAnsi="宋体" w:eastAsia="宋体" w:cs="宋体"/>
          <w:color w:val="auto"/>
          <w:kern w:val="2"/>
          <w:sz w:val="24"/>
          <w:szCs w:val="24"/>
          <w:highlight w:val="none"/>
          <w:lang w:val="en-US" w:eastAsia="zh-CN" w:bidi="ar-SA"/>
        </w:rPr>
        <w:sectPr>
          <w:pgSz w:w="16838" w:h="11906" w:orient="landscape"/>
          <w:pgMar w:top="1803" w:right="1440" w:bottom="1803" w:left="1440" w:header="851" w:footer="992" w:gutter="0"/>
          <w:pgBorders>
            <w:top w:val="none" w:sz="0" w:space="0"/>
            <w:left w:val="none" w:sz="0" w:space="0"/>
            <w:bottom w:val="none" w:sz="0" w:space="0"/>
            <w:right w:val="none" w:sz="0" w:space="0"/>
          </w:pgBorders>
          <w:pgNumType w:fmt="decimal"/>
          <w:cols w:space="0" w:num="1"/>
          <w:rtlGutter w:val="0"/>
          <w:docGrid w:type="lines" w:linePitch="319" w:charSpace="0"/>
        </w:sectPr>
      </w:pPr>
    </w:p>
    <w:tbl>
      <w:tblPr>
        <w:tblStyle w:val="23"/>
        <w:tblW w:w="1461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68"/>
        <w:gridCol w:w="1516"/>
        <w:gridCol w:w="1295"/>
        <w:gridCol w:w="4481"/>
        <w:gridCol w:w="538"/>
        <w:gridCol w:w="942"/>
        <w:gridCol w:w="1026"/>
        <w:gridCol w:w="834"/>
        <w:gridCol w:w="878"/>
        <w:gridCol w:w="878"/>
        <w:gridCol w:w="878"/>
        <w:gridCol w:w="776"/>
      </w:tblGrid>
      <w:tr w14:paraId="02E515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 w:hRule="atLeast"/>
          <w:jc w:val="center"/>
        </w:trPr>
        <w:tc>
          <w:tcPr>
            <w:tcW w:w="11175" w:type="dxa"/>
            <w:gridSpan w:val="8"/>
            <w:tcBorders>
              <w:top w:val="nil"/>
              <w:left w:val="nil"/>
              <w:bottom w:val="nil"/>
              <w:right w:val="nil"/>
            </w:tcBorders>
            <w:shd w:val="clear" w:color="FFFFFF" w:fill="FFFFFF"/>
            <w:vAlign w:val="center"/>
          </w:tcPr>
          <w:p w14:paraId="347D481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【表10.2.2-16】</w:t>
            </w:r>
          </w:p>
        </w:tc>
        <w:tc>
          <w:tcPr>
            <w:tcW w:w="3435" w:type="dxa"/>
            <w:gridSpan w:val="4"/>
            <w:tcBorders>
              <w:top w:val="nil"/>
              <w:left w:val="nil"/>
              <w:bottom w:val="nil"/>
              <w:right w:val="nil"/>
            </w:tcBorders>
            <w:shd w:val="clear" w:color="FFFFFF" w:fill="FFFFFF"/>
            <w:vAlign w:val="center"/>
          </w:tcPr>
          <w:p w14:paraId="4A3A3A48">
            <w:pPr>
              <w:jc w:val="right"/>
              <w:rPr>
                <w:rFonts w:hint="eastAsia" w:ascii="宋体" w:hAnsi="宋体" w:eastAsia="宋体" w:cs="宋体"/>
                <w:i w:val="0"/>
                <w:iCs w:val="0"/>
                <w:color w:val="auto"/>
                <w:sz w:val="18"/>
                <w:szCs w:val="18"/>
                <w:highlight w:val="none"/>
                <w:u w:val="none"/>
              </w:rPr>
            </w:pPr>
          </w:p>
        </w:tc>
      </w:tr>
      <w:tr w14:paraId="171DF3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14610" w:type="dxa"/>
            <w:gridSpan w:val="12"/>
            <w:tcBorders>
              <w:top w:val="nil"/>
              <w:left w:val="nil"/>
              <w:bottom w:val="nil"/>
              <w:right w:val="nil"/>
            </w:tcBorders>
            <w:shd w:val="clear" w:color="FFFFFF" w:fill="FFFFFF"/>
            <w:vAlign w:val="center"/>
          </w:tcPr>
          <w:p w14:paraId="24FDB7E6">
            <w:pPr>
              <w:keepNext w:val="0"/>
              <w:keepLines w:val="0"/>
              <w:widowControl/>
              <w:suppressLineNumbers w:val="0"/>
              <w:jc w:val="center"/>
              <w:textAlignment w:val="center"/>
              <w:rPr>
                <w:rFonts w:hint="eastAsia" w:ascii="宋体" w:hAnsi="宋体" w:eastAsia="宋体" w:cs="宋体"/>
                <w:b/>
                <w:bCs/>
                <w:i w:val="0"/>
                <w:iCs w:val="0"/>
                <w:color w:val="auto"/>
                <w:sz w:val="40"/>
                <w:szCs w:val="40"/>
                <w:highlight w:val="none"/>
                <w:u w:val="none"/>
              </w:rPr>
            </w:pPr>
            <w:r>
              <w:rPr>
                <w:rFonts w:hint="eastAsia" w:ascii="宋体" w:hAnsi="宋体" w:eastAsia="宋体" w:cs="宋体"/>
                <w:b/>
                <w:bCs/>
                <w:i w:val="0"/>
                <w:iCs w:val="0"/>
                <w:color w:val="auto"/>
                <w:kern w:val="0"/>
                <w:sz w:val="40"/>
                <w:szCs w:val="40"/>
                <w:highlight w:val="none"/>
                <w:u w:val="none"/>
                <w:lang w:val="en-US" w:eastAsia="zh-CN" w:bidi="ar"/>
              </w:rPr>
              <w:t>分部分项工程清单与计价表</w:t>
            </w:r>
          </w:p>
        </w:tc>
      </w:tr>
      <w:tr w14:paraId="72809B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3285" w:type="dxa"/>
            <w:gridSpan w:val="3"/>
            <w:tcBorders>
              <w:top w:val="nil"/>
              <w:left w:val="nil"/>
              <w:bottom w:val="nil"/>
              <w:right w:val="nil"/>
            </w:tcBorders>
            <w:shd w:val="clear" w:color="FFFFFF" w:fill="FFFFFF"/>
            <w:vAlign w:val="bottom"/>
          </w:tcPr>
          <w:p w14:paraId="2D8ECB98">
            <w:pPr>
              <w:keepNext w:val="0"/>
              <w:keepLines w:val="0"/>
              <w:widowControl/>
              <w:suppressLineNumbers w:val="0"/>
              <w:jc w:val="lef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工程名称：单项工程-配套用房建筑工程</w:t>
            </w:r>
          </w:p>
        </w:tc>
        <w:tc>
          <w:tcPr>
            <w:tcW w:w="7890" w:type="dxa"/>
            <w:gridSpan w:val="5"/>
            <w:tcBorders>
              <w:top w:val="nil"/>
              <w:left w:val="nil"/>
              <w:bottom w:val="nil"/>
              <w:right w:val="nil"/>
            </w:tcBorders>
            <w:shd w:val="clear" w:color="FFFFFF" w:fill="FFFFFF"/>
            <w:vAlign w:val="bottom"/>
          </w:tcPr>
          <w:p w14:paraId="70962F87">
            <w:pPr>
              <w:keepNext w:val="0"/>
              <w:keepLines w:val="0"/>
              <w:widowControl/>
              <w:suppressLineNumbers w:val="0"/>
              <w:jc w:val="lef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标段：</w:t>
            </w:r>
          </w:p>
        </w:tc>
        <w:tc>
          <w:tcPr>
            <w:tcW w:w="3435" w:type="dxa"/>
            <w:gridSpan w:val="4"/>
            <w:tcBorders>
              <w:top w:val="nil"/>
              <w:left w:val="nil"/>
              <w:bottom w:val="nil"/>
              <w:right w:val="nil"/>
            </w:tcBorders>
            <w:shd w:val="clear" w:color="FFFFFF" w:fill="FFFFFF"/>
            <w:vAlign w:val="bottom"/>
          </w:tcPr>
          <w:p w14:paraId="65BDEADA">
            <w:pPr>
              <w:keepNext w:val="0"/>
              <w:keepLines w:val="0"/>
              <w:widowControl/>
              <w:suppressLineNumbers w:val="0"/>
              <w:jc w:val="righ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第 3 页  共 7 页</w:t>
            </w:r>
          </w:p>
        </w:tc>
      </w:tr>
      <w:tr w14:paraId="3D8A9C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570"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5C068DA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序号</w:t>
            </w:r>
          </w:p>
        </w:tc>
        <w:tc>
          <w:tcPr>
            <w:tcW w:w="141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66BB561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项目编码</w:t>
            </w:r>
          </w:p>
        </w:tc>
        <w:tc>
          <w:tcPr>
            <w:tcW w:w="1305"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E36C48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项目名称</w:t>
            </w:r>
          </w:p>
        </w:tc>
        <w:tc>
          <w:tcPr>
            <w:tcW w:w="453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1859646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项目特征</w:t>
            </w:r>
          </w:p>
        </w:tc>
        <w:tc>
          <w:tcPr>
            <w:tcW w:w="54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5F20B20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计量单位</w:t>
            </w:r>
          </w:p>
        </w:tc>
        <w:tc>
          <w:tcPr>
            <w:tcW w:w="945"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287559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工程量</w:t>
            </w:r>
          </w:p>
        </w:tc>
        <w:tc>
          <w:tcPr>
            <w:tcW w:w="4530" w:type="dxa"/>
            <w:gridSpan w:val="5"/>
            <w:tcBorders>
              <w:top w:val="single" w:color="000000" w:sz="8" w:space="0"/>
              <w:left w:val="single" w:color="000000" w:sz="4" w:space="0"/>
              <w:bottom w:val="single" w:color="000000" w:sz="4" w:space="0"/>
              <w:right w:val="single" w:color="000000" w:sz="4" w:space="0"/>
            </w:tcBorders>
            <w:shd w:val="clear" w:color="FFFFFF" w:fill="FFFFFF"/>
            <w:vAlign w:val="center"/>
          </w:tcPr>
          <w:p w14:paraId="3317750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金额（元）</w:t>
            </w:r>
          </w:p>
        </w:tc>
        <w:tc>
          <w:tcPr>
            <w:tcW w:w="780" w:type="dxa"/>
            <w:vMerge w:val="restart"/>
            <w:tcBorders>
              <w:top w:val="single" w:color="000000" w:sz="8" w:space="0"/>
              <w:left w:val="single" w:color="000000" w:sz="4" w:space="0"/>
              <w:bottom w:val="single" w:color="000000" w:sz="4" w:space="0"/>
              <w:right w:val="single" w:color="000000" w:sz="8" w:space="0"/>
            </w:tcBorders>
            <w:shd w:val="clear" w:color="FFFFFF" w:fill="FFFFFF"/>
            <w:vAlign w:val="center"/>
          </w:tcPr>
          <w:p w14:paraId="2181CEB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备注</w:t>
            </w:r>
          </w:p>
        </w:tc>
      </w:tr>
      <w:tr w14:paraId="2208F6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57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4162F686">
            <w:pPr>
              <w:jc w:val="center"/>
              <w:rPr>
                <w:rFonts w:hint="eastAsia" w:ascii="宋体" w:hAnsi="宋体" w:eastAsia="宋体" w:cs="宋体"/>
                <w:i w:val="0"/>
                <w:iCs w:val="0"/>
                <w:color w:val="auto"/>
                <w:sz w:val="20"/>
                <w:szCs w:val="20"/>
                <w:highlight w:val="none"/>
                <w:u w:val="none"/>
              </w:rPr>
            </w:pPr>
          </w:p>
        </w:tc>
        <w:tc>
          <w:tcPr>
            <w:tcW w:w="141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A4B81D9">
            <w:pPr>
              <w:jc w:val="center"/>
              <w:rPr>
                <w:rFonts w:hint="eastAsia" w:ascii="宋体" w:hAnsi="宋体" w:eastAsia="宋体" w:cs="宋体"/>
                <w:i w:val="0"/>
                <w:iCs w:val="0"/>
                <w:color w:val="auto"/>
                <w:sz w:val="20"/>
                <w:szCs w:val="20"/>
                <w:highlight w:val="none"/>
                <w:u w:val="none"/>
              </w:rPr>
            </w:pPr>
          </w:p>
        </w:tc>
        <w:tc>
          <w:tcPr>
            <w:tcW w:w="130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5C58906">
            <w:pPr>
              <w:jc w:val="center"/>
              <w:rPr>
                <w:rFonts w:hint="eastAsia" w:ascii="宋体" w:hAnsi="宋体" w:eastAsia="宋体" w:cs="宋体"/>
                <w:i w:val="0"/>
                <w:iCs w:val="0"/>
                <w:color w:val="auto"/>
                <w:sz w:val="20"/>
                <w:szCs w:val="20"/>
                <w:highlight w:val="none"/>
                <w:u w:val="none"/>
              </w:rPr>
            </w:pPr>
          </w:p>
        </w:tc>
        <w:tc>
          <w:tcPr>
            <w:tcW w:w="453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ADC9C56">
            <w:pPr>
              <w:jc w:val="center"/>
              <w:rPr>
                <w:rFonts w:hint="eastAsia" w:ascii="宋体" w:hAnsi="宋体" w:eastAsia="宋体" w:cs="宋体"/>
                <w:i w:val="0"/>
                <w:iCs w:val="0"/>
                <w:color w:val="auto"/>
                <w:sz w:val="20"/>
                <w:szCs w:val="20"/>
                <w:highlight w:val="none"/>
                <w:u w:val="none"/>
              </w:rPr>
            </w:pPr>
          </w:p>
        </w:tc>
        <w:tc>
          <w:tcPr>
            <w:tcW w:w="54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68BAEBC">
            <w:pPr>
              <w:jc w:val="center"/>
              <w:rPr>
                <w:rFonts w:hint="eastAsia" w:ascii="宋体" w:hAnsi="宋体" w:eastAsia="宋体" w:cs="宋体"/>
                <w:i w:val="0"/>
                <w:iCs w:val="0"/>
                <w:color w:val="auto"/>
                <w:sz w:val="20"/>
                <w:szCs w:val="20"/>
                <w:highlight w:val="none"/>
                <w:u w:val="none"/>
              </w:rPr>
            </w:pPr>
          </w:p>
        </w:tc>
        <w:tc>
          <w:tcPr>
            <w:tcW w:w="94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DDDF9F1">
            <w:pPr>
              <w:jc w:val="center"/>
              <w:rPr>
                <w:rFonts w:hint="eastAsia" w:ascii="宋体" w:hAnsi="宋体" w:eastAsia="宋体" w:cs="宋体"/>
                <w:i w:val="0"/>
                <w:iCs w:val="0"/>
                <w:color w:val="auto"/>
                <w:sz w:val="20"/>
                <w:szCs w:val="20"/>
                <w:highlight w:val="none"/>
                <w:u w:val="none"/>
              </w:rPr>
            </w:pPr>
          </w:p>
        </w:tc>
        <w:tc>
          <w:tcPr>
            <w:tcW w:w="1035"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0A23C4E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综合单价</w:t>
            </w:r>
          </w:p>
        </w:tc>
        <w:tc>
          <w:tcPr>
            <w:tcW w:w="840"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331CF12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合价</w:t>
            </w:r>
          </w:p>
        </w:tc>
        <w:tc>
          <w:tcPr>
            <w:tcW w:w="265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6DD76F0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其中</w:t>
            </w:r>
          </w:p>
        </w:tc>
        <w:tc>
          <w:tcPr>
            <w:tcW w:w="780" w:type="dxa"/>
            <w:vMerge w:val="continue"/>
            <w:tcBorders>
              <w:top w:val="single" w:color="000000" w:sz="8" w:space="0"/>
              <w:left w:val="single" w:color="000000" w:sz="4" w:space="0"/>
              <w:bottom w:val="single" w:color="000000" w:sz="4" w:space="0"/>
              <w:right w:val="single" w:color="000000" w:sz="8" w:space="0"/>
            </w:tcBorders>
            <w:shd w:val="clear" w:color="FFFFFF" w:fill="FFFFFF"/>
            <w:vAlign w:val="center"/>
          </w:tcPr>
          <w:p w14:paraId="7E976724">
            <w:pPr>
              <w:jc w:val="center"/>
              <w:rPr>
                <w:rFonts w:hint="eastAsia" w:ascii="宋体" w:hAnsi="宋体" w:eastAsia="宋体" w:cs="宋体"/>
                <w:i w:val="0"/>
                <w:iCs w:val="0"/>
                <w:color w:val="auto"/>
                <w:sz w:val="20"/>
                <w:szCs w:val="20"/>
                <w:highlight w:val="none"/>
                <w:u w:val="none"/>
              </w:rPr>
            </w:pPr>
          </w:p>
        </w:tc>
      </w:tr>
      <w:tr w14:paraId="7DDF2C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57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29757CF1">
            <w:pPr>
              <w:jc w:val="center"/>
              <w:rPr>
                <w:rFonts w:hint="eastAsia" w:ascii="宋体" w:hAnsi="宋体" w:eastAsia="宋体" w:cs="宋体"/>
                <w:i w:val="0"/>
                <w:iCs w:val="0"/>
                <w:color w:val="auto"/>
                <w:sz w:val="20"/>
                <w:szCs w:val="20"/>
                <w:highlight w:val="none"/>
                <w:u w:val="none"/>
              </w:rPr>
            </w:pPr>
          </w:p>
        </w:tc>
        <w:tc>
          <w:tcPr>
            <w:tcW w:w="141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DE4ED8B">
            <w:pPr>
              <w:jc w:val="center"/>
              <w:rPr>
                <w:rFonts w:hint="eastAsia" w:ascii="宋体" w:hAnsi="宋体" w:eastAsia="宋体" w:cs="宋体"/>
                <w:i w:val="0"/>
                <w:iCs w:val="0"/>
                <w:color w:val="auto"/>
                <w:sz w:val="20"/>
                <w:szCs w:val="20"/>
                <w:highlight w:val="none"/>
                <w:u w:val="none"/>
              </w:rPr>
            </w:pPr>
          </w:p>
        </w:tc>
        <w:tc>
          <w:tcPr>
            <w:tcW w:w="130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CED601E">
            <w:pPr>
              <w:jc w:val="center"/>
              <w:rPr>
                <w:rFonts w:hint="eastAsia" w:ascii="宋体" w:hAnsi="宋体" w:eastAsia="宋体" w:cs="宋体"/>
                <w:i w:val="0"/>
                <w:iCs w:val="0"/>
                <w:color w:val="auto"/>
                <w:sz w:val="20"/>
                <w:szCs w:val="20"/>
                <w:highlight w:val="none"/>
                <w:u w:val="none"/>
              </w:rPr>
            </w:pPr>
          </w:p>
        </w:tc>
        <w:tc>
          <w:tcPr>
            <w:tcW w:w="453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16A9F8C">
            <w:pPr>
              <w:jc w:val="center"/>
              <w:rPr>
                <w:rFonts w:hint="eastAsia" w:ascii="宋体" w:hAnsi="宋体" w:eastAsia="宋体" w:cs="宋体"/>
                <w:i w:val="0"/>
                <w:iCs w:val="0"/>
                <w:color w:val="auto"/>
                <w:sz w:val="20"/>
                <w:szCs w:val="20"/>
                <w:highlight w:val="none"/>
                <w:u w:val="none"/>
              </w:rPr>
            </w:pPr>
          </w:p>
        </w:tc>
        <w:tc>
          <w:tcPr>
            <w:tcW w:w="54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0ED6C27">
            <w:pPr>
              <w:jc w:val="center"/>
              <w:rPr>
                <w:rFonts w:hint="eastAsia" w:ascii="宋体" w:hAnsi="宋体" w:eastAsia="宋体" w:cs="宋体"/>
                <w:i w:val="0"/>
                <w:iCs w:val="0"/>
                <w:color w:val="auto"/>
                <w:sz w:val="20"/>
                <w:szCs w:val="20"/>
                <w:highlight w:val="none"/>
                <w:u w:val="none"/>
              </w:rPr>
            </w:pPr>
          </w:p>
        </w:tc>
        <w:tc>
          <w:tcPr>
            <w:tcW w:w="94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FA1AD9E">
            <w:pPr>
              <w:jc w:val="center"/>
              <w:rPr>
                <w:rFonts w:hint="eastAsia" w:ascii="宋体" w:hAnsi="宋体" w:eastAsia="宋体" w:cs="宋体"/>
                <w:i w:val="0"/>
                <w:iCs w:val="0"/>
                <w:color w:val="auto"/>
                <w:sz w:val="20"/>
                <w:szCs w:val="20"/>
                <w:highlight w:val="none"/>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0B7D8559">
            <w:pPr>
              <w:jc w:val="center"/>
              <w:rPr>
                <w:rFonts w:hint="eastAsia" w:ascii="宋体" w:hAnsi="宋体" w:eastAsia="宋体" w:cs="宋体"/>
                <w:i w:val="0"/>
                <w:iCs w:val="0"/>
                <w:color w:val="auto"/>
                <w:sz w:val="20"/>
                <w:szCs w:val="20"/>
                <w:highlight w:val="none"/>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411503D6">
            <w:pPr>
              <w:jc w:val="center"/>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E52684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人工费</w:t>
            </w: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005540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机械费</w:t>
            </w: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C2BD5A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暂估价</w:t>
            </w:r>
          </w:p>
        </w:tc>
        <w:tc>
          <w:tcPr>
            <w:tcW w:w="780" w:type="dxa"/>
            <w:vMerge w:val="continue"/>
            <w:tcBorders>
              <w:top w:val="single" w:color="000000" w:sz="8" w:space="0"/>
              <w:left w:val="single" w:color="000000" w:sz="4" w:space="0"/>
              <w:bottom w:val="single" w:color="000000" w:sz="4" w:space="0"/>
              <w:right w:val="single" w:color="000000" w:sz="8" w:space="0"/>
            </w:tcBorders>
            <w:shd w:val="clear" w:color="FFFFFF" w:fill="FFFFFF"/>
            <w:vAlign w:val="center"/>
          </w:tcPr>
          <w:p w14:paraId="29F5D70B">
            <w:pPr>
              <w:jc w:val="center"/>
              <w:rPr>
                <w:rFonts w:hint="eastAsia" w:ascii="宋体" w:hAnsi="宋体" w:eastAsia="宋体" w:cs="宋体"/>
                <w:i w:val="0"/>
                <w:iCs w:val="0"/>
                <w:color w:val="auto"/>
                <w:sz w:val="20"/>
                <w:szCs w:val="20"/>
                <w:highlight w:val="none"/>
                <w:u w:val="none"/>
              </w:rPr>
            </w:pPr>
          </w:p>
        </w:tc>
      </w:tr>
      <w:tr w14:paraId="1CB842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57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7E0A4B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292C20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010505008001</w:t>
            </w: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EFEF67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雨篷、悬挑板、阳台板</w:t>
            </w:r>
          </w:p>
        </w:tc>
        <w:tc>
          <w:tcPr>
            <w:tcW w:w="453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8DFA01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1.混凝土种类:商品混凝土</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2.混凝土强度等级:C30</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8C5438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m3</w:t>
            </w: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84D7D3E">
            <w:pPr>
              <w:keepNext w:val="0"/>
              <w:keepLines w:val="0"/>
              <w:widowControl/>
              <w:suppressLineNumbers w:val="0"/>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0.55</w:t>
            </w: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3814B56">
            <w:pPr>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0BAC8F6">
            <w:pPr>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36CB67B">
            <w:pPr>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50CD0B5">
            <w:pPr>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B5329E5">
            <w:pPr>
              <w:jc w:val="righ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8DD3ACA">
            <w:pPr>
              <w:jc w:val="left"/>
              <w:rPr>
                <w:rFonts w:hint="eastAsia" w:ascii="宋体" w:hAnsi="宋体" w:eastAsia="宋体" w:cs="宋体"/>
                <w:i w:val="0"/>
                <w:iCs w:val="0"/>
                <w:color w:val="auto"/>
                <w:sz w:val="20"/>
                <w:szCs w:val="20"/>
                <w:highlight w:val="none"/>
                <w:u w:val="none"/>
              </w:rPr>
            </w:pPr>
          </w:p>
        </w:tc>
      </w:tr>
      <w:tr w14:paraId="3F0C5D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57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A9520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7E11B5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010501006001</w:t>
            </w: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169B97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设备基础</w:t>
            </w:r>
          </w:p>
        </w:tc>
        <w:tc>
          <w:tcPr>
            <w:tcW w:w="453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CC13D6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1.混凝土种类:商品混凝土</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2.混凝土强度等级:C25</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C4A4DB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m3</w:t>
            </w: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CE3E7AA">
            <w:pPr>
              <w:keepNext w:val="0"/>
              <w:keepLines w:val="0"/>
              <w:widowControl/>
              <w:suppressLineNumbers w:val="0"/>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w:t>
            </w: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C168EAA">
            <w:pPr>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7204CF0">
            <w:pPr>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86787B8">
            <w:pPr>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C285953">
            <w:pPr>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C9B3044">
            <w:pPr>
              <w:jc w:val="righ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76899057">
            <w:pPr>
              <w:jc w:val="left"/>
              <w:rPr>
                <w:rFonts w:hint="eastAsia" w:ascii="宋体" w:hAnsi="宋体" w:eastAsia="宋体" w:cs="宋体"/>
                <w:i w:val="0"/>
                <w:iCs w:val="0"/>
                <w:color w:val="auto"/>
                <w:sz w:val="20"/>
                <w:szCs w:val="20"/>
                <w:highlight w:val="none"/>
                <w:u w:val="none"/>
              </w:rPr>
            </w:pPr>
          </w:p>
        </w:tc>
      </w:tr>
      <w:tr w14:paraId="3562B7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57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B2B12B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5980F8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010515001001</w:t>
            </w: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3BAC83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现浇构件钢筋</w:t>
            </w:r>
          </w:p>
        </w:tc>
        <w:tc>
          <w:tcPr>
            <w:tcW w:w="453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50D48C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1.钢筋种类、规格:HRB400级钢筋制安，规格综合考虑</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E2493D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t</w:t>
            </w: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049E3E7">
            <w:pPr>
              <w:keepNext w:val="0"/>
              <w:keepLines w:val="0"/>
              <w:widowControl/>
              <w:suppressLineNumbers w:val="0"/>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8.593</w:t>
            </w: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4722F7F">
            <w:pPr>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BC7FCD0">
            <w:pPr>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50995B0">
            <w:pPr>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9AEFD0D">
            <w:pPr>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B9846B0">
            <w:pPr>
              <w:jc w:val="righ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3F471F4">
            <w:pPr>
              <w:jc w:val="left"/>
              <w:rPr>
                <w:rFonts w:hint="eastAsia" w:ascii="宋体" w:hAnsi="宋体" w:eastAsia="宋体" w:cs="宋体"/>
                <w:i w:val="0"/>
                <w:iCs w:val="0"/>
                <w:color w:val="auto"/>
                <w:sz w:val="20"/>
                <w:szCs w:val="20"/>
                <w:highlight w:val="none"/>
                <w:u w:val="none"/>
              </w:rPr>
            </w:pPr>
          </w:p>
        </w:tc>
      </w:tr>
      <w:tr w14:paraId="0D7687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57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AC75BE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6B6906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010515001002</w:t>
            </w: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F24435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现浇构件钢筋</w:t>
            </w:r>
          </w:p>
        </w:tc>
        <w:tc>
          <w:tcPr>
            <w:tcW w:w="453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3AA1D4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1.钢筋种类、规格:HRB400级箍筋制安，规格综合考虑</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AC430A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t</w:t>
            </w: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29ADB69">
            <w:pPr>
              <w:keepNext w:val="0"/>
              <w:keepLines w:val="0"/>
              <w:widowControl/>
              <w:suppressLineNumbers w:val="0"/>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1.527</w:t>
            </w: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2C8C2CD">
            <w:pPr>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D3F241F">
            <w:pPr>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1F9D3A">
            <w:pPr>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6D14CDE">
            <w:pPr>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7396DB2">
            <w:pPr>
              <w:jc w:val="righ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09E3D2AD">
            <w:pPr>
              <w:jc w:val="left"/>
              <w:rPr>
                <w:rFonts w:hint="eastAsia" w:ascii="宋体" w:hAnsi="宋体" w:eastAsia="宋体" w:cs="宋体"/>
                <w:i w:val="0"/>
                <w:iCs w:val="0"/>
                <w:color w:val="auto"/>
                <w:sz w:val="20"/>
                <w:szCs w:val="20"/>
                <w:highlight w:val="none"/>
                <w:u w:val="none"/>
              </w:rPr>
            </w:pPr>
          </w:p>
        </w:tc>
      </w:tr>
      <w:tr w14:paraId="53728F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57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EFD10B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D9CDB5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010515001003</w:t>
            </w: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BAF4C1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现浇构件钢筋</w:t>
            </w:r>
          </w:p>
        </w:tc>
        <w:tc>
          <w:tcPr>
            <w:tcW w:w="453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6C0509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1.钢筋种类、规格:HPB300级钢筋，直径6mm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2.部位:砌体加筋</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2F7651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t</w:t>
            </w: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76C5C0E">
            <w:pPr>
              <w:keepNext w:val="0"/>
              <w:keepLines w:val="0"/>
              <w:widowControl/>
              <w:suppressLineNumbers w:val="0"/>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0.365</w:t>
            </w: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2C13DDA">
            <w:pPr>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B3A0E0D">
            <w:pPr>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07C4617">
            <w:pPr>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8EF8E49">
            <w:pPr>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8A8E78B">
            <w:pPr>
              <w:jc w:val="righ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AAA9686">
            <w:pPr>
              <w:jc w:val="left"/>
              <w:rPr>
                <w:rFonts w:hint="eastAsia" w:ascii="宋体" w:hAnsi="宋体" w:eastAsia="宋体" w:cs="宋体"/>
                <w:i w:val="0"/>
                <w:iCs w:val="0"/>
                <w:color w:val="auto"/>
                <w:sz w:val="20"/>
                <w:szCs w:val="20"/>
                <w:highlight w:val="none"/>
                <w:u w:val="none"/>
              </w:rPr>
            </w:pPr>
          </w:p>
        </w:tc>
      </w:tr>
      <w:tr w14:paraId="7BAAA1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57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AC0309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B94C29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Z010515011002</w:t>
            </w: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51267C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钢筋连接</w:t>
            </w:r>
          </w:p>
        </w:tc>
        <w:tc>
          <w:tcPr>
            <w:tcW w:w="453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A54E42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1、钢筋接头连接</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2、接头类型综合考虑（不含绑扎）</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55BF59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E75ED33">
            <w:pPr>
              <w:keepNext w:val="0"/>
              <w:keepLines w:val="0"/>
              <w:widowControl/>
              <w:suppressLineNumbers w:val="0"/>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171</w:t>
            </w: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7E8C12B">
            <w:pPr>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42C5B44">
            <w:pPr>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C19BFA2">
            <w:pPr>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AC06270">
            <w:pPr>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51B3A54">
            <w:pPr>
              <w:jc w:val="righ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E083583">
            <w:pPr>
              <w:jc w:val="left"/>
              <w:rPr>
                <w:rFonts w:hint="eastAsia" w:ascii="宋体" w:hAnsi="宋体" w:eastAsia="宋体" w:cs="宋体"/>
                <w:i w:val="0"/>
                <w:iCs w:val="0"/>
                <w:color w:val="auto"/>
                <w:sz w:val="20"/>
                <w:szCs w:val="20"/>
                <w:highlight w:val="none"/>
                <w:u w:val="none"/>
              </w:rPr>
            </w:pPr>
          </w:p>
        </w:tc>
      </w:tr>
      <w:tr w14:paraId="474C3F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57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FD6BBE2">
            <w:pPr>
              <w:jc w:val="right"/>
              <w:rPr>
                <w:rFonts w:hint="eastAsia" w:ascii="宋体" w:hAnsi="宋体" w:eastAsia="宋体" w:cs="宋体"/>
                <w:i w:val="0"/>
                <w:iCs w:val="0"/>
                <w:color w:val="auto"/>
                <w:sz w:val="20"/>
                <w:szCs w:val="20"/>
                <w:highlight w:val="none"/>
                <w:u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8E912A8">
            <w:pPr>
              <w:jc w:val="center"/>
              <w:rPr>
                <w:rFonts w:hint="eastAsia" w:ascii="宋体" w:hAnsi="宋体" w:eastAsia="宋体" w:cs="宋体"/>
                <w:i w:val="0"/>
                <w:iCs w:val="0"/>
                <w:color w:val="auto"/>
                <w:sz w:val="20"/>
                <w:szCs w:val="20"/>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3EE584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门窗工程</w:t>
            </w:r>
          </w:p>
        </w:tc>
        <w:tc>
          <w:tcPr>
            <w:tcW w:w="453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3E04BE7">
            <w:pPr>
              <w:jc w:val="left"/>
              <w:rPr>
                <w:rFonts w:hint="eastAsia" w:ascii="宋体" w:hAnsi="宋体" w:eastAsia="宋体" w:cs="宋体"/>
                <w:i w:val="0"/>
                <w:iCs w:val="0"/>
                <w:color w:val="auto"/>
                <w:sz w:val="20"/>
                <w:szCs w:val="20"/>
                <w:highlight w:val="none"/>
                <w:u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A300A1">
            <w:pPr>
              <w:jc w:val="left"/>
              <w:rPr>
                <w:rFonts w:hint="eastAsia" w:ascii="宋体" w:hAnsi="宋体" w:eastAsia="宋体" w:cs="宋体"/>
                <w:i w:val="0"/>
                <w:iCs w:val="0"/>
                <w:color w:val="auto"/>
                <w:sz w:val="20"/>
                <w:szCs w:val="20"/>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B472A39">
            <w:pPr>
              <w:jc w:val="left"/>
              <w:rPr>
                <w:rFonts w:hint="eastAsia" w:ascii="宋体" w:hAnsi="宋体" w:eastAsia="宋体" w:cs="宋体"/>
                <w:i w:val="0"/>
                <w:iCs w:val="0"/>
                <w:color w:val="auto"/>
                <w:sz w:val="20"/>
                <w:szCs w:val="20"/>
                <w:highlight w:val="none"/>
                <w:u w:val="none"/>
              </w:rPr>
            </w:pP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2AEF154">
            <w:pPr>
              <w:jc w:val="lef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F377E2F">
            <w:pPr>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0D900FD">
            <w:pPr>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4E1E684">
            <w:pPr>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E741FE1">
            <w:pPr>
              <w:jc w:val="lef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A06CDB9">
            <w:pPr>
              <w:jc w:val="left"/>
              <w:rPr>
                <w:rFonts w:hint="eastAsia" w:ascii="宋体" w:hAnsi="宋体" w:eastAsia="宋体" w:cs="宋体"/>
                <w:i w:val="0"/>
                <w:iCs w:val="0"/>
                <w:color w:val="auto"/>
                <w:sz w:val="20"/>
                <w:szCs w:val="20"/>
                <w:highlight w:val="none"/>
                <w:u w:val="none"/>
              </w:rPr>
            </w:pPr>
          </w:p>
        </w:tc>
      </w:tr>
      <w:tr w14:paraId="32D37E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57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83711E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9ED891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010801001001</w:t>
            </w: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F5F035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木质门</w:t>
            </w:r>
          </w:p>
        </w:tc>
        <w:tc>
          <w:tcPr>
            <w:tcW w:w="453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9E63E5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木质门</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3EFB90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A49A26A">
            <w:pPr>
              <w:keepNext w:val="0"/>
              <w:keepLines w:val="0"/>
              <w:widowControl/>
              <w:suppressLineNumbers w:val="0"/>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2.64</w:t>
            </w: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DBB00E5">
            <w:pPr>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B031A50">
            <w:pPr>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2994B0E">
            <w:pPr>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1856EF7">
            <w:pPr>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D84692D">
            <w:pPr>
              <w:jc w:val="righ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9354BF0">
            <w:pPr>
              <w:jc w:val="left"/>
              <w:rPr>
                <w:rFonts w:hint="eastAsia" w:ascii="宋体" w:hAnsi="宋体" w:eastAsia="宋体" w:cs="宋体"/>
                <w:i w:val="0"/>
                <w:iCs w:val="0"/>
                <w:color w:val="auto"/>
                <w:sz w:val="20"/>
                <w:szCs w:val="20"/>
                <w:highlight w:val="none"/>
                <w:u w:val="none"/>
              </w:rPr>
            </w:pPr>
          </w:p>
        </w:tc>
      </w:tr>
      <w:tr w14:paraId="13C3AA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57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4AAF45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341B72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010802003001</w:t>
            </w: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5436D2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钢质防火门</w:t>
            </w:r>
          </w:p>
        </w:tc>
        <w:tc>
          <w:tcPr>
            <w:tcW w:w="453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C10FD4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钢质门</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190531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E4688F6">
            <w:pPr>
              <w:keepNext w:val="0"/>
              <w:keepLines w:val="0"/>
              <w:widowControl/>
              <w:suppressLineNumbers w:val="0"/>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2.64</w:t>
            </w: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3534734">
            <w:pPr>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2BACD33">
            <w:pPr>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AE7FDB4">
            <w:pPr>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A3B7B9F">
            <w:pPr>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BC4E8EC">
            <w:pPr>
              <w:jc w:val="righ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B1E099D">
            <w:pPr>
              <w:jc w:val="left"/>
              <w:rPr>
                <w:rFonts w:hint="eastAsia" w:ascii="宋体" w:hAnsi="宋体" w:eastAsia="宋体" w:cs="宋体"/>
                <w:i w:val="0"/>
                <w:iCs w:val="0"/>
                <w:color w:val="auto"/>
                <w:sz w:val="20"/>
                <w:szCs w:val="20"/>
                <w:highlight w:val="none"/>
                <w:u w:val="none"/>
              </w:rPr>
            </w:pPr>
          </w:p>
        </w:tc>
      </w:tr>
      <w:tr w14:paraId="6C45A1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10335" w:type="dxa"/>
            <w:gridSpan w:val="7"/>
            <w:tcBorders>
              <w:top w:val="single" w:color="000000" w:sz="4" w:space="0"/>
              <w:left w:val="single" w:color="000000" w:sz="8" w:space="0"/>
              <w:bottom w:val="single" w:color="000000" w:sz="8" w:space="0"/>
              <w:right w:val="single" w:color="000000" w:sz="4" w:space="0"/>
            </w:tcBorders>
            <w:shd w:val="clear" w:color="FFFFFF" w:fill="FFFFFF"/>
            <w:vAlign w:val="center"/>
          </w:tcPr>
          <w:p w14:paraId="509EEDF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本页小计</w:t>
            </w:r>
          </w:p>
        </w:tc>
        <w:tc>
          <w:tcPr>
            <w:tcW w:w="840"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23F1C208">
            <w:pPr>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2C1748AD">
            <w:pPr>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3A2CC69A">
            <w:pPr>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6D5081C6">
            <w:pPr>
              <w:jc w:val="lef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4F2A2C5E">
            <w:pPr>
              <w:jc w:val="left"/>
              <w:rPr>
                <w:rFonts w:hint="eastAsia" w:ascii="宋体" w:hAnsi="宋体" w:eastAsia="宋体" w:cs="宋体"/>
                <w:i w:val="0"/>
                <w:iCs w:val="0"/>
                <w:color w:val="auto"/>
                <w:sz w:val="20"/>
                <w:szCs w:val="20"/>
                <w:highlight w:val="none"/>
                <w:u w:val="none"/>
              </w:rPr>
            </w:pPr>
          </w:p>
        </w:tc>
      </w:tr>
    </w:tbl>
    <w:p w14:paraId="713DFBA6">
      <w:pP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br w:type="page"/>
      </w:r>
    </w:p>
    <w:tbl>
      <w:tblPr>
        <w:tblStyle w:val="23"/>
        <w:tblpPr w:leftFromText="180" w:rightFromText="180" w:vertAnchor="text" w:horzAnchor="page" w:tblpXSpec="center" w:tblpY="315"/>
        <w:tblOverlap w:val="never"/>
        <w:tblW w:w="1461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69"/>
        <w:gridCol w:w="1416"/>
        <w:gridCol w:w="1303"/>
        <w:gridCol w:w="4527"/>
        <w:gridCol w:w="540"/>
        <w:gridCol w:w="945"/>
        <w:gridCol w:w="1035"/>
        <w:gridCol w:w="840"/>
        <w:gridCol w:w="885"/>
        <w:gridCol w:w="885"/>
        <w:gridCol w:w="885"/>
        <w:gridCol w:w="780"/>
      </w:tblGrid>
      <w:tr w14:paraId="3C53F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 w:hRule="atLeast"/>
          <w:jc w:val="center"/>
        </w:trPr>
        <w:tc>
          <w:tcPr>
            <w:tcW w:w="11175" w:type="dxa"/>
            <w:gridSpan w:val="8"/>
            <w:tcBorders>
              <w:top w:val="nil"/>
              <w:left w:val="nil"/>
              <w:bottom w:val="nil"/>
              <w:right w:val="nil"/>
            </w:tcBorders>
            <w:shd w:val="clear" w:color="FFFFFF" w:fill="FFFFFF"/>
            <w:vAlign w:val="center"/>
          </w:tcPr>
          <w:p w14:paraId="6D34677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【表10.2.2-16】</w:t>
            </w:r>
          </w:p>
        </w:tc>
        <w:tc>
          <w:tcPr>
            <w:tcW w:w="3435" w:type="dxa"/>
            <w:gridSpan w:val="4"/>
            <w:tcBorders>
              <w:top w:val="nil"/>
              <w:left w:val="nil"/>
              <w:bottom w:val="nil"/>
              <w:right w:val="nil"/>
            </w:tcBorders>
            <w:shd w:val="clear" w:color="FFFFFF" w:fill="FFFFFF"/>
            <w:vAlign w:val="center"/>
          </w:tcPr>
          <w:p w14:paraId="246D8DC6">
            <w:pPr>
              <w:jc w:val="right"/>
              <w:rPr>
                <w:rFonts w:hint="eastAsia" w:ascii="宋体" w:hAnsi="宋体" w:eastAsia="宋体" w:cs="宋体"/>
                <w:i w:val="0"/>
                <w:iCs w:val="0"/>
                <w:color w:val="auto"/>
                <w:sz w:val="18"/>
                <w:szCs w:val="18"/>
                <w:highlight w:val="none"/>
                <w:u w:val="none"/>
              </w:rPr>
            </w:pPr>
          </w:p>
        </w:tc>
      </w:tr>
      <w:tr w14:paraId="534255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4610" w:type="dxa"/>
            <w:gridSpan w:val="12"/>
            <w:tcBorders>
              <w:top w:val="nil"/>
              <w:left w:val="nil"/>
              <w:bottom w:val="nil"/>
              <w:right w:val="nil"/>
            </w:tcBorders>
            <w:shd w:val="clear" w:color="FFFFFF" w:fill="FFFFFF"/>
            <w:vAlign w:val="center"/>
          </w:tcPr>
          <w:p w14:paraId="0DAFFF49">
            <w:pPr>
              <w:keepNext w:val="0"/>
              <w:keepLines w:val="0"/>
              <w:widowControl/>
              <w:suppressLineNumbers w:val="0"/>
              <w:jc w:val="center"/>
              <w:textAlignment w:val="center"/>
              <w:rPr>
                <w:rFonts w:hint="eastAsia" w:ascii="宋体" w:hAnsi="宋体" w:eastAsia="宋体" w:cs="宋体"/>
                <w:b/>
                <w:bCs/>
                <w:i w:val="0"/>
                <w:iCs w:val="0"/>
                <w:color w:val="auto"/>
                <w:sz w:val="40"/>
                <w:szCs w:val="40"/>
                <w:highlight w:val="none"/>
                <w:u w:val="none"/>
              </w:rPr>
            </w:pPr>
            <w:r>
              <w:rPr>
                <w:rFonts w:hint="eastAsia" w:ascii="宋体" w:hAnsi="宋体" w:eastAsia="宋体" w:cs="宋体"/>
                <w:b/>
                <w:bCs/>
                <w:i w:val="0"/>
                <w:iCs w:val="0"/>
                <w:color w:val="auto"/>
                <w:kern w:val="0"/>
                <w:sz w:val="40"/>
                <w:szCs w:val="40"/>
                <w:highlight w:val="none"/>
                <w:u w:val="none"/>
                <w:lang w:val="en-US" w:eastAsia="zh-CN" w:bidi="ar"/>
              </w:rPr>
              <w:t>分部分项工程清单与计价表</w:t>
            </w:r>
          </w:p>
        </w:tc>
      </w:tr>
      <w:tr w14:paraId="704F98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3288" w:type="dxa"/>
            <w:gridSpan w:val="3"/>
            <w:tcBorders>
              <w:top w:val="nil"/>
              <w:left w:val="nil"/>
              <w:bottom w:val="nil"/>
              <w:right w:val="nil"/>
            </w:tcBorders>
            <w:shd w:val="clear" w:color="FFFFFF" w:fill="FFFFFF"/>
            <w:vAlign w:val="bottom"/>
          </w:tcPr>
          <w:p w14:paraId="3F7677D2">
            <w:pPr>
              <w:keepNext w:val="0"/>
              <w:keepLines w:val="0"/>
              <w:widowControl/>
              <w:suppressLineNumbers w:val="0"/>
              <w:jc w:val="lef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工程名称：单项工程-配套用房建筑工程</w:t>
            </w:r>
          </w:p>
        </w:tc>
        <w:tc>
          <w:tcPr>
            <w:tcW w:w="7887" w:type="dxa"/>
            <w:gridSpan w:val="5"/>
            <w:tcBorders>
              <w:top w:val="nil"/>
              <w:left w:val="nil"/>
              <w:bottom w:val="nil"/>
              <w:right w:val="nil"/>
            </w:tcBorders>
            <w:shd w:val="clear" w:color="FFFFFF" w:fill="FFFFFF"/>
            <w:vAlign w:val="bottom"/>
          </w:tcPr>
          <w:p w14:paraId="4A78C308">
            <w:pPr>
              <w:keepNext w:val="0"/>
              <w:keepLines w:val="0"/>
              <w:widowControl/>
              <w:suppressLineNumbers w:val="0"/>
              <w:jc w:val="lef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标段：</w:t>
            </w:r>
          </w:p>
        </w:tc>
        <w:tc>
          <w:tcPr>
            <w:tcW w:w="3435" w:type="dxa"/>
            <w:gridSpan w:val="4"/>
            <w:tcBorders>
              <w:top w:val="nil"/>
              <w:left w:val="nil"/>
              <w:bottom w:val="nil"/>
              <w:right w:val="nil"/>
            </w:tcBorders>
            <w:shd w:val="clear" w:color="FFFFFF" w:fill="FFFFFF"/>
            <w:vAlign w:val="bottom"/>
          </w:tcPr>
          <w:p w14:paraId="49864501">
            <w:pPr>
              <w:keepNext w:val="0"/>
              <w:keepLines w:val="0"/>
              <w:widowControl/>
              <w:suppressLineNumbers w:val="0"/>
              <w:jc w:val="righ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第 4 页  共 7 页</w:t>
            </w:r>
          </w:p>
        </w:tc>
      </w:tr>
      <w:tr w14:paraId="6E913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569"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790C854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序号</w:t>
            </w:r>
          </w:p>
        </w:tc>
        <w:tc>
          <w:tcPr>
            <w:tcW w:w="1416"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5A3B0BF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项目编码</w:t>
            </w:r>
          </w:p>
        </w:tc>
        <w:tc>
          <w:tcPr>
            <w:tcW w:w="1303"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1D45E0C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项目名称</w:t>
            </w:r>
          </w:p>
        </w:tc>
        <w:tc>
          <w:tcPr>
            <w:tcW w:w="4527"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1C2D847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项目特征</w:t>
            </w:r>
          </w:p>
        </w:tc>
        <w:tc>
          <w:tcPr>
            <w:tcW w:w="54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3639F6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计量单位</w:t>
            </w:r>
          </w:p>
        </w:tc>
        <w:tc>
          <w:tcPr>
            <w:tcW w:w="945"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816042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工程量</w:t>
            </w:r>
          </w:p>
        </w:tc>
        <w:tc>
          <w:tcPr>
            <w:tcW w:w="4530" w:type="dxa"/>
            <w:gridSpan w:val="5"/>
            <w:tcBorders>
              <w:top w:val="single" w:color="000000" w:sz="8" w:space="0"/>
              <w:left w:val="single" w:color="000000" w:sz="4" w:space="0"/>
              <w:bottom w:val="single" w:color="000000" w:sz="4" w:space="0"/>
              <w:right w:val="single" w:color="000000" w:sz="4" w:space="0"/>
            </w:tcBorders>
            <w:shd w:val="clear" w:color="FFFFFF" w:fill="FFFFFF"/>
            <w:vAlign w:val="center"/>
          </w:tcPr>
          <w:p w14:paraId="59846CE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金额（元）</w:t>
            </w:r>
          </w:p>
        </w:tc>
        <w:tc>
          <w:tcPr>
            <w:tcW w:w="780" w:type="dxa"/>
            <w:vMerge w:val="restart"/>
            <w:tcBorders>
              <w:top w:val="single" w:color="000000" w:sz="8" w:space="0"/>
              <w:left w:val="single" w:color="000000" w:sz="4" w:space="0"/>
              <w:bottom w:val="single" w:color="000000" w:sz="4" w:space="0"/>
              <w:right w:val="single" w:color="000000" w:sz="8" w:space="0"/>
            </w:tcBorders>
            <w:shd w:val="clear" w:color="FFFFFF" w:fill="FFFFFF"/>
            <w:vAlign w:val="center"/>
          </w:tcPr>
          <w:p w14:paraId="58A6282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备注</w:t>
            </w:r>
          </w:p>
        </w:tc>
      </w:tr>
      <w:tr w14:paraId="41F8C1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569"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38DA57BE">
            <w:pPr>
              <w:jc w:val="center"/>
              <w:rPr>
                <w:rFonts w:hint="eastAsia" w:ascii="宋体" w:hAnsi="宋体" w:eastAsia="宋体" w:cs="宋体"/>
                <w:i w:val="0"/>
                <w:iCs w:val="0"/>
                <w:color w:val="auto"/>
                <w:sz w:val="20"/>
                <w:szCs w:val="20"/>
                <w:highlight w:val="none"/>
                <w:u w:val="none"/>
              </w:rPr>
            </w:pPr>
          </w:p>
        </w:tc>
        <w:tc>
          <w:tcPr>
            <w:tcW w:w="141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CA4A670">
            <w:pPr>
              <w:jc w:val="center"/>
              <w:rPr>
                <w:rFonts w:hint="eastAsia" w:ascii="宋体" w:hAnsi="宋体" w:eastAsia="宋体" w:cs="宋体"/>
                <w:i w:val="0"/>
                <w:iCs w:val="0"/>
                <w:color w:val="auto"/>
                <w:sz w:val="20"/>
                <w:szCs w:val="20"/>
                <w:highlight w:val="none"/>
                <w:u w:val="none"/>
              </w:rPr>
            </w:pPr>
          </w:p>
        </w:tc>
        <w:tc>
          <w:tcPr>
            <w:tcW w:w="1303"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9E8D55C">
            <w:pPr>
              <w:jc w:val="center"/>
              <w:rPr>
                <w:rFonts w:hint="eastAsia" w:ascii="宋体" w:hAnsi="宋体" w:eastAsia="宋体" w:cs="宋体"/>
                <w:i w:val="0"/>
                <w:iCs w:val="0"/>
                <w:color w:val="auto"/>
                <w:sz w:val="20"/>
                <w:szCs w:val="20"/>
                <w:highlight w:val="none"/>
                <w:u w:val="none"/>
              </w:rPr>
            </w:pPr>
          </w:p>
        </w:tc>
        <w:tc>
          <w:tcPr>
            <w:tcW w:w="4527"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A05DDBE">
            <w:pPr>
              <w:jc w:val="center"/>
              <w:rPr>
                <w:rFonts w:hint="eastAsia" w:ascii="宋体" w:hAnsi="宋体" w:eastAsia="宋体" w:cs="宋体"/>
                <w:i w:val="0"/>
                <w:iCs w:val="0"/>
                <w:color w:val="auto"/>
                <w:sz w:val="20"/>
                <w:szCs w:val="20"/>
                <w:highlight w:val="none"/>
                <w:u w:val="none"/>
              </w:rPr>
            </w:pPr>
          </w:p>
        </w:tc>
        <w:tc>
          <w:tcPr>
            <w:tcW w:w="54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8D58331">
            <w:pPr>
              <w:jc w:val="center"/>
              <w:rPr>
                <w:rFonts w:hint="eastAsia" w:ascii="宋体" w:hAnsi="宋体" w:eastAsia="宋体" w:cs="宋体"/>
                <w:i w:val="0"/>
                <w:iCs w:val="0"/>
                <w:color w:val="auto"/>
                <w:sz w:val="20"/>
                <w:szCs w:val="20"/>
                <w:highlight w:val="none"/>
                <w:u w:val="none"/>
              </w:rPr>
            </w:pPr>
          </w:p>
        </w:tc>
        <w:tc>
          <w:tcPr>
            <w:tcW w:w="94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38FFCD8">
            <w:pPr>
              <w:jc w:val="center"/>
              <w:rPr>
                <w:rFonts w:hint="eastAsia" w:ascii="宋体" w:hAnsi="宋体" w:eastAsia="宋体" w:cs="宋体"/>
                <w:i w:val="0"/>
                <w:iCs w:val="0"/>
                <w:color w:val="auto"/>
                <w:sz w:val="20"/>
                <w:szCs w:val="20"/>
                <w:highlight w:val="none"/>
                <w:u w:val="none"/>
              </w:rPr>
            </w:pPr>
          </w:p>
        </w:tc>
        <w:tc>
          <w:tcPr>
            <w:tcW w:w="1035"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7505FA0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综合单价</w:t>
            </w:r>
          </w:p>
        </w:tc>
        <w:tc>
          <w:tcPr>
            <w:tcW w:w="840"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27EBF0A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合价</w:t>
            </w:r>
          </w:p>
        </w:tc>
        <w:tc>
          <w:tcPr>
            <w:tcW w:w="265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523283C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其中</w:t>
            </w:r>
          </w:p>
        </w:tc>
        <w:tc>
          <w:tcPr>
            <w:tcW w:w="780" w:type="dxa"/>
            <w:vMerge w:val="continue"/>
            <w:tcBorders>
              <w:top w:val="single" w:color="000000" w:sz="8" w:space="0"/>
              <w:left w:val="single" w:color="000000" w:sz="4" w:space="0"/>
              <w:bottom w:val="single" w:color="000000" w:sz="4" w:space="0"/>
              <w:right w:val="single" w:color="000000" w:sz="8" w:space="0"/>
            </w:tcBorders>
            <w:shd w:val="clear" w:color="FFFFFF" w:fill="FFFFFF"/>
            <w:vAlign w:val="center"/>
          </w:tcPr>
          <w:p w14:paraId="6C94357D">
            <w:pPr>
              <w:jc w:val="center"/>
              <w:rPr>
                <w:rFonts w:hint="eastAsia" w:ascii="宋体" w:hAnsi="宋体" w:eastAsia="宋体" w:cs="宋体"/>
                <w:i w:val="0"/>
                <w:iCs w:val="0"/>
                <w:color w:val="auto"/>
                <w:sz w:val="20"/>
                <w:szCs w:val="20"/>
                <w:highlight w:val="none"/>
                <w:u w:val="none"/>
              </w:rPr>
            </w:pPr>
          </w:p>
        </w:tc>
      </w:tr>
      <w:tr w14:paraId="5CA806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569"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5D20C164">
            <w:pPr>
              <w:jc w:val="center"/>
              <w:rPr>
                <w:rFonts w:hint="eastAsia" w:ascii="宋体" w:hAnsi="宋体" w:eastAsia="宋体" w:cs="宋体"/>
                <w:i w:val="0"/>
                <w:iCs w:val="0"/>
                <w:color w:val="auto"/>
                <w:sz w:val="20"/>
                <w:szCs w:val="20"/>
                <w:highlight w:val="none"/>
                <w:u w:val="none"/>
              </w:rPr>
            </w:pPr>
          </w:p>
        </w:tc>
        <w:tc>
          <w:tcPr>
            <w:tcW w:w="141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DE43BBB">
            <w:pPr>
              <w:jc w:val="center"/>
              <w:rPr>
                <w:rFonts w:hint="eastAsia" w:ascii="宋体" w:hAnsi="宋体" w:eastAsia="宋体" w:cs="宋体"/>
                <w:i w:val="0"/>
                <w:iCs w:val="0"/>
                <w:color w:val="auto"/>
                <w:sz w:val="20"/>
                <w:szCs w:val="20"/>
                <w:highlight w:val="none"/>
                <w:u w:val="none"/>
              </w:rPr>
            </w:pPr>
          </w:p>
        </w:tc>
        <w:tc>
          <w:tcPr>
            <w:tcW w:w="1303"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381DF4A">
            <w:pPr>
              <w:jc w:val="center"/>
              <w:rPr>
                <w:rFonts w:hint="eastAsia" w:ascii="宋体" w:hAnsi="宋体" w:eastAsia="宋体" w:cs="宋体"/>
                <w:i w:val="0"/>
                <w:iCs w:val="0"/>
                <w:color w:val="auto"/>
                <w:sz w:val="20"/>
                <w:szCs w:val="20"/>
                <w:highlight w:val="none"/>
                <w:u w:val="none"/>
              </w:rPr>
            </w:pPr>
          </w:p>
        </w:tc>
        <w:tc>
          <w:tcPr>
            <w:tcW w:w="4527"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8111299">
            <w:pPr>
              <w:jc w:val="center"/>
              <w:rPr>
                <w:rFonts w:hint="eastAsia" w:ascii="宋体" w:hAnsi="宋体" w:eastAsia="宋体" w:cs="宋体"/>
                <w:i w:val="0"/>
                <w:iCs w:val="0"/>
                <w:color w:val="auto"/>
                <w:sz w:val="20"/>
                <w:szCs w:val="20"/>
                <w:highlight w:val="none"/>
                <w:u w:val="none"/>
              </w:rPr>
            </w:pPr>
          </w:p>
        </w:tc>
        <w:tc>
          <w:tcPr>
            <w:tcW w:w="54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109E165">
            <w:pPr>
              <w:jc w:val="center"/>
              <w:rPr>
                <w:rFonts w:hint="eastAsia" w:ascii="宋体" w:hAnsi="宋体" w:eastAsia="宋体" w:cs="宋体"/>
                <w:i w:val="0"/>
                <w:iCs w:val="0"/>
                <w:color w:val="auto"/>
                <w:sz w:val="20"/>
                <w:szCs w:val="20"/>
                <w:highlight w:val="none"/>
                <w:u w:val="none"/>
              </w:rPr>
            </w:pPr>
          </w:p>
        </w:tc>
        <w:tc>
          <w:tcPr>
            <w:tcW w:w="94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FB15563">
            <w:pPr>
              <w:jc w:val="center"/>
              <w:rPr>
                <w:rFonts w:hint="eastAsia" w:ascii="宋体" w:hAnsi="宋体" w:eastAsia="宋体" w:cs="宋体"/>
                <w:i w:val="0"/>
                <w:iCs w:val="0"/>
                <w:color w:val="auto"/>
                <w:sz w:val="20"/>
                <w:szCs w:val="20"/>
                <w:highlight w:val="none"/>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46B8C6B8">
            <w:pPr>
              <w:jc w:val="center"/>
              <w:rPr>
                <w:rFonts w:hint="eastAsia" w:ascii="宋体" w:hAnsi="宋体" w:eastAsia="宋体" w:cs="宋体"/>
                <w:i w:val="0"/>
                <w:iCs w:val="0"/>
                <w:color w:val="auto"/>
                <w:sz w:val="20"/>
                <w:szCs w:val="20"/>
                <w:highlight w:val="none"/>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26AEC5F0">
            <w:pPr>
              <w:jc w:val="center"/>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15566E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人工费</w:t>
            </w: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6D3D9E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机械费</w:t>
            </w: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7B829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暂估价</w:t>
            </w:r>
          </w:p>
        </w:tc>
        <w:tc>
          <w:tcPr>
            <w:tcW w:w="780" w:type="dxa"/>
            <w:vMerge w:val="continue"/>
            <w:tcBorders>
              <w:top w:val="single" w:color="000000" w:sz="8" w:space="0"/>
              <w:left w:val="single" w:color="000000" w:sz="4" w:space="0"/>
              <w:bottom w:val="single" w:color="000000" w:sz="4" w:space="0"/>
              <w:right w:val="single" w:color="000000" w:sz="8" w:space="0"/>
            </w:tcBorders>
            <w:shd w:val="clear" w:color="FFFFFF" w:fill="FFFFFF"/>
            <w:vAlign w:val="center"/>
          </w:tcPr>
          <w:p w14:paraId="7C78A530">
            <w:pPr>
              <w:jc w:val="center"/>
              <w:rPr>
                <w:rFonts w:hint="eastAsia" w:ascii="宋体" w:hAnsi="宋体" w:eastAsia="宋体" w:cs="宋体"/>
                <w:i w:val="0"/>
                <w:iCs w:val="0"/>
                <w:color w:val="auto"/>
                <w:sz w:val="20"/>
                <w:szCs w:val="20"/>
                <w:highlight w:val="none"/>
                <w:u w:val="none"/>
              </w:rPr>
            </w:pPr>
          </w:p>
        </w:tc>
      </w:tr>
      <w:tr w14:paraId="166D60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56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54261C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w:t>
            </w: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851EB1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010801004001</w:t>
            </w:r>
          </w:p>
        </w:tc>
        <w:tc>
          <w:tcPr>
            <w:tcW w:w="130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616102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木质防火门</w:t>
            </w:r>
          </w:p>
        </w:tc>
        <w:tc>
          <w:tcPr>
            <w:tcW w:w="452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FFBD63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1.木质甲级防火门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2.含防火锁、闭门器、合页、防烟条、插销等相关五金配件及油漆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3.具体做法详见图纸</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607875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4D78BE3">
            <w:pPr>
              <w:keepNext w:val="0"/>
              <w:keepLines w:val="0"/>
              <w:widowControl/>
              <w:suppressLineNumbers w:val="0"/>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18.24</w:t>
            </w: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203ACD5">
            <w:pPr>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E033E9D">
            <w:pPr>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E27D09C">
            <w:pPr>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F604CCF">
            <w:pPr>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CE51B7C">
            <w:pPr>
              <w:jc w:val="righ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5E353C9">
            <w:pPr>
              <w:jc w:val="left"/>
              <w:rPr>
                <w:rFonts w:hint="eastAsia" w:ascii="宋体" w:hAnsi="宋体" w:eastAsia="宋体" w:cs="宋体"/>
                <w:i w:val="0"/>
                <w:iCs w:val="0"/>
                <w:color w:val="auto"/>
                <w:sz w:val="20"/>
                <w:szCs w:val="20"/>
                <w:highlight w:val="none"/>
                <w:u w:val="none"/>
              </w:rPr>
            </w:pPr>
          </w:p>
        </w:tc>
      </w:tr>
      <w:tr w14:paraId="464A76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56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969941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w:t>
            </w: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D84AAF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010807001001</w:t>
            </w:r>
          </w:p>
        </w:tc>
        <w:tc>
          <w:tcPr>
            <w:tcW w:w="130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C0554A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金属（塑钢、断桥）窗</w:t>
            </w:r>
          </w:p>
        </w:tc>
        <w:tc>
          <w:tcPr>
            <w:tcW w:w="452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AF01FA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1.窗代号及洞口尺寸:80系列 铝合金推拉门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2.玻璃品种、厚度:8mm钢化玻璃</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3.含五金、制作、安装，具体做法详见图纸</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4.安全玻璃的采用要求详见门窗设计说明</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6E90C8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F73C4E0">
            <w:pPr>
              <w:keepNext w:val="0"/>
              <w:keepLines w:val="0"/>
              <w:widowControl/>
              <w:suppressLineNumbers w:val="0"/>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18.9</w:t>
            </w: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14F2913">
            <w:pPr>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088B658">
            <w:pPr>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89892F5">
            <w:pPr>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EFBB3D9">
            <w:pPr>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7E6589E">
            <w:pPr>
              <w:jc w:val="righ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7B241120">
            <w:pPr>
              <w:jc w:val="left"/>
              <w:rPr>
                <w:rFonts w:hint="eastAsia" w:ascii="宋体" w:hAnsi="宋体" w:eastAsia="宋体" w:cs="宋体"/>
                <w:i w:val="0"/>
                <w:iCs w:val="0"/>
                <w:color w:val="auto"/>
                <w:sz w:val="20"/>
                <w:szCs w:val="20"/>
                <w:highlight w:val="none"/>
                <w:u w:val="none"/>
              </w:rPr>
            </w:pPr>
          </w:p>
        </w:tc>
      </w:tr>
      <w:tr w14:paraId="340017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56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C35101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w:t>
            </w: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76503A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010807004001</w:t>
            </w:r>
          </w:p>
        </w:tc>
        <w:tc>
          <w:tcPr>
            <w:tcW w:w="130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78C21B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金属纱窗</w:t>
            </w:r>
          </w:p>
        </w:tc>
        <w:tc>
          <w:tcPr>
            <w:tcW w:w="452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F1CC5E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3*3mm不锈钢纱网</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4747CE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754594">
            <w:pPr>
              <w:keepNext w:val="0"/>
              <w:keepLines w:val="0"/>
              <w:widowControl/>
              <w:suppressLineNumbers w:val="0"/>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18.9</w:t>
            </w: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3B5A0D4">
            <w:pPr>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472416C">
            <w:pPr>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0D6EB57">
            <w:pPr>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F691A8B">
            <w:pPr>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DA4F3AE">
            <w:pPr>
              <w:jc w:val="righ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5C19FCF1">
            <w:pPr>
              <w:jc w:val="left"/>
              <w:rPr>
                <w:rFonts w:hint="eastAsia" w:ascii="宋体" w:hAnsi="宋体" w:eastAsia="宋体" w:cs="宋体"/>
                <w:i w:val="0"/>
                <w:iCs w:val="0"/>
                <w:color w:val="auto"/>
                <w:sz w:val="20"/>
                <w:szCs w:val="20"/>
                <w:highlight w:val="none"/>
                <w:u w:val="none"/>
              </w:rPr>
            </w:pPr>
          </w:p>
        </w:tc>
      </w:tr>
      <w:tr w14:paraId="2116C1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6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1B0156A">
            <w:pPr>
              <w:jc w:val="right"/>
              <w:rPr>
                <w:rFonts w:hint="eastAsia" w:ascii="宋体" w:hAnsi="宋体" w:eastAsia="宋体" w:cs="宋体"/>
                <w:i w:val="0"/>
                <w:iCs w:val="0"/>
                <w:color w:val="auto"/>
                <w:sz w:val="20"/>
                <w:szCs w:val="20"/>
                <w:highlight w:val="none"/>
                <w:u w:val="none"/>
              </w:rPr>
            </w:pP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EC053A5">
            <w:pPr>
              <w:jc w:val="center"/>
              <w:rPr>
                <w:rFonts w:hint="eastAsia" w:ascii="宋体" w:hAnsi="宋体" w:eastAsia="宋体" w:cs="宋体"/>
                <w:i w:val="0"/>
                <w:iCs w:val="0"/>
                <w:color w:val="auto"/>
                <w:sz w:val="20"/>
                <w:szCs w:val="20"/>
                <w:highlight w:val="none"/>
                <w:u w:val="none"/>
              </w:rPr>
            </w:pPr>
          </w:p>
        </w:tc>
        <w:tc>
          <w:tcPr>
            <w:tcW w:w="130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E872BE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屋面及防水工程</w:t>
            </w:r>
          </w:p>
        </w:tc>
        <w:tc>
          <w:tcPr>
            <w:tcW w:w="452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143D98E">
            <w:pPr>
              <w:jc w:val="left"/>
              <w:rPr>
                <w:rFonts w:hint="eastAsia" w:ascii="宋体" w:hAnsi="宋体" w:eastAsia="宋体" w:cs="宋体"/>
                <w:i w:val="0"/>
                <w:iCs w:val="0"/>
                <w:color w:val="auto"/>
                <w:sz w:val="20"/>
                <w:szCs w:val="20"/>
                <w:highlight w:val="none"/>
                <w:u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CAA45BC">
            <w:pPr>
              <w:jc w:val="left"/>
              <w:rPr>
                <w:rFonts w:hint="eastAsia" w:ascii="宋体" w:hAnsi="宋体" w:eastAsia="宋体" w:cs="宋体"/>
                <w:i w:val="0"/>
                <w:iCs w:val="0"/>
                <w:color w:val="auto"/>
                <w:sz w:val="20"/>
                <w:szCs w:val="20"/>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EB3AC1B">
            <w:pPr>
              <w:jc w:val="left"/>
              <w:rPr>
                <w:rFonts w:hint="eastAsia" w:ascii="宋体" w:hAnsi="宋体" w:eastAsia="宋体" w:cs="宋体"/>
                <w:i w:val="0"/>
                <w:iCs w:val="0"/>
                <w:color w:val="auto"/>
                <w:sz w:val="20"/>
                <w:szCs w:val="20"/>
                <w:highlight w:val="none"/>
                <w:u w:val="none"/>
              </w:rPr>
            </w:pP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CDDE7E8">
            <w:pPr>
              <w:jc w:val="lef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DFB9136">
            <w:pPr>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A2FB456">
            <w:pPr>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5B844F0">
            <w:pPr>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9E20EDD">
            <w:pPr>
              <w:jc w:val="lef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42F5C9A">
            <w:pPr>
              <w:jc w:val="left"/>
              <w:rPr>
                <w:rFonts w:hint="eastAsia" w:ascii="宋体" w:hAnsi="宋体" w:eastAsia="宋体" w:cs="宋体"/>
                <w:i w:val="0"/>
                <w:iCs w:val="0"/>
                <w:color w:val="auto"/>
                <w:sz w:val="20"/>
                <w:szCs w:val="20"/>
                <w:highlight w:val="none"/>
                <w:u w:val="none"/>
              </w:rPr>
            </w:pPr>
          </w:p>
        </w:tc>
      </w:tr>
      <w:tr w14:paraId="14A331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jc w:val="center"/>
        </w:trPr>
        <w:tc>
          <w:tcPr>
            <w:tcW w:w="10335" w:type="dxa"/>
            <w:gridSpan w:val="7"/>
            <w:tcBorders>
              <w:top w:val="single" w:color="000000" w:sz="4" w:space="0"/>
              <w:left w:val="single" w:color="000000" w:sz="8" w:space="0"/>
              <w:bottom w:val="single" w:color="000000" w:sz="8" w:space="0"/>
              <w:right w:val="single" w:color="000000" w:sz="4" w:space="0"/>
            </w:tcBorders>
            <w:shd w:val="clear" w:color="FFFFFF" w:fill="FFFFFF"/>
            <w:vAlign w:val="center"/>
          </w:tcPr>
          <w:p w14:paraId="648627E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本页小计</w:t>
            </w:r>
          </w:p>
        </w:tc>
        <w:tc>
          <w:tcPr>
            <w:tcW w:w="840"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6B2D964F">
            <w:pPr>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4C5FCCBD">
            <w:pPr>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40E78235">
            <w:pPr>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515E02F6">
            <w:pPr>
              <w:jc w:val="lef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41ED93C5">
            <w:pPr>
              <w:jc w:val="left"/>
              <w:rPr>
                <w:rFonts w:hint="eastAsia" w:ascii="宋体" w:hAnsi="宋体" w:eastAsia="宋体" w:cs="宋体"/>
                <w:i w:val="0"/>
                <w:iCs w:val="0"/>
                <w:color w:val="auto"/>
                <w:sz w:val="20"/>
                <w:szCs w:val="20"/>
                <w:highlight w:val="none"/>
                <w:u w:val="none"/>
              </w:rPr>
            </w:pPr>
          </w:p>
        </w:tc>
      </w:tr>
    </w:tbl>
    <w:p w14:paraId="57FA6C37">
      <w:pPr>
        <w:rPr>
          <w:rFonts w:hint="eastAsia" w:ascii="宋体" w:hAnsi="宋体" w:eastAsia="宋体" w:cs="宋体"/>
          <w:color w:val="auto"/>
          <w:kern w:val="2"/>
          <w:sz w:val="24"/>
          <w:szCs w:val="24"/>
          <w:highlight w:val="none"/>
          <w:lang w:val="en-US" w:eastAsia="zh-CN" w:bidi="ar-SA"/>
        </w:rPr>
      </w:pPr>
    </w:p>
    <w:p w14:paraId="0E8DE1E0">
      <w:pP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br w:type="page"/>
      </w:r>
    </w:p>
    <w:p w14:paraId="0F3FF525">
      <w:pPr>
        <w:widowControl/>
        <w:ind w:left="42" w:right="42"/>
        <w:jc w:val="both"/>
        <w:rPr>
          <w:rFonts w:hint="eastAsia" w:ascii="宋体" w:hAnsi="宋体" w:eastAsia="宋体" w:cs="宋体"/>
          <w:color w:val="auto"/>
          <w:kern w:val="2"/>
          <w:sz w:val="24"/>
          <w:szCs w:val="24"/>
          <w:highlight w:val="none"/>
          <w:lang w:val="en-US" w:eastAsia="zh-CN" w:bidi="ar-SA"/>
        </w:rPr>
        <w:sectPr>
          <w:pgSz w:w="16838" w:h="11906" w:orient="landscape"/>
          <w:pgMar w:top="1803" w:right="1440" w:bottom="1803" w:left="1440" w:header="851" w:footer="992" w:gutter="0"/>
          <w:pgBorders>
            <w:top w:val="none" w:sz="0" w:space="0"/>
            <w:left w:val="none" w:sz="0" w:space="0"/>
            <w:bottom w:val="none" w:sz="0" w:space="0"/>
            <w:right w:val="none" w:sz="0" w:space="0"/>
          </w:pgBorders>
          <w:pgNumType w:fmt="decimal"/>
          <w:cols w:space="0" w:num="1"/>
          <w:rtlGutter w:val="0"/>
          <w:docGrid w:type="lines" w:linePitch="319" w:charSpace="0"/>
        </w:sectPr>
      </w:pPr>
    </w:p>
    <w:tbl>
      <w:tblPr>
        <w:tblStyle w:val="23"/>
        <w:tblW w:w="1461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69"/>
        <w:gridCol w:w="1416"/>
        <w:gridCol w:w="1303"/>
        <w:gridCol w:w="4527"/>
        <w:gridCol w:w="540"/>
        <w:gridCol w:w="945"/>
        <w:gridCol w:w="1035"/>
        <w:gridCol w:w="840"/>
        <w:gridCol w:w="885"/>
        <w:gridCol w:w="885"/>
        <w:gridCol w:w="885"/>
        <w:gridCol w:w="780"/>
      </w:tblGrid>
      <w:tr w14:paraId="7109B8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 w:hRule="atLeast"/>
          <w:jc w:val="center"/>
        </w:trPr>
        <w:tc>
          <w:tcPr>
            <w:tcW w:w="11175" w:type="dxa"/>
            <w:gridSpan w:val="8"/>
            <w:tcBorders>
              <w:top w:val="nil"/>
              <w:left w:val="nil"/>
              <w:bottom w:val="nil"/>
              <w:right w:val="nil"/>
            </w:tcBorders>
            <w:shd w:val="clear" w:color="FFFFFF" w:fill="FFFFFF"/>
            <w:vAlign w:val="center"/>
          </w:tcPr>
          <w:p w14:paraId="0A1B2A0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【表10.2.2-16】</w:t>
            </w:r>
          </w:p>
        </w:tc>
        <w:tc>
          <w:tcPr>
            <w:tcW w:w="3435" w:type="dxa"/>
            <w:gridSpan w:val="4"/>
            <w:tcBorders>
              <w:top w:val="nil"/>
              <w:left w:val="nil"/>
              <w:bottom w:val="nil"/>
              <w:right w:val="nil"/>
            </w:tcBorders>
            <w:shd w:val="clear" w:color="FFFFFF" w:fill="FFFFFF"/>
            <w:vAlign w:val="center"/>
          </w:tcPr>
          <w:p w14:paraId="1665E361">
            <w:pPr>
              <w:jc w:val="right"/>
              <w:rPr>
                <w:rFonts w:hint="eastAsia" w:ascii="宋体" w:hAnsi="宋体" w:eastAsia="宋体" w:cs="宋体"/>
                <w:i w:val="0"/>
                <w:iCs w:val="0"/>
                <w:color w:val="auto"/>
                <w:sz w:val="18"/>
                <w:szCs w:val="18"/>
                <w:highlight w:val="none"/>
                <w:u w:val="none"/>
              </w:rPr>
            </w:pPr>
          </w:p>
        </w:tc>
      </w:tr>
      <w:tr w14:paraId="5F6F79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14610" w:type="dxa"/>
            <w:gridSpan w:val="12"/>
            <w:tcBorders>
              <w:top w:val="nil"/>
              <w:left w:val="nil"/>
              <w:bottom w:val="nil"/>
              <w:right w:val="nil"/>
            </w:tcBorders>
            <w:shd w:val="clear" w:color="FFFFFF" w:fill="FFFFFF"/>
            <w:vAlign w:val="center"/>
          </w:tcPr>
          <w:p w14:paraId="4C02580C">
            <w:pPr>
              <w:keepNext w:val="0"/>
              <w:keepLines w:val="0"/>
              <w:widowControl/>
              <w:suppressLineNumbers w:val="0"/>
              <w:jc w:val="center"/>
              <w:textAlignment w:val="center"/>
              <w:rPr>
                <w:rFonts w:hint="eastAsia" w:ascii="宋体" w:hAnsi="宋体" w:eastAsia="宋体" w:cs="宋体"/>
                <w:b/>
                <w:bCs/>
                <w:i w:val="0"/>
                <w:iCs w:val="0"/>
                <w:color w:val="auto"/>
                <w:sz w:val="40"/>
                <w:szCs w:val="40"/>
                <w:highlight w:val="none"/>
                <w:u w:val="none"/>
              </w:rPr>
            </w:pPr>
            <w:r>
              <w:rPr>
                <w:rFonts w:hint="eastAsia" w:ascii="宋体" w:hAnsi="宋体" w:eastAsia="宋体" w:cs="宋体"/>
                <w:b/>
                <w:bCs/>
                <w:i w:val="0"/>
                <w:iCs w:val="0"/>
                <w:color w:val="auto"/>
                <w:kern w:val="0"/>
                <w:sz w:val="40"/>
                <w:szCs w:val="40"/>
                <w:highlight w:val="none"/>
                <w:u w:val="none"/>
                <w:lang w:val="en-US" w:eastAsia="zh-CN" w:bidi="ar"/>
              </w:rPr>
              <w:t>分部分项工程清单与计价表</w:t>
            </w:r>
          </w:p>
        </w:tc>
      </w:tr>
      <w:tr w14:paraId="6D36D6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3285" w:type="dxa"/>
            <w:gridSpan w:val="3"/>
            <w:tcBorders>
              <w:top w:val="nil"/>
              <w:left w:val="nil"/>
              <w:bottom w:val="nil"/>
              <w:right w:val="nil"/>
            </w:tcBorders>
            <w:shd w:val="clear" w:color="FFFFFF" w:fill="FFFFFF"/>
            <w:vAlign w:val="bottom"/>
          </w:tcPr>
          <w:p w14:paraId="74D9A4E5">
            <w:pPr>
              <w:keepNext w:val="0"/>
              <w:keepLines w:val="0"/>
              <w:widowControl/>
              <w:suppressLineNumbers w:val="0"/>
              <w:jc w:val="lef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工程名称：单项工程-配套用房建筑工程</w:t>
            </w:r>
          </w:p>
        </w:tc>
        <w:tc>
          <w:tcPr>
            <w:tcW w:w="7890" w:type="dxa"/>
            <w:gridSpan w:val="5"/>
            <w:tcBorders>
              <w:top w:val="nil"/>
              <w:left w:val="nil"/>
              <w:bottom w:val="nil"/>
              <w:right w:val="nil"/>
            </w:tcBorders>
            <w:shd w:val="clear" w:color="FFFFFF" w:fill="FFFFFF"/>
            <w:vAlign w:val="bottom"/>
          </w:tcPr>
          <w:p w14:paraId="0DA3F8F9">
            <w:pPr>
              <w:keepNext w:val="0"/>
              <w:keepLines w:val="0"/>
              <w:widowControl/>
              <w:suppressLineNumbers w:val="0"/>
              <w:jc w:val="lef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标段：</w:t>
            </w:r>
          </w:p>
        </w:tc>
        <w:tc>
          <w:tcPr>
            <w:tcW w:w="3435" w:type="dxa"/>
            <w:gridSpan w:val="4"/>
            <w:tcBorders>
              <w:top w:val="nil"/>
              <w:left w:val="nil"/>
              <w:bottom w:val="nil"/>
              <w:right w:val="nil"/>
            </w:tcBorders>
            <w:shd w:val="clear" w:color="FFFFFF" w:fill="FFFFFF"/>
            <w:vAlign w:val="bottom"/>
          </w:tcPr>
          <w:p w14:paraId="057C3E84">
            <w:pPr>
              <w:keepNext w:val="0"/>
              <w:keepLines w:val="0"/>
              <w:widowControl/>
              <w:suppressLineNumbers w:val="0"/>
              <w:jc w:val="righ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第 5 页  共 7 页</w:t>
            </w:r>
          </w:p>
        </w:tc>
      </w:tr>
      <w:tr w14:paraId="78D62E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570"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3554F3D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序号</w:t>
            </w:r>
          </w:p>
        </w:tc>
        <w:tc>
          <w:tcPr>
            <w:tcW w:w="141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10BC2D3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项目编码</w:t>
            </w:r>
          </w:p>
        </w:tc>
        <w:tc>
          <w:tcPr>
            <w:tcW w:w="1305"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45BBA9D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项目名称</w:t>
            </w:r>
          </w:p>
        </w:tc>
        <w:tc>
          <w:tcPr>
            <w:tcW w:w="453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76AB5F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项目特征</w:t>
            </w:r>
          </w:p>
        </w:tc>
        <w:tc>
          <w:tcPr>
            <w:tcW w:w="54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6BE5388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计量单位</w:t>
            </w:r>
          </w:p>
        </w:tc>
        <w:tc>
          <w:tcPr>
            <w:tcW w:w="945"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5F133F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工程量</w:t>
            </w:r>
          </w:p>
        </w:tc>
        <w:tc>
          <w:tcPr>
            <w:tcW w:w="4530" w:type="dxa"/>
            <w:gridSpan w:val="5"/>
            <w:tcBorders>
              <w:top w:val="single" w:color="000000" w:sz="8" w:space="0"/>
              <w:left w:val="single" w:color="000000" w:sz="4" w:space="0"/>
              <w:bottom w:val="single" w:color="000000" w:sz="4" w:space="0"/>
              <w:right w:val="single" w:color="000000" w:sz="4" w:space="0"/>
            </w:tcBorders>
            <w:shd w:val="clear" w:color="FFFFFF" w:fill="FFFFFF"/>
            <w:vAlign w:val="center"/>
          </w:tcPr>
          <w:p w14:paraId="51AF531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金额（元）</w:t>
            </w:r>
          </w:p>
        </w:tc>
        <w:tc>
          <w:tcPr>
            <w:tcW w:w="780" w:type="dxa"/>
            <w:vMerge w:val="restart"/>
            <w:tcBorders>
              <w:top w:val="single" w:color="000000" w:sz="8" w:space="0"/>
              <w:left w:val="single" w:color="000000" w:sz="4" w:space="0"/>
              <w:bottom w:val="single" w:color="000000" w:sz="4" w:space="0"/>
              <w:right w:val="single" w:color="000000" w:sz="8" w:space="0"/>
            </w:tcBorders>
            <w:shd w:val="clear" w:color="FFFFFF" w:fill="FFFFFF"/>
            <w:vAlign w:val="center"/>
          </w:tcPr>
          <w:p w14:paraId="04BEE3D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备注</w:t>
            </w:r>
          </w:p>
        </w:tc>
      </w:tr>
      <w:tr w14:paraId="38DE00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57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7C3B0189">
            <w:pPr>
              <w:jc w:val="center"/>
              <w:rPr>
                <w:rFonts w:hint="eastAsia" w:ascii="宋体" w:hAnsi="宋体" w:eastAsia="宋体" w:cs="宋体"/>
                <w:i w:val="0"/>
                <w:iCs w:val="0"/>
                <w:color w:val="auto"/>
                <w:sz w:val="20"/>
                <w:szCs w:val="20"/>
                <w:highlight w:val="none"/>
                <w:u w:val="none"/>
              </w:rPr>
            </w:pPr>
          </w:p>
        </w:tc>
        <w:tc>
          <w:tcPr>
            <w:tcW w:w="141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20213CE">
            <w:pPr>
              <w:jc w:val="center"/>
              <w:rPr>
                <w:rFonts w:hint="eastAsia" w:ascii="宋体" w:hAnsi="宋体" w:eastAsia="宋体" w:cs="宋体"/>
                <w:i w:val="0"/>
                <w:iCs w:val="0"/>
                <w:color w:val="auto"/>
                <w:sz w:val="20"/>
                <w:szCs w:val="20"/>
                <w:highlight w:val="none"/>
                <w:u w:val="none"/>
              </w:rPr>
            </w:pPr>
          </w:p>
        </w:tc>
        <w:tc>
          <w:tcPr>
            <w:tcW w:w="130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F0D5B13">
            <w:pPr>
              <w:jc w:val="center"/>
              <w:rPr>
                <w:rFonts w:hint="eastAsia" w:ascii="宋体" w:hAnsi="宋体" w:eastAsia="宋体" w:cs="宋体"/>
                <w:i w:val="0"/>
                <w:iCs w:val="0"/>
                <w:color w:val="auto"/>
                <w:sz w:val="20"/>
                <w:szCs w:val="20"/>
                <w:highlight w:val="none"/>
                <w:u w:val="none"/>
              </w:rPr>
            </w:pPr>
          </w:p>
        </w:tc>
        <w:tc>
          <w:tcPr>
            <w:tcW w:w="453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1D442EE">
            <w:pPr>
              <w:jc w:val="center"/>
              <w:rPr>
                <w:rFonts w:hint="eastAsia" w:ascii="宋体" w:hAnsi="宋体" w:eastAsia="宋体" w:cs="宋体"/>
                <w:i w:val="0"/>
                <w:iCs w:val="0"/>
                <w:color w:val="auto"/>
                <w:sz w:val="20"/>
                <w:szCs w:val="20"/>
                <w:highlight w:val="none"/>
                <w:u w:val="none"/>
              </w:rPr>
            </w:pPr>
          </w:p>
        </w:tc>
        <w:tc>
          <w:tcPr>
            <w:tcW w:w="54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36BF139">
            <w:pPr>
              <w:jc w:val="center"/>
              <w:rPr>
                <w:rFonts w:hint="eastAsia" w:ascii="宋体" w:hAnsi="宋体" w:eastAsia="宋体" w:cs="宋体"/>
                <w:i w:val="0"/>
                <w:iCs w:val="0"/>
                <w:color w:val="auto"/>
                <w:sz w:val="20"/>
                <w:szCs w:val="20"/>
                <w:highlight w:val="none"/>
                <w:u w:val="none"/>
              </w:rPr>
            </w:pPr>
          </w:p>
        </w:tc>
        <w:tc>
          <w:tcPr>
            <w:tcW w:w="94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36120EB">
            <w:pPr>
              <w:jc w:val="center"/>
              <w:rPr>
                <w:rFonts w:hint="eastAsia" w:ascii="宋体" w:hAnsi="宋体" w:eastAsia="宋体" w:cs="宋体"/>
                <w:i w:val="0"/>
                <w:iCs w:val="0"/>
                <w:color w:val="auto"/>
                <w:sz w:val="20"/>
                <w:szCs w:val="20"/>
                <w:highlight w:val="none"/>
                <w:u w:val="none"/>
              </w:rPr>
            </w:pPr>
          </w:p>
        </w:tc>
        <w:tc>
          <w:tcPr>
            <w:tcW w:w="1035"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03464A8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综合单价</w:t>
            </w:r>
          </w:p>
        </w:tc>
        <w:tc>
          <w:tcPr>
            <w:tcW w:w="840"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52CF306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合价</w:t>
            </w:r>
          </w:p>
        </w:tc>
        <w:tc>
          <w:tcPr>
            <w:tcW w:w="265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5E23C31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其中</w:t>
            </w:r>
          </w:p>
        </w:tc>
        <w:tc>
          <w:tcPr>
            <w:tcW w:w="780" w:type="dxa"/>
            <w:vMerge w:val="continue"/>
            <w:tcBorders>
              <w:top w:val="single" w:color="000000" w:sz="8" w:space="0"/>
              <w:left w:val="single" w:color="000000" w:sz="4" w:space="0"/>
              <w:bottom w:val="single" w:color="000000" w:sz="4" w:space="0"/>
              <w:right w:val="single" w:color="000000" w:sz="8" w:space="0"/>
            </w:tcBorders>
            <w:shd w:val="clear" w:color="FFFFFF" w:fill="FFFFFF"/>
            <w:vAlign w:val="center"/>
          </w:tcPr>
          <w:p w14:paraId="7C3A0F3E">
            <w:pPr>
              <w:jc w:val="center"/>
              <w:rPr>
                <w:rFonts w:hint="eastAsia" w:ascii="宋体" w:hAnsi="宋体" w:eastAsia="宋体" w:cs="宋体"/>
                <w:i w:val="0"/>
                <w:iCs w:val="0"/>
                <w:color w:val="auto"/>
                <w:sz w:val="20"/>
                <w:szCs w:val="20"/>
                <w:highlight w:val="none"/>
                <w:u w:val="none"/>
              </w:rPr>
            </w:pPr>
          </w:p>
        </w:tc>
      </w:tr>
      <w:tr w14:paraId="65658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57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4B3B96D6">
            <w:pPr>
              <w:jc w:val="center"/>
              <w:rPr>
                <w:rFonts w:hint="eastAsia" w:ascii="宋体" w:hAnsi="宋体" w:eastAsia="宋体" w:cs="宋体"/>
                <w:i w:val="0"/>
                <w:iCs w:val="0"/>
                <w:color w:val="auto"/>
                <w:sz w:val="20"/>
                <w:szCs w:val="20"/>
                <w:highlight w:val="none"/>
                <w:u w:val="none"/>
              </w:rPr>
            </w:pPr>
          </w:p>
        </w:tc>
        <w:tc>
          <w:tcPr>
            <w:tcW w:w="141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79644E1">
            <w:pPr>
              <w:jc w:val="center"/>
              <w:rPr>
                <w:rFonts w:hint="eastAsia" w:ascii="宋体" w:hAnsi="宋体" w:eastAsia="宋体" w:cs="宋体"/>
                <w:i w:val="0"/>
                <w:iCs w:val="0"/>
                <w:color w:val="auto"/>
                <w:sz w:val="20"/>
                <w:szCs w:val="20"/>
                <w:highlight w:val="none"/>
                <w:u w:val="none"/>
              </w:rPr>
            </w:pPr>
          </w:p>
        </w:tc>
        <w:tc>
          <w:tcPr>
            <w:tcW w:w="130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750797B">
            <w:pPr>
              <w:jc w:val="center"/>
              <w:rPr>
                <w:rFonts w:hint="eastAsia" w:ascii="宋体" w:hAnsi="宋体" w:eastAsia="宋体" w:cs="宋体"/>
                <w:i w:val="0"/>
                <w:iCs w:val="0"/>
                <w:color w:val="auto"/>
                <w:sz w:val="20"/>
                <w:szCs w:val="20"/>
                <w:highlight w:val="none"/>
                <w:u w:val="none"/>
              </w:rPr>
            </w:pPr>
          </w:p>
        </w:tc>
        <w:tc>
          <w:tcPr>
            <w:tcW w:w="453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7A704C8">
            <w:pPr>
              <w:jc w:val="center"/>
              <w:rPr>
                <w:rFonts w:hint="eastAsia" w:ascii="宋体" w:hAnsi="宋体" w:eastAsia="宋体" w:cs="宋体"/>
                <w:i w:val="0"/>
                <w:iCs w:val="0"/>
                <w:color w:val="auto"/>
                <w:sz w:val="20"/>
                <w:szCs w:val="20"/>
                <w:highlight w:val="none"/>
                <w:u w:val="none"/>
              </w:rPr>
            </w:pPr>
          </w:p>
        </w:tc>
        <w:tc>
          <w:tcPr>
            <w:tcW w:w="54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08D5AC2">
            <w:pPr>
              <w:jc w:val="center"/>
              <w:rPr>
                <w:rFonts w:hint="eastAsia" w:ascii="宋体" w:hAnsi="宋体" w:eastAsia="宋体" w:cs="宋体"/>
                <w:i w:val="0"/>
                <w:iCs w:val="0"/>
                <w:color w:val="auto"/>
                <w:sz w:val="20"/>
                <w:szCs w:val="20"/>
                <w:highlight w:val="none"/>
                <w:u w:val="none"/>
              </w:rPr>
            </w:pPr>
          </w:p>
        </w:tc>
        <w:tc>
          <w:tcPr>
            <w:tcW w:w="94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5F5FE41">
            <w:pPr>
              <w:jc w:val="center"/>
              <w:rPr>
                <w:rFonts w:hint="eastAsia" w:ascii="宋体" w:hAnsi="宋体" w:eastAsia="宋体" w:cs="宋体"/>
                <w:i w:val="0"/>
                <w:iCs w:val="0"/>
                <w:color w:val="auto"/>
                <w:sz w:val="20"/>
                <w:szCs w:val="20"/>
                <w:highlight w:val="none"/>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7A3D3C01">
            <w:pPr>
              <w:jc w:val="center"/>
              <w:rPr>
                <w:rFonts w:hint="eastAsia" w:ascii="宋体" w:hAnsi="宋体" w:eastAsia="宋体" w:cs="宋体"/>
                <w:i w:val="0"/>
                <w:iCs w:val="0"/>
                <w:color w:val="auto"/>
                <w:sz w:val="20"/>
                <w:szCs w:val="20"/>
                <w:highlight w:val="none"/>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62E09B82">
            <w:pPr>
              <w:jc w:val="center"/>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DD4BE1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人工费</w:t>
            </w: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62DA6A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机械费</w:t>
            </w: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5B2BFE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暂估价</w:t>
            </w:r>
          </w:p>
        </w:tc>
        <w:tc>
          <w:tcPr>
            <w:tcW w:w="780" w:type="dxa"/>
            <w:vMerge w:val="continue"/>
            <w:tcBorders>
              <w:top w:val="single" w:color="000000" w:sz="8" w:space="0"/>
              <w:left w:val="single" w:color="000000" w:sz="4" w:space="0"/>
              <w:bottom w:val="single" w:color="000000" w:sz="4" w:space="0"/>
              <w:right w:val="single" w:color="000000" w:sz="8" w:space="0"/>
            </w:tcBorders>
            <w:shd w:val="clear" w:color="FFFFFF" w:fill="FFFFFF"/>
            <w:vAlign w:val="center"/>
          </w:tcPr>
          <w:p w14:paraId="1A39D839">
            <w:pPr>
              <w:jc w:val="center"/>
              <w:rPr>
                <w:rFonts w:hint="eastAsia" w:ascii="宋体" w:hAnsi="宋体" w:eastAsia="宋体" w:cs="宋体"/>
                <w:i w:val="0"/>
                <w:iCs w:val="0"/>
                <w:color w:val="auto"/>
                <w:sz w:val="20"/>
                <w:szCs w:val="20"/>
                <w:highlight w:val="none"/>
                <w:u w:val="none"/>
              </w:rPr>
            </w:pPr>
          </w:p>
        </w:tc>
      </w:tr>
      <w:tr w14:paraId="185DC8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0" w:hRule="atLeast"/>
          <w:jc w:val="center"/>
        </w:trPr>
        <w:tc>
          <w:tcPr>
            <w:tcW w:w="57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A6F073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4AFAB8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010901001001</w:t>
            </w: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FABE62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瓦屋面</w:t>
            </w:r>
          </w:p>
        </w:tc>
        <w:tc>
          <w:tcPr>
            <w:tcW w:w="453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637D4A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屋面</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1.砖红色混凝土瓦，挂瓦条30*30（h）防腐处理木条，中距按瓦材规格</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2.顺水条30*30（h）防腐处理木条，@500</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3.40厚C20细石混凝土持钉层，（内配ø4@200双向钢筋网与屋面预埋钢筋头绑牢）</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4.3.0厚APP聚酯胎改性沥青防水卷材Ⅰ型</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5.1.5厚聚氨酯防水涂料（涂刷基层处理剂一道）</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728A9D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4D12741">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225.66</w:t>
            </w: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05EFCF0">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E8F5621">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A0479D3">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2D5E195">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13DCDDF">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0576D56">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14AD2C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jc w:val="center"/>
        </w:trPr>
        <w:tc>
          <w:tcPr>
            <w:tcW w:w="57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5D9416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78382D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010902007001</w:t>
            </w: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C9189B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屋面天沟、檐沟</w:t>
            </w:r>
          </w:p>
        </w:tc>
        <w:tc>
          <w:tcPr>
            <w:tcW w:w="453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0EACF5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檐沟</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1.20厚1:3水泥砂浆保护层（加玻纤网格布一道）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2.1.5厚聚氨酯防水涂料</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3.15厚1：3水泥砂浆找坡找平</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688D49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B0E89D3">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13.2</w:t>
            </w: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F8DC8DD">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59EF152">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3463FCB">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371ECE9">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E1A952F">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2440E0B">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01855F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57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F810B3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0CFC07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010902003001</w:t>
            </w: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52225C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屋面刚性层</w:t>
            </w:r>
          </w:p>
        </w:tc>
        <w:tc>
          <w:tcPr>
            <w:tcW w:w="453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964CAC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雨棚处</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1.1.5厚聚氨酯防水涂料</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2.15厚1：3水泥砂浆找坡找平</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E365AA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FBC6028">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6F52288">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9D22A8D">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3458524">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AA532D4">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921FEB7">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7C1F2DAA">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002E28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57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B5B10EE">
            <w:pPr>
              <w:jc w:val="right"/>
              <w:rPr>
                <w:rFonts w:hint="eastAsia" w:ascii="宋体" w:hAnsi="宋体" w:eastAsia="宋体" w:cs="宋体"/>
                <w:i w:val="0"/>
                <w:iCs w:val="0"/>
                <w:color w:val="auto"/>
                <w:sz w:val="20"/>
                <w:szCs w:val="20"/>
                <w:highlight w:val="none"/>
                <w:u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85E585A">
            <w:pPr>
              <w:jc w:val="center"/>
              <w:rPr>
                <w:rFonts w:hint="eastAsia" w:ascii="宋体" w:hAnsi="宋体" w:eastAsia="宋体" w:cs="宋体"/>
                <w:i w:val="0"/>
                <w:iCs w:val="0"/>
                <w:color w:val="auto"/>
                <w:sz w:val="20"/>
                <w:szCs w:val="20"/>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319489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保温、隔热、防腐工程</w:t>
            </w:r>
          </w:p>
        </w:tc>
        <w:tc>
          <w:tcPr>
            <w:tcW w:w="453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0C21A5C">
            <w:pPr>
              <w:jc w:val="left"/>
              <w:rPr>
                <w:rFonts w:hint="eastAsia" w:ascii="宋体" w:hAnsi="宋体" w:eastAsia="宋体" w:cs="宋体"/>
                <w:i w:val="0"/>
                <w:iCs w:val="0"/>
                <w:color w:val="auto"/>
                <w:sz w:val="20"/>
                <w:szCs w:val="20"/>
                <w:highlight w:val="none"/>
                <w:u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B4BDE9D">
            <w:pPr>
              <w:jc w:val="left"/>
              <w:rPr>
                <w:rFonts w:hint="eastAsia" w:ascii="宋体" w:hAnsi="宋体" w:eastAsia="宋体" w:cs="宋体"/>
                <w:i w:val="0"/>
                <w:iCs w:val="0"/>
                <w:color w:val="auto"/>
                <w:sz w:val="20"/>
                <w:szCs w:val="20"/>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B6DA140">
            <w:pPr>
              <w:jc w:val="left"/>
              <w:rPr>
                <w:rFonts w:hint="eastAsia" w:ascii="宋体" w:hAnsi="宋体" w:eastAsia="宋体" w:cs="宋体"/>
                <w:i w:val="0"/>
                <w:iCs w:val="0"/>
                <w:color w:val="auto"/>
                <w:sz w:val="20"/>
                <w:szCs w:val="20"/>
                <w:highlight w:val="none"/>
                <w:u w:val="none"/>
              </w:rPr>
            </w:pP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7787D7A">
            <w:pPr>
              <w:jc w:val="lef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A52E950">
            <w:pPr>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058417C">
            <w:pPr>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F3F8413">
            <w:pPr>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797D882">
            <w:pPr>
              <w:jc w:val="lef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0CEB170A">
            <w:pPr>
              <w:jc w:val="left"/>
              <w:rPr>
                <w:rFonts w:hint="eastAsia" w:ascii="宋体" w:hAnsi="宋体" w:eastAsia="宋体" w:cs="宋体"/>
                <w:i w:val="0"/>
                <w:iCs w:val="0"/>
                <w:color w:val="auto"/>
                <w:sz w:val="20"/>
                <w:szCs w:val="20"/>
                <w:highlight w:val="none"/>
                <w:u w:val="none"/>
              </w:rPr>
            </w:pPr>
          </w:p>
        </w:tc>
      </w:tr>
      <w:tr w14:paraId="3FC80B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jc w:val="center"/>
        </w:trPr>
        <w:tc>
          <w:tcPr>
            <w:tcW w:w="10335" w:type="dxa"/>
            <w:gridSpan w:val="7"/>
            <w:tcBorders>
              <w:top w:val="single" w:color="000000" w:sz="4" w:space="0"/>
              <w:left w:val="single" w:color="000000" w:sz="8" w:space="0"/>
              <w:bottom w:val="single" w:color="000000" w:sz="8" w:space="0"/>
              <w:right w:val="single" w:color="000000" w:sz="4" w:space="0"/>
            </w:tcBorders>
            <w:shd w:val="clear" w:color="FFFFFF" w:fill="FFFFFF"/>
            <w:vAlign w:val="center"/>
          </w:tcPr>
          <w:p w14:paraId="6CB8114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本页小计</w:t>
            </w:r>
          </w:p>
        </w:tc>
        <w:tc>
          <w:tcPr>
            <w:tcW w:w="840"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4A1B1358">
            <w:pPr>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3239A2E8">
            <w:pPr>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2E867A9C">
            <w:pPr>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031B97C8">
            <w:pPr>
              <w:jc w:val="lef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07CFA3BD">
            <w:pPr>
              <w:jc w:val="left"/>
              <w:rPr>
                <w:rFonts w:hint="eastAsia" w:ascii="宋体" w:hAnsi="宋体" w:eastAsia="宋体" w:cs="宋体"/>
                <w:i w:val="0"/>
                <w:iCs w:val="0"/>
                <w:color w:val="auto"/>
                <w:sz w:val="20"/>
                <w:szCs w:val="20"/>
                <w:highlight w:val="none"/>
                <w:u w:val="none"/>
              </w:rPr>
            </w:pPr>
          </w:p>
        </w:tc>
      </w:tr>
    </w:tbl>
    <w:p w14:paraId="63126674">
      <w:pPr>
        <w:rPr>
          <w:rFonts w:hint="eastAsia" w:ascii="宋体" w:hAnsi="宋体" w:eastAsia="宋体" w:cs="宋体"/>
          <w:color w:val="auto"/>
          <w:kern w:val="2"/>
          <w:sz w:val="24"/>
          <w:szCs w:val="24"/>
          <w:highlight w:val="none"/>
          <w:lang w:val="en-US" w:eastAsia="zh-CN" w:bidi="ar-SA"/>
        </w:rPr>
        <w:sectPr>
          <w:pgSz w:w="16838" w:h="11906" w:orient="landscape"/>
          <w:pgMar w:top="1803" w:right="1440" w:bottom="1803" w:left="1440" w:header="851" w:footer="992" w:gutter="0"/>
          <w:pgBorders>
            <w:top w:val="none" w:sz="0" w:space="0"/>
            <w:left w:val="none" w:sz="0" w:space="0"/>
            <w:bottom w:val="none" w:sz="0" w:space="0"/>
            <w:right w:val="none" w:sz="0" w:space="0"/>
          </w:pgBorders>
          <w:pgNumType w:fmt="decimal"/>
          <w:cols w:space="0" w:num="1"/>
          <w:rtlGutter w:val="0"/>
          <w:docGrid w:type="lines" w:linePitch="319" w:charSpace="0"/>
        </w:sectPr>
      </w:pPr>
    </w:p>
    <w:tbl>
      <w:tblPr>
        <w:tblStyle w:val="23"/>
        <w:tblW w:w="147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69"/>
        <w:gridCol w:w="1416"/>
        <w:gridCol w:w="1757"/>
        <w:gridCol w:w="4163"/>
        <w:gridCol w:w="540"/>
        <w:gridCol w:w="945"/>
        <w:gridCol w:w="1035"/>
        <w:gridCol w:w="840"/>
        <w:gridCol w:w="885"/>
        <w:gridCol w:w="885"/>
        <w:gridCol w:w="885"/>
        <w:gridCol w:w="780"/>
      </w:tblGrid>
      <w:tr w14:paraId="4DC897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 w:hRule="atLeast"/>
        </w:trPr>
        <w:tc>
          <w:tcPr>
            <w:tcW w:w="11265" w:type="dxa"/>
            <w:gridSpan w:val="8"/>
            <w:tcBorders>
              <w:top w:val="nil"/>
              <w:left w:val="nil"/>
              <w:bottom w:val="nil"/>
              <w:right w:val="nil"/>
            </w:tcBorders>
            <w:shd w:val="clear" w:color="FFFFFF" w:fill="FFFFFF"/>
            <w:vAlign w:val="center"/>
          </w:tcPr>
          <w:p w14:paraId="235A5B6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【表10.2.2-16】</w:t>
            </w:r>
          </w:p>
        </w:tc>
        <w:tc>
          <w:tcPr>
            <w:tcW w:w="3435" w:type="dxa"/>
            <w:gridSpan w:val="4"/>
            <w:tcBorders>
              <w:top w:val="nil"/>
              <w:left w:val="nil"/>
              <w:bottom w:val="nil"/>
              <w:right w:val="nil"/>
            </w:tcBorders>
            <w:shd w:val="clear" w:color="FFFFFF" w:fill="FFFFFF"/>
            <w:vAlign w:val="center"/>
          </w:tcPr>
          <w:p w14:paraId="230561EC">
            <w:pPr>
              <w:jc w:val="right"/>
              <w:rPr>
                <w:rFonts w:hint="eastAsia" w:ascii="宋体" w:hAnsi="宋体" w:eastAsia="宋体" w:cs="宋体"/>
                <w:i w:val="0"/>
                <w:iCs w:val="0"/>
                <w:color w:val="auto"/>
                <w:sz w:val="18"/>
                <w:szCs w:val="18"/>
                <w:highlight w:val="none"/>
                <w:u w:val="none"/>
              </w:rPr>
            </w:pPr>
          </w:p>
        </w:tc>
      </w:tr>
      <w:tr w14:paraId="44B862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14700" w:type="dxa"/>
            <w:gridSpan w:val="12"/>
            <w:tcBorders>
              <w:top w:val="nil"/>
              <w:left w:val="nil"/>
              <w:bottom w:val="nil"/>
              <w:right w:val="nil"/>
            </w:tcBorders>
            <w:shd w:val="clear" w:color="FFFFFF" w:fill="FFFFFF"/>
            <w:vAlign w:val="center"/>
          </w:tcPr>
          <w:p w14:paraId="237A5218">
            <w:pPr>
              <w:keepNext w:val="0"/>
              <w:keepLines w:val="0"/>
              <w:widowControl/>
              <w:suppressLineNumbers w:val="0"/>
              <w:jc w:val="center"/>
              <w:textAlignment w:val="center"/>
              <w:rPr>
                <w:rFonts w:hint="eastAsia" w:ascii="宋体" w:hAnsi="宋体" w:eastAsia="宋体" w:cs="宋体"/>
                <w:b/>
                <w:bCs/>
                <w:i w:val="0"/>
                <w:iCs w:val="0"/>
                <w:color w:val="auto"/>
                <w:sz w:val="40"/>
                <w:szCs w:val="40"/>
                <w:highlight w:val="none"/>
                <w:u w:val="none"/>
              </w:rPr>
            </w:pPr>
            <w:r>
              <w:rPr>
                <w:rFonts w:hint="eastAsia" w:ascii="宋体" w:hAnsi="宋体" w:eastAsia="宋体" w:cs="宋体"/>
                <w:b/>
                <w:bCs/>
                <w:i w:val="0"/>
                <w:iCs w:val="0"/>
                <w:color w:val="auto"/>
                <w:kern w:val="0"/>
                <w:sz w:val="40"/>
                <w:szCs w:val="40"/>
                <w:highlight w:val="none"/>
                <w:u w:val="none"/>
                <w:lang w:val="en-US" w:eastAsia="zh-CN" w:bidi="ar"/>
              </w:rPr>
              <w:t>分部分项工程清单与计价表</w:t>
            </w:r>
          </w:p>
        </w:tc>
      </w:tr>
      <w:tr w14:paraId="579358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3742" w:type="dxa"/>
            <w:gridSpan w:val="3"/>
            <w:tcBorders>
              <w:top w:val="nil"/>
              <w:left w:val="nil"/>
              <w:bottom w:val="nil"/>
              <w:right w:val="nil"/>
            </w:tcBorders>
            <w:shd w:val="clear" w:color="FFFFFF" w:fill="FFFFFF"/>
            <w:vAlign w:val="bottom"/>
          </w:tcPr>
          <w:p w14:paraId="5FDAE91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工程名称：单项工程-配套用房建筑工程</w:t>
            </w:r>
          </w:p>
        </w:tc>
        <w:tc>
          <w:tcPr>
            <w:tcW w:w="7523" w:type="dxa"/>
            <w:gridSpan w:val="5"/>
            <w:tcBorders>
              <w:top w:val="nil"/>
              <w:left w:val="nil"/>
              <w:bottom w:val="nil"/>
              <w:right w:val="nil"/>
            </w:tcBorders>
            <w:shd w:val="clear" w:color="FFFFFF" w:fill="FFFFFF"/>
            <w:vAlign w:val="bottom"/>
          </w:tcPr>
          <w:p w14:paraId="0669D3D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标段：</w:t>
            </w:r>
          </w:p>
        </w:tc>
        <w:tc>
          <w:tcPr>
            <w:tcW w:w="3435" w:type="dxa"/>
            <w:gridSpan w:val="4"/>
            <w:tcBorders>
              <w:top w:val="nil"/>
              <w:left w:val="nil"/>
              <w:bottom w:val="nil"/>
              <w:right w:val="nil"/>
            </w:tcBorders>
            <w:shd w:val="clear" w:color="FFFFFF" w:fill="FFFFFF"/>
            <w:vAlign w:val="bottom"/>
          </w:tcPr>
          <w:p w14:paraId="15BDE2AE">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第 6 页  共 7 页</w:t>
            </w:r>
          </w:p>
        </w:tc>
      </w:tr>
      <w:tr w14:paraId="21CAD9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569"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7F4E723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序号</w:t>
            </w:r>
          </w:p>
        </w:tc>
        <w:tc>
          <w:tcPr>
            <w:tcW w:w="1416"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5B6816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项目编码</w:t>
            </w:r>
          </w:p>
        </w:tc>
        <w:tc>
          <w:tcPr>
            <w:tcW w:w="1757"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4963711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项目名称</w:t>
            </w:r>
          </w:p>
        </w:tc>
        <w:tc>
          <w:tcPr>
            <w:tcW w:w="4163"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69E7919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项目特征</w:t>
            </w:r>
          </w:p>
        </w:tc>
        <w:tc>
          <w:tcPr>
            <w:tcW w:w="54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9008A4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计量单位</w:t>
            </w:r>
          </w:p>
        </w:tc>
        <w:tc>
          <w:tcPr>
            <w:tcW w:w="945"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3DF00F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工程量</w:t>
            </w:r>
          </w:p>
        </w:tc>
        <w:tc>
          <w:tcPr>
            <w:tcW w:w="4530" w:type="dxa"/>
            <w:gridSpan w:val="5"/>
            <w:tcBorders>
              <w:top w:val="single" w:color="000000" w:sz="8" w:space="0"/>
              <w:left w:val="single" w:color="000000" w:sz="4" w:space="0"/>
              <w:bottom w:val="single" w:color="000000" w:sz="4" w:space="0"/>
              <w:right w:val="single" w:color="000000" w:sz="4" w:space="0"/>
            </w:tcBorders>
            <w:shd w:val="clear" w:color="FFFFFF" w:fill="FFFFFF"/>
            <w:vAlign w:val="center"/>
          </w:tcPr>
          <w:p w14:paraId="7F2326E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金额（元）</w:t>
            </w:r>
          </w:p>
        </w:tc>
        <w:tc>
          <w:tcPr>
            <w:tcW w:w="780" w:type="dxa"/>
            <w:vMerge w:val="restart"/>
            <w:tcBorders>
              <w:top w:val="single" w:color="000000" w:sz="8" w:space="0"/>
              <w:left w:val="single" w:color="000000" w:sz="4" w:space="0"/>
              <w:bottom w:val="single" w:color="000000" w:sz="4" w:space="0"/>
              <w:right w:val="single" w:color="000000" w:sz="8" w:space="0"/>
            </w:tcBorders>
            <w:shd w:val="clear" w:color="FFFFFF" w:fill="FFFFFF"/>
            <w:vAlign w:val="center"/>
          </w:tcPr>
          <w:p w14:paraId="60CCF5F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备注</w:t>
            </w:r>
          </w:p>
        </w:tc>
      </w:tr>
      <w:tr w14:paraId="103E27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569"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3164A466">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141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3A5749F">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1757"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93DE629">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4163"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6F0581A">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54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5CE99DD">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94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3D76431">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1035"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0CE4789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综合单价</w:t>
            </w:r>
          </w:p>
        </w:tc>
        <w:tc>
          <w:tcPr>
            <w:tcW w:w="840"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7AE75A0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合价</w:t>
            </w:r>
          </w:p>
        </w:tc>
        <w:tc>
          <w:tcPr>
            <w:tcW w:w="265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64F9A08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其中</w:t>
            </w:r>
          </w:p>
        </w:tc>
        <w:tc>
          <w:tcPr>
            <w:tcW w:w="780" w:type="dxa"/>
            <w:vMerge w:val="continue"/>
            <w:tcBorders>
              <w:top w:val="single" w:color="000000" w:sz="8" w:space="0"/>
              <w:left w:val="single" w:color="000000" w:sz="4" w:space="0"/>
              <w:bottom w:val="single" w:color="000000" w:sz="4" w:space="0"/>
              <w:right w:val="single" w:color="000000" w:sz="8" w:space="0"/>
            </w:tcBorders>
            <w:shd w:val="clear" w:color="FFFFFF" w:fill="FFFFFF"/>
            <w:vAlign w:val="center"/>
          </w:tcPr>
          <w:p w14:paraId="78A3ABF9">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r>
      <w:tr w14:paraId="131DD6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569"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4FE20649">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141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B8B5E07">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1757"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8CD7C07">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4163"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D9FC5ED">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54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36DB4DB">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94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69F4AF1">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7A0787BC">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734E9A45">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A424CC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人工费</w:t>
            </w: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2D722E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机械费</w:t>
            </w: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39A4A8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暂估价</w:t>
            </w:r>
          </w:p>
        </w:tc>
        <w:tc>
          <w:tcPr>
            <w:tcW w:w="780" w:type="dxa"/>
            <w:vMerge w:val="continue"/>
            <w:tcBorders>
              <w:top w:val="single" w:color="000000" w:sz="8" w:space="0"/>
              <w:left w:val="single" w:color="000000" w:sz="4" w:space="0"/>
              <w:bottom w:val="single" w:color="000000" w:sz="4" w:space="0"/>
              <w:right w:val="single" w:color="000000" w:sz="8" w:space="0"/>
            </w:tcBorders>
            <w:shd w:val="clear" w:color="FFFFFF" w:fill="FFFFFF"/>
            <w:vAlign w:val="center"/>
          </w:tcPr>
          <w:p w14:paraId="0077A559">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r>
      <w:tr w14:paraId="6F6BB4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56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13C182C">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14B5437">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175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EE348A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楼地面装饰工程</w:t>
            </w:r>
          </w:p>
        </w:tc>
        <w:tc>
          <w:tcPr>
            <w:tcW w:w="41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3FCCBFE">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6612B82">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68D88D6">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4239198">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E0EFE16">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C18430B">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C0A0311">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112185C">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3DEFFAB">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5697B9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56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ACB249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w:t>
            </w: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62ED1F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010404001001</w:t>
            </w:r>
          </w:p>
        </w:tc>
        <w:tc>
          <w:tcPr>
            <w:tcW w:w="175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7B0A38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垫层</w:t>
            </w:r>
          </w:p>
        </w:tc>
        <w:tc>
          <w:tcPr>
            <w:tcW w:w="41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7E9483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150厚大片石密排夯实</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ABBBB1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m3</w:t>
            </w: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71DA558">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22.79</w:t>
            </w: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1B12D9C">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76738C1">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35B3384">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6B55B2A">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7110FAA">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790C6F82">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404A9C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56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4B02C6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w:t>
            </w: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51444A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010501001002</w:t>
            </w:r>
          </w:p>
        </w:tc>
        <w:tc>
          <w:tcPr>
            <w:tcW w:w="175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E5B51A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垫层</w:t>
            </w:r>
          </w:p>
        </w:tc>
        <w:tc>
          <w:tcPr>
            <w:tcW w:w="41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F153C7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120厚C25混凝土（内配Φ6@200钢筋网片）</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F4E82A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m3</w:t>
            </w: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ACD0280">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1648.92</w:t>
            </w: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C7655FC">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D7A8A6C">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66065C0">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B6B3FB5">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21975BB">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51C39069">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407307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56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85746F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31</w:t>
            </w: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5954E5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011101001001</w:t>
            </w:r>
          </w:p>
        </w:tc>
        <w:tc>
          <w:tcPr>
            <w:tcW w:w="175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E41F67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水泥砂浆楼地面</w:t>
            </w:r>
          </w:p>
        </w:tc>
        <w:tc>
          <w:tcPr>
            <w:tcW w:w="41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08905B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20厚1：2水泥砂浆加固化剂面层</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6F86D1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EF198BF">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151.91</w:t>
            </w: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01976BD">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F788585">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88385D7">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153EA16">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816568B">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57238FD4">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512665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56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F34EE0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w:t>
            </w: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72E6F7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011105001001</w:t>
            </w:r>
          </w:p>
        </w:tc>
        <w:tc>
          <w:tcPr>
            <w:tcW w:w="175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13E32B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水泥砂浆踢脚线</w:t>
            </w:r>
          </w:p>
        </w:tc>
        <w:tc>
          <w:tcPr>
            <w:tcW w:w="41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7BC90D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20厚1：2水泥砂浆120高暗踢脚</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DA39E6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31BB143">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15.42</w:t>
            </w: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7F88EBD">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E049DD6">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CF82388">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B04103E">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2D4577">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2401582">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522E0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6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EDD37E0">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C22FEC7">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175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610F97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墙、柱面装饰与隔断、幕墙工程</w:t>
            </w:r>
          </w:p>
        </w:tc>
        <w:tc>
          <w:tcPr>
            <w:tcW w:w="41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962BE4A">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C0AD0CA">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FBC4BD6">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280ACE6">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35BFE28">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5BB46A5">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D5875E">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9C09B0B">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5B66F8D6">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1B8700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56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BA5097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w:t>
            </w: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67BA1C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011201001001</w:t>
            </w:r>
          </w:p>
        </w:tc>
        <w:tc>
          <w:tcPr>
            <w:tcW w:w="175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14563A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墙面一般抹灰</w:t>
            </w:r>
          </w:p>
        </w:tc>
        <w:tc>
          <w:tcPr>
            <w:tcW w:w="41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5F66F1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外墙</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1.1.5厚JS防水涂料Ⅱ型</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2.15厚聚合物水泥防水砂浆（干粉型）分层找平</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3.专用界面剂一道</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A5D136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3B58120">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258.24</w:t>
            </w: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6A2E080">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FA88504">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0817C05">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53B2AFC">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D641CFA">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7E6796EE">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1226CC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6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67D579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34</w:t>
            </w: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57B82B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011201001002</w:t>
            </w:r>
          </w:p>
        </w:tc>
        <w:tc>
          <w:tcPr>
            <w:tcW w:w="175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92404E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墙面一般抹灰</w:t>
            </w:r>
          </w:p>
        </w:tc>
        <w:tc>
          <w:tcPr>
            <w:tcW w:w="41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074AB6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内墙</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1.20厚1：2水泥砂浆</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B46575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4BDF65F">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553.27</w:t>
            </w: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98FC660">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77DF7BC">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1B99D75">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1C48B5F">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7530D9B">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8A32FBC">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37C42E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6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8EFEDD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w:t>
            </w: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9B8278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010607005001</w:t>
            </w:r>
          </w:p>
        </w:tc>
        <w:tc>
          <w:tcPr>
            <w:tcW w:w="175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02F9BC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砌块墙钢丝网加固</w:t>
            </w:r>
          </w:p>
        </w:tc>
        <w:tc>
          <w:tcPr>
            <w:tcW w:w="41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183675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1.材料品种、规格:热镀锌钢丝网</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81048B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0B20691">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150.77</w:t>
            </w: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E9E9F36">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FC082D2">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A0AAB87">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C474BD3">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EA45008">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3479EC8">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45A92C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56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1F40EC1">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C581EF9">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175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1193AC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天棚工程</w:t>
            </w:r>
          </w:p>
        </w:tc>
        <w:tc>
          <w:tcPr>
            <w:tcW w:w="41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77404B8">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D79D454">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414EBD1">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C89A6D9">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EC763A">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04D7073">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6E28410">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9C8B643">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44B74E4">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64E128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6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EBE3623">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29E85B6">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175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400C5A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油漆、涂料、裱糊工程</w:t>
            </w:r>
          </w:p>
        </w:tc>
        <w:tc>
          <w:tcPr>
            <w:tcW w:w="41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498160D">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ECCBA26">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9CAE6A5">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A955932">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204181A">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B13E95A">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3609AC4">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CF5FA86">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7354EB22">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2EC2B1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6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A63C2C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36</w:t>
            </w: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268374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011407001001</w:t>
            </w:r>
          </w:p>
        </w:tc>
        <w:tc>
          <w:tcPr>
            <w:tcW w:w="175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61AF1A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墙面喷刷涂料</w:t>
            </w:r>
          </w:p>
        </w:tc>
        <w:tc>
          <w:tcPr>
            <w:tcW w:w="41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6EDE1B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外墙</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1.外墙弹性涂料整套做法</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321DB8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B888C36">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258.24</w:t>
            </w: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5814C13">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415A831">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58242B7">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1179905">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F2B6909">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02B69FF1">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1F637E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10425" w:type="dxa"/>
            <w:gridSpan w:val="7"/>
            <w:tcBorders>
              <w:top w:val="single" w:color="000000" w:sz="4" w:space="0"/>
              <w:left w:val="single" w:color="000000" w:sz="8" w:space="0"/>
              <w:bottom w:val="single" w:color="000000" w:sz="8" w:space="0"/>
              <w:right w:val="single" w:color="000000" w:sz="4" w:space="0"/>
            </w:tcBorders>
            <w:shd w:val="clear" w:color="FFFFFF" w:fill="FFFFFF"/>
            <w:vAlign w:val="center"/>
          </w:tcPr>
          <w:p w14:paraId="792943B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本页小计</w:t>
            </w:r>
          </w:p>
        </w:tc>
        <w:tc>
          <w:tcPr>
            <w:tcW w:w="840"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5D2F92BA">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12ED3BFA">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5BA4BB33">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4CFCA197">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32AEF2D1">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bl>
    <w:p w14:paraId="11DFCFCA">
      <w:pPr>
        <w:rPr>
          <w:rFonts w:hint="eastAsia" w:ascii="宋体" w:hAnsi="宋体" w:eastAsia="宋体" w:cs="宋体"/>
          <w:color w:val="auto"/>
          <w:kern w:val="2"/>
          <w:sz w:val="24"/>
          <w:szCs w:val="24"/>
          <w:highlight w:val="none"/>
          <w:lang w:val="en-US" w:eastAsia="zh-CN" w:bidi="ar-SA"/>
        </w:rPr>
        <w:sectPr>
          <w:pgSz w:w="16838" w:h="11906" w:orient="landscape"/>
          <w:pgMar w:top="1803" w:right="1440" w:bottom="1803" w:left="1440" w:header="851" w:footer="992" w:gutter="0"/>
          <w:pgBorders>
            <w:top w:val="none" w:sz="0" w:space="0"/>
            <w:left w:val="none" w:sz="0" w:space="0"/>
            <w:bottom w:val="none" w:sz="0" w:space="0"/>
            <w:right w:val="none" w:sz="0" w:space="0"/>
          </w:pgBorders>
          <w:pgNumType w:fmt="decimal"/>
          <w:cols w:space="0" w:num="1"/>
          <w:rtlGutter w:val="0"/>
          <w:docGrid w:type="lines" w:linePitch="319" w:charSpace="0"/>
        </w:sectPr>
      </w:pPr>
    </w:p>
    <w:tbl>
      <w:tblPr>
        <w:tblStyle w:val="23"/>
        <w:tblW w:w="147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69"/>
        <w:gridCol w:w="1416"/>
        <w:gridCol w:w="1574"/>
        <w:gridCol w:w="4347"/>
        <w:gridCol w:w="540"/>
        <w:gridCol w:w="945"/>
        <w:gridCol w:w="1034"/>
        <w:gridCol w:w="840"/>
        <w:gridCol w:w="885"/>
        <w:gridCol w:w="885"/>
        <w:gridCol w:w="885"/>
        <w:gridCol w:w="780"/>
      </w:tblGrid>
      <w:tr w14:paraId="657AC5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 w:hRule="atLeast"/>
        </w:trPr>
        <w:tc>
          <w:tcPr>
            <w:tcW w:w="11265" w:type="dxa"/>
            <w:gridSpan w:val="8"/>
            <w:tcBorders>
              <w:top w:val="nil"/>
              <w:left w:val="nil"/>
              <w:bottom w:val="nil"/>
              <w:right w:val="nil"/>
            </w:tcBorders>
            <w:shd w:val="clear" w:color="FFFFFF" w:fill="FFFFFF"/>
            <w:vAlign w:val="center"/>
          </w:tcPr>
          <w:p w14:paraId="2962ED8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【表10.2.2-16】</w:t>
            </w:r>
          </w:p>
        </w:tc>
        <w:tc>
          <w:tcPr>
            <w:tcW w:w="3435" w:type="dxa"/>
            <w:gridSpan w:val="4"/>
            <w:tcBorders>
              <w:top w:val="nil"/>
              <w:left w:val="nil"/>
              <w:bottom w:val="nil"/>
              <w:right w:val="nil"/>
            </w:tcBorders>
            <w:shd w:val="clear" w:color="FFFFFF" w:fill="FFFFFF"/>
            <w:vAlign w:val="center"/>
          </w:tcPr>
          <w:p w14:paraId="11409524">
            <w:pPr>
              <w:jc w:val="right"/>
              <w:rPr>
                <w:rFonts w:hint="eastAsia" w:ascii="宋体" w:hAnsi="宋体" w:eastAsia="宋体" w:cs="宋体"/>
                <w:i w:val="0"/>
                <w:iCs w:val="0"/>
                <w:color w:val="auto"/>
                <w:sz w:val="18"/>
                <w:szCs w:val="18"/>
                <w:highlight w:val="none"/>
                <w:u w:val="none"/>
              </w:rPr>
            </w:pPr>
          </w:p>
        </w:tc>
      </w:tr>
      <w:tr w14:paraId="5A488A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4700" w:type="dxa"/>
            <w:gridSpan w:val="12"/>
            <w:tcBorders>
              <w:top w:val="nil"/>
              <w:left w:val="nil"/>
              <w:bottom w:val="nil"/>
              <w:right w:val="nil"/>
            </w:tcBorders>
            <w:shd w:val="clear" w:color="FFFFFF" w:fill="FFFFFF"/>
            <w:vAlign w:val="center"/>
          </w:tcPr>
          <w:p w14:paraId="495D698A">
            <w:pPr>
              <w:keepNext w:val="0"/>
              <w:keepLines w:val="0"/>
              <w:widowControl/>
              <w:suppressLineNumbers w:val="0"/>
              <w:jc w:val="center"/>
              <w:textAlignment w:val="center"/>
              <w:rPr>
                <w:rFonts w:hint="eastAsia" w:ascii="宋体" w:hAnsi="宋体" w:eastAsia="宋体" w:cs="宋体"/>
                <w:b/>
                <w:bCs/>
                <w:i w:val="0"/>
                <w:iCs w:val="0"/>
                <w:color w:val="auto"/>
                <w:sz w:val="40"/>
                <w:szCs w:val="40"/>
                <w:highlight w:val="none"/>
                <w:u w:val="none"/>
              </w:rPr>
            </w:pPr>
            <w:r>
              <w:rPr>
                <w:rFonts w:hint="eastAsia" w:ascii="宋体" w:hAnsi="宋体" w:eastAsia="宋体" w:cs="宋体"/>
                <w:b/>
                <w:bCs/>
                <w:i w:val="0"/>
                <w:iCs w:val="0"/>
                <w:color w:val="auto"/>
                <w:kern w:val="0"/>
                <w:sz w:val="40"/>
                <w:szCs w:val="40"/>
                <w:highlight w:val="none"/>
                <w:u w:val="none"/>
                <w:lang w:val="en-US" w:eastAsia="zh-CN" w:bidi="ar"/>
              </w:rPr>
              <w:t>分部分项工程清单与计价表</w:t>
            </w:r>
          </w:p>
        </w:tc>
      </w:tr>
      <w:tr w14:paraId="6021CE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3559" w:type="dxa"/>
            <w:gridSpan w:val="3"/>
            <w:tcBorders>
              <w:top w:val="nil"/>
              <w:left w:val="nil"/>
              <w:bottom w:val="nil"/>
              <w:right w:val="nil"/>
            </w:tcBorders>
            <w:shd w:val="clear" w:color="FFFFFF" w:fill="FFFFFF"/>
            <w:vAlign w:val="bottom"/>
          </w:tcPr>
          <w:p w14:paraId="6C6C6812">
            <w:pPr>
              <w:keepNext w:val="0"/>
              <w:keepLines w:val="0"/>
              <w:widowControl/>
              <w:suppressLineNumbers w:val="0"/>
              <w:jc w:val="lef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工程名称：单项工程-配套用房建筑工程</w:t>
            </w:r>
          </w:p>
        </w:tc>
        <w:tc>
          <w:tcPr>
            <w:tcW w:w="7706" w:type="dxa"/>
            <w:gridSpan w:val="5"/>
            <w:tcBorders>
              <w:top w:val="nil"/>
              <w:left w:val="nil"/>
              <w:bottom w:val="nil"/>
              <w:right w:val="nil"/>
            </w:tcBorders>
            <w:shd w:val="clear" w:color="FFFFFF" w:fill="FFFFFF"/>
            <w:vAlign w:val="bottom"/>
          </w:tcPr>
          <w:p w14:paraId="1B3E8564">
            <w:pPr>
              <w:keepNext w:val="0"/>
              <w:keepLines w:val="0"/>
              <w:widowControl/>
              <w:suppressLineNumbers w:val="0"/>
              <w:jc w:val="lef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标段：</w:t>
            </w:r>
          </w:p>
        </w:tc>
        <w:tc>
          <w:tcPr>
            <w:tcW w:w="3435" w:type="dxa"/>
            <w:gridSpan w:val="4"/>
            <w:tcBorders>
              <w:top w:val="nil"/>
              <w:left w:val="nil"/>
              <w:bottom w:val="nil"/>
              <w:right w:val="nil"/>
            </w:tcBorders>
            <w:shd w:val="clear" w:color="FFFFFF" w:fill="FFFFFF"/>
            <w:vAlign w:val="bottom"/>
          </w:tcPr>
          <w:p w14:paraId="27BBDE56">
            <w:pPr>
              <w:keepNext w:val="0"/>
              <w:keepLines w:val="0"/>
              <w:widowControl/>
              <w:suppressLineNumbers w:val="0"/>
              <w:jc w:val="righ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第 7 页  共 7 页</w:t>
            </w:r>
          </w:p>
        </w:tc>
      </w:tr>
      <w:tr w14:paraId="45879A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569"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564BD4D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序号</w:t>
            </w:r>
          </w:p>
        </w:tc>
        <w:tc>
          <w:tcPr>
            <w:tcW w:w="1416"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3ED60C1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项目编码</w:t>
            </w:r>
          </w:p>
        </w:tc>
        <w:tc>
          <w:tcPr>
            <w:tcW w:w="157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D0ACF8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项目名称</w:t>
            </w:r>
          </w:p>
        </w:tc>
        <w:tc>
          <w:tcPr>
            <w:tcW w:w="4347"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62136A0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项目特征</w:t>
            </w:r>
          </w:p>
        </w:tc>
        <w:tc>
          <w:tcPr>
            <w:tcW w:w="54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57E6293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计量单位</w:t>
            </w:r>
          </w:p>
        </w:tc>
        <w:tc>
          <w:tcPr>
            <w:tcW w:w="945"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459277C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工程量</w:t>
            </w:r>
          </w:p>
        </w:tc>
        <w:tc>
          <w:tcPr>
            <w:tcW w:w="4529" w:type="dxa"/>
            <w:gridSpan w:val="5"/>
            <w:tcBorders>
              <w:top w:val="single" w:color="000000" w:sz="8" w:space="0"/>
              <w:left w:val="single" w:color="000000" w:sz="4" w:space="0"/>
              <w:bottom w:val="single" w:color="000000" w:sz="4" w:space="0"/>
              <w:right w:val="single" w:color="000000" w:sz="4" w:space="0"/>
            </w:tcBorders>
            <w:shd w:val="clear" w:color="FFFFFF" w:fill="FFFFFF"/>
            <w:vAlign w:val="center"/>
          </w:tcPr>
          <w:p w14:paraId="08FA55F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金额（元）</w:t>
            </w:r>
          </w:p>
        </w:tc>
        <w:tc>
          <w:tcPr>
            <w:tcW w:w="780" w:type="dxa"/>
            <w:vMerge w:val="restart"/>
            <w:tcBorders>
              <w:top w:val="single" w:color="000000" w:sz="8" w:space="0"/>
              <w:left w:val="single" w:color="000000" w:sz="4" w:space="0"/>
              <w:bottom w:val="single" w:color="000000" w:sz="4" w:space="0"/>
              <w:right w:val="single" w:color="000000" w:sz="8" w:space="0"/>
            </w:tcBorders>
            <w:shd w:val="clear" w:color="FFFFFF" w:fill="FFFFFF"/>
            <w:vAlign w:val="center"/>
          </w:tcPr>
          <w:p w14:paraId="49103F8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备注</w:t>
            </w:r>
          </w:p>
        </w:tc>
      </w:tr>
      <w:tr w14:paraId="7DE829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569"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7714E5CD">
            <w:pPr>
              <w:jc w:val="center"/>
              <w:rPr>
                <w:rFonts w:hint="eastAsia" w:ascii="宋体" w:hAnsi="宋体" w:eastAsia="宋体" w:cs="宋体"/>
                <w:i w:val="0"/>
                <w:iCs w:val="0"/>
                <w:color w:val="auto"/>
                <w:sz w:val="20"/>
                <w:szCs w:val="20"/>
                <w:highlight w:val="none"/>
                <w:u w:val="none"/>
              </w:rPr>
            </w:pPr>
          </w:p>
        </w:tc>
        <w:tc>
          <w:tcPr>
            <w:tcW w:w="141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1688C9F">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157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7CAB1BE">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4347"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F11D2C1">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54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74118B4">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94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1E53ABF">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1034"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54C0414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综合单价</w:t>
            </w:r>
          </w:p>
        </w:tc>
        <w:tc>
          <w:tcPr>
            <w:tcW w:w="840"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7EAFA42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合价</w:t>
            </w:r>
          </w:p>
        </w:tc>
        <w:tc>
          <w:tcPr>
            <w:tcW w:w="265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30E0B0C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其中</w:t>
            </w:r>
          </w:p>
        </w:tc>
        <w:tc>
          <w:tcPr>
            <w:tcW w:w="780" w:type="dxa"/>
            <w:vMerge w:val="continue"/>
            <w:tcBorders>
              <w:top w:val="single" w:color="000000" w:sz="8" w:space="0"/>
              <w:left w:val="single" w:color="000000" w:sz="4" w:space="0"/>
              <w:bottom w:val="single" w:color="000000" w:sz="4" w:space="0"/>
              <w:right w:val="single" w:color="000000" w:sz="8" w:space="0"/>
            </w:tcBorders>
            <w:shd w:val="clear" w:color="FFFFFF" w:fill="FFFFFF"/>
            <w:vAlign w:val="center"/>
          </w:tcPr>
          <w:p w14:paraId="5832AFDC">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r>
      <w:tr w14:paraId="6E5C71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569"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650A443D">
            <w:pPr>
              <w:jc w:val="center"/>
              <w:rPr>
                <w:rFonts w:hint="eastAsia" w:ascii="宋体" w:hAnsi="宋体" w:eastAsia="宋体" w:cs="宋体"/>
                <w:i w:val="0"/>
                <w:iCs w:val="0"/>
                <w:color w:val="auto"/>
                <w:sz w:val="20"/>
                <w:szCs w:val="20"/>
                <w:highlight w:val="none"/>
                <w:u w:val="none"/>
              </w:rPr>
            </w:pPr>
          </w:p>
        </w:tc>
        <w:tc>
          <w:tcPr>
            <w:tcW w:w="141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6B5EEBF">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157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2DF4D96">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4347"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6342465">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54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AD2C939">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94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E3C8D41">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1034"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2C561245">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1D7E32AE">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AFBD8E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人工费</w:t>
            </w: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8D334D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机械费</w:t>
            </w: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F56867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暂估价</w:t>
            </w:r>
          </w:p>
        </w:tc>
        <w:tc>
          <w:tcPr>
            <w:tcW w:w="780" w:type="dxa"/>
            <w:vMerge w:val="continue"/>
            <w:tcBorders>
              <w:top w:val="single" w:color="000000" w:sz="8" w:space="0"/>
              <w:left w:val="single" w:color="000000" w:sz="4" w:space="0"/>
              <w:bottom w:val="single" w:color="000000" w:sz="4" w:space="0"/>
              <w:right w:val="single" w:color="000000" w:sz="8" w:space="0"/>
            </w:tcBorders>
            <w:shd w:val="clear" w:color="FFFFFF" w:fill="FFFFFF"/>
            <w:vAlign w:val="center"/>
          </w:tcPr>
          <w:p w14:paraId="7DBC98AF">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r>
      <w:tr w14:paraId="33E498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56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EDD64A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37</w:t>
            </w: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2CC018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011407001002</w:t>
            </w:r>
          </w:p>
        </w:tc>
        <w:tc>
          <w:tcPr>
            <w:tcW w:w="1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5F5F9F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墙面喷刷涂料</w:t>
            </w:r>
          </w:p>
        </w:tc>
        <w:tc>
          <w:tcPr>
            <w:tcW w:w="434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A6340D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内墙</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1.刮腻子两边</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2.白色内墙涂料</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087BB5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D5B04AC">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553.27</w:t>
            </w:r>
          </w:p>
        </w:tc>
        <w:tc>
          <w:tcPr>
            <w:tcW w:w="10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8FF2828">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4539EFD">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3526A43">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867B64D">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DC80052">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594889AA">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0AE9D8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56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D2FBC0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38</w:t>
            </w: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A9C620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011407002001</w:t>
            </w:r>
          </w:p>
        </w:tc>
        <w:tc>
          <w:tcPr>
            <w:tcW w:w="1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8F6346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天棚喷刷涂料</w:t>
            </w:r>
          </w:p>
        </w:tc>
        <w:tc>
          <w:tcPr>
            <w:tcW w:w="434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289E96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室内天棚</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1.刮腻子两边</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2.白色内墙涂料</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1328E3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178F130">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189.6</w:t>
            </w:r>
          </w:p>
        </w:tc>
        <w:tc>
          <w:tcPr>
            <w:tcW w:w="10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18DB8EE">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D8F6882">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DD6B966">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826E6F0">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FA0DC3E">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EF5B140">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41FCC7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56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F13E0A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39</w:t>
            </w: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88F91E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011407002002</w:t>
            </w:r>
          </w:p>
        </w:tc>
        <w:tc>
          <w:tcPr>
            <w:tcW w:w="1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621704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天棚喷刷涂料</w:t>
            </w:r>
          </w:p>
        </w:tc>
        <w:tc>
          <w:tcPr>
            <w:tcW w:w="434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A217D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室外天棚</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1.刮耐水腻子两边</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2.外墙真石漆</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7B7892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3597F7C">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45.47</w:t>
            </w:r>
          </w:p>
        </w:tc>
        <w:tc>
          <w:tcPr>
            <w:tcW w:w="10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F81EF0B">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B126345">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D7B2030">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BA0A934">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B24A807">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5B596BAA">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035BAC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56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93C679F">
            <w:pPr>
              <w:jc w:val="right"/>
              <w:rPr>
                <w:rFonts w:hint="eastAsia" w:ascii="宋体" w:hAnsi="宋体" w:eastAsia="宋体" w:cs="宋体"/>
                <w:i w:val="0"/>
                <w:iCs w:val="0"/>
                <w:color w:val="auto"/>
                <w:sz w:val="20"/>
                <w:szCs w:val="20"/>
                <w:highlight w:val="none"/>
                <w:u w:val="none"/>
              </w:rPr>
            </w:pP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588F007">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1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E2D02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其他装饰工程</w:t>
            </w:r>
          </w:p>
        </w:tc>
        <w:tc>
          <w:tcPr>
            <w:tcW w:w="434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2088FF7">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8A60B17">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495DE3E">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10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3C5D8FB">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41A175D">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7DB6830">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41FF052">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6D33137">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5DC9904D">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69F780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56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EE9372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40</w:t>
            </w: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528665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010507001001</w:t>
            </w:r>
          </w:p>
        </w:tc>
        <w:tc>
          <w:tcPr>
            <w:tcW w:w="1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BB28D9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散水、坡道</w:t>
            </w:r>
          </w:p>
        </w:tc>
        <w:tc>
          <w:tcPr>
            <w:tcW w:w="434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CAD9D7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散水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4C4228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DBEE5D6">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33.06</w:t>
            </w:r>
          </w:p>
        </w:tc>
        <w:tc>
          <w:tcPr>
            <w:tcW w:w="10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393AE3E">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FE48E21">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0D478BF">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55D64F5">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5914631">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6B5AC16">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0E3AA2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56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9FDFBC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41</w:t>
            </w: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2BC54B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010507004001</w:t>
            </w:r>
          </w:p>
        </w:tc>
        <w:tc>
          <w:tcPr>
            <w:tcW w:w="1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9E74CB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台阶</w:t>
            </w:r>
          </w:p>
        </w:tc>
        <w:tc>
          <w:tcPr>
            <w:tcW w:w="434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B972DD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混凝土台阶</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2B1671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F5F6C79">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5.46</w:t>
            </w:r>
          </w:p>
        </w:tc>
        <w:tc>
          <w:tcPr>
            <w:tcW w:w="10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60DC704">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DF71123">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FC620FA">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086F44D">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7E1F0E6">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36B5DCE">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46DD7F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6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DD668D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42</w:t>
            </w: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88B9D6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01B001</w:t>
            </w:r>
          </w:p>
        </w:tc>
        <w:tc>
          <w:tcPr>
            <w:tcW w:w="1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C4AD55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成品不锈钢防盗栏</w:t>
            </w:r>
          </w:p>
        </w:tc>
        <w:tc>
          <w:tcPr>
            <w:tcW w:w="434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30045E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1.成品不锈钢防盗栏</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7646AB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5EBF21">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18.9</w:t>
            </w:r>
          </w:p>
        </w:tc>
        <w:tc>
          <w:tcPr>
            <w:tcW w:w="10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C94CA25">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87E63E7">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119343E">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790D9CD">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B0C9F1B">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233F8CA">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29F1A9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6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9DE0C4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43</w:t>
            </w: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3FA920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01B002</w:t>
            </w:r>
          </w:p>
        </w:tc>
        <w:tc>
          <w:tcPr>
            <w:tcW w:w="1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ADBEA1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沉降观测点</w:t>
            </w:r>
          </w:p>
        </w:tc>
        <w:tc>
          <w:tcPr>
            <w:tcW w:w="434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A59387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1.沉降观测点</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2.工程量按个计算</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5A5832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C3870D7">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10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87647D9">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D8EA3CB">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0420D3C">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185BA01">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D354362">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ED66CCA">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62A94F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6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9D8ED0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44</w:t>
            </w: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BDD7B9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01B003</w:t>
            </w:r>
          </w:p>
        </w:tc>
        <w:tc>
          <w:tcPr>
            <w:tcW w:w="1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9A8034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Φ 110UPVC雨水管</w:t>
            </w:r>
          </w:p>
        </w:tc>
        <w:tc>
          <w:tcPr>
            <w:tcW w:w="434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A2A80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1.Φ 110UPVC雨水管</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EFCDB6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5FBF082">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16.8</w:t>
            </w:r>
          </w:p>
        </w:tc>
        <w:tc>
          <w:tcPr>
            <w:tcW w:w="10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C6367BA">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E00150E">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1CF3B3B">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2EA9C86">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67FB003">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0A015FD8">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63F13D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56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EE8466A">
            <w:pPr>
              <w:jc w:val="center"/>
              <w:rPr>
                <w:rFonts w:hint="eastAsia" w:ascii="宋体" w:hAnsi="宋体" w:eastAsia="宋体" w:cs="宋体"/>
                <w:i w:val="0"/>
                <w:iCs w:val="0"/>
                <w:color w:val="auto"/>
                <w:sz w:val="20"/>
                <w:szCs w:val="20"/>
                <w:highlight w:val="none"/>
                <w:u w:val="none"/>
              </w:rPr>
            </w:pP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7C889E2">
            <w:pPr>
              <w:jc w:val="center"/>
              <w:rPr>
                <w:rFonts w:hint="eastAsia" w:ascii="宋体" w:hAnsi="宋体" w:eastAsia="宋体" w:cs="宋体"/>
                <w:i w:val="0"/>
                <w:iCs w:val="0"/>
                <w:color w:val="auto"/>
                <w:sz w:val="20"/>
                <w:szCs w:val="20"/>
                <w:highlight w:val="none"/>
                <w:u w:val="none"/>
              </w:rPr>
            </w:pPr>
          </w:p>
        </w:tc>
        <w:tc>
          <w:tcPr>
            <w:tcW w:w="1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A5C2D7B">
            <w:pPr>
              <w:jc w:val="left"/>
              <w:rPr>
                <w:rFonts w:hint="eastAsia" w:ascii="宋体" w:hAnsi="宋体" w:eastAsia="宋体" w:cs="宋体"/>
                <w:i w:val="0"/>
                <w:iCs w:val="0"/>
                <w:color w:val="auto"/>
                <w:sz w:val="20"/>
                <w:szCs w:val="20"/>
                <w:highlight w:val="none"/>
                <w:u w:val="none"/>
              </w:rPr>
            </w:pPr>
          </w:p>
        </w:tc>
        <w:tc>
          <w:tcPr>
            <w:tcW w:w="434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18984DE">
            <w:pPr>
              <w:jc w:val="left"/>
              <w:rPr>
                <w:rFonts w:hint="eastAsia" w:ascii="宋体" w:hAnsi="宋体" w:eastAsia="宋体" w:cs="宋体"/>
                <w:i w:val="0"/>
                <w:iCs w:val="0"/>
                <w:color w:val="auto"/>
                <w:sz w:val="20"/>
                <w:szCs w:val="20"/>
                <w:highlight w:val="none"/>
                <w:u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1400DB1">
            <w:pPr>
              <w:jc w:val="center"/>
              <w:rPr>
                <w:rFonts w:hint="eastAsia" w:ascii="宋体" w:hAnsi="宋体" w:eastAsia="宋体" w:cs="宋体"/>
                <w:i w:val="0"/>
                <w:iCs w:val="0"/>
                <w:color w:val="auto"/>
                <w:sz w:val="20"/>
                <w:szCs w:val="20"/>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263DE9E">
            <w:pPr>
              <w:jc w:val="right"/>
              <w:rPr>
                <w:rFonts w:hint="eastAsia" w:ascii="宋体" w:hAnsi="宋体" w:eastAsia="宋体" w:cs="宋体"/>
                <w:i w:val="0"/>
                <w:iCs w:val="0"/>
                <w:color w:val="auto"/>
                <w:sz w:val="20"/>
                <w:szCs w:val="20"/>
                <w:highlight w:val="none"/>
                <w:u w:val="none"/>
              </w:rPr>
            </w:pPr>
          </w:p>
        </w:tc>
        <w:tc>
          <w:tcPr>
            <w:tcW w:w="10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36DED0A">
            <w:pPr>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2DE60A6">
            <w:pPr>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0D91206">
            <w:pPr>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3F03069">
            <w:pPr>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A5F7EA3">
            <w:pPr>
              <w:jc w:val="righ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07E1ACD">
            <w:pPr>
              <w:jc w:val="left"/>
              <w:rPr>
                <w:rFonts w:hint="eastAsia" w:ascii="宋体" w:hAnsi="宋体" w:eastAsia="宋体" w:cs="宋体"/>
                <w:i w:val="0"/>
                <w:iCs w:val="0"/>
                <w:color w:val="auto"/>
                <w:sz w:val="20"/>
                <w:szCs w:val="20"/>
                <w:highlight w:val="none"/>
                <w:u w:val="none"/>
              </w:rPr>
            </w:pPr>
          </w:p>
        </w:tc>
      </w:tr>
      <w:tr w14:paraId="52155B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10425" w:type="dxa"/>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1607844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本页小计</w:t>
            </w: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9654ED3">
            <w:pPr>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907EBAB">
            <w:pPr>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CED9788">
            <w:pPr>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7BE3FE">
            <w:pPr>
              <w:jc w:val="lef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559471BC">
            <w:pPr>
              <w:jc w:val="left"/>
              <w:rPr>
                <w:rFonts w:hint="eastAsia" w:ascii="宋体" w:hAnsi="宋体" w:eastAsia="宋体" w:cs="宋体"/>
                <w:i w:val="0"/>
                <w:iCs w:val="0"/>
                <w:color w:val="auto"/>
                <w:sz w:val="20"/>
                <w:szCs w:val="20"/>
                <w:highlight w:val="none"/>
                <w:u w:val="none"/>
              </w:rPr>
            </w:pPr>
          </w:p>
        </w:tc>
      </w:tr>
      <w:tr w14:paraId="61174E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10425" w:type="dxa"/>
            <w:gridSpan w:val="7"/>
            <w:tcBorders>
              <w:top w:val="single" w:color="000000" w:sz="4" w:space="0"/>
              <w:left w:val="single" w:color="000000" w:sz="8" w:space="0"/>
              <w:bottom w:val="single" w:color="000000" w:sz="8" w:space="0"/>
              <w:right w:val="single" w:color="000000" w:sz="4" w:space="0"/>
            </w:tcBorders>
            <w:shd w:val="clear" w:color="FFFFFF" w:fill="FFFFFF"/>
            <w:vAlign w:val="center"/>
          </w:tcPr>
          <w:p w14:paraId="0522AD0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合   计</w:t>
            </w:r>
          </w:p>
        </w:tc>
        <w:tc>
          <w:tcPr>
            <w:tcW w:w="840"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75430CF9">
            <w:pPr>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1B22DF8A">
            <w:pPr>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106800EA">
            <w:pPr>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4618FE34">
            <w:pPr>
              <w:jc w:val="left"/>
              <w:rPr>
                <w:rFonts w:hint="eastAsia" w:ascii="宋体" w:hAnsi="宋体" w:eastAsia="宋体" w:cs="宋体"/>
                <w:i w:val="0"/>
                <w:iCs w:val="0"/>
                <w:color w:val="auto"/>
                <w:sz w:val="20"/>
                <w:szCs w:val="20"/>
                <w:highlight w:val="none"/>
                <w:u w:val="none"/>
              </w:rPr>
            </w:pPr>
          </w:p>
        </w:tc>
        <w:tc>
          <w:tcPr>
            <w:tcW w:w="780"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36EDE089">
            <w:pPr>
              <w:jc w:val="left"/>
              <w:rPr>
                <w:rFonts w:hint="eastAsia" w:ascii="宋体" w:hAnsi="宋体" w:eastAsia="宋体" w:cs="宋体"/>
                <w:i w:val="0"/>
                <w:iCs w:val="0"/>
                <w:color w:val="auto"/>
                <w:sz w:val="20"/>
                <w:szCs w:val="20"/>
                <w:highlight w:val="none"/>
                <w:u w:val="none"/>
              </w:rPr>
            </w:pPr>
          </w:p>
        </w:tc>
      </w:tr>
    </w:tbl>
    <w:p w14:paraId="3B49A52E">
      <w:pPr>
        <w:rPr>
          <w:rFonts w:hint="eastAsia" w:ascii="宋体" w:hAnsi="宋体" w:eastAsia="宋体" w:cs="宋体"/>
          <w:color w:val="auto"/>
          <w:kern w:val="2"/>
          <w:sz w:val="24"/>
          <w:szCs w:val="24"/>
          <w:highlight w:val="none"/>
          <w:lang w:val="en-US" w:eastAsia="zh-CN" w:bidi="ar-SA"/>
        </w:rPr>
        <w:sectPr>
          <w:pgSz w:w="16838" w:h="11906" w:orient="landscape"/>
          <w:pgMar w:top="1803" w:right="1440" w:bottom="1803" w:left="1440" w:header="851" w:footer="992" w:gutter="0"/>
          <w:pgBorders>
            <w:top w:val="none" w:sz="0" w:space="0"/>
            <w:left w:val="none" w:sz="0" w:space="0"/>
            <w:bottom w:val="none" w:sz="0" w:space="0"/>
            <w:right w:val="none" w:sz="0" w:space="0"/>
          </w:pgBorders>
          <w:pgNumType w:fmt="decimal"/>
          <w:cols w:space="0" w:num="1"/>
          <w:rtlGutter w:val="0"/>
          <w:docGrid w:type="lines" w:linePitch="319" w:charSpace="0"/>
        </w:sectPr>
      </w:pPr>
    </w:p>
    <w:p w14:paraId="16D5C4BC">
      <w:pPr>
        <w:rPr>
          <w:rFonts w:hint="eastAsia" w:ascii="宋体" w:hAnsi="宋体" w:eastAsia="宋体" w:cs="宋体"/>
          <w:color w:val="auto"/>
          <w:kern w:val="2"/>
          <w:sz w:val="24"/>
          <w:szCs w:val="24"/>
          <w:highlight w:val="none"/>
          <w:lang w:val="en-US" w:eastAsia="zh-CN" w:bidi="ar-SA"/>
        </w:rPr>
      </w:pPr>
    </w:p>
    <w:tbl>
      <w:tblPr>
        <w:tblStyle w:val="23"/>
        <w:tblW w:w="139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84"/>
        <w:gridCol w:w="1416"/>
        <w:gridCol w:w="1469"/>
        <w:gridCol w:w="2893"/>
        <w:gridCol w:w="540"/>
        <w:gridCol w:w="1110"/>
        <w:gridCol w:w="1064"/>
        <w:gridCol w:w="840"/>
        <w:gridCol w:w="900"/>
        <w:gridCol w:w="900"/>
        <w:gridCol w:w="900"/>
        <w:gridCol w:w="1004"/>
      </w:tblGrid>
      <w:tr w14:paraId="71E447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 w:hRule="atLeast"/>
        </w:trPr>
        <w:tc>
          <w:tcPr>
            <w:tcW w:w="10215" w:type="dxa"/>
            <w:gridSpan w:val="8"/>
            <w:tcBorders>
              <w:top w:val="nil"/>
              <w:left w:val="nil"/>
              <w:bottom w:val="nil"/>
              <w:right w:val="nil"/>
            </w:tcBorders>
            <w:shd w:val="clear" w:color="FFFFFF" w:fill="FFFFFF"/>
            <w:vAlign w:val="center"/>
          </w:tcPr>
          <w:p w14:paraId="4034CDF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【表10.2.2-16】</w:t>
            </w:r>
          </w:p>
        </w:tc>
        <w:tc>
          <w:tcPr>
            <w:tcW w:w="3705" w:type="dxa"/>
            <w:gridSpan w:val="4"/>
            <w:tcBorders>
              <w:top w:val="nil"/>
              <w:left w:val="nil"/>
              <w:bottom w:val="nil"/>
              <w:right w:val="nil"/>
            </w:tcBorders>
            <w:shd w:val="clear" w:color="FFFFFF" w:fill="FFFFFF"/>
            <w:vAlign w:val="center"/>
          </w:tcPr>
          <w:p w14:paraId="78557D64">
            <w:pPr>
              <w:jc w:val="right"/>
              <w:rPr>
                <w:rFonts w:hint="eastAsia" w:ascii="宋体" w:hAnsi="宋体" w:eastAsia="宋体" w:cs="宋体"/>
                <w:i w:val="0"/>
                <w:iCs w:val="0"/>
                <w:color w:val="auto"/>
                <w:sz w:val="18"/>
                <w:szCs w:val="18"/>
                <w:highlight w:val="none"/>
                <w:u w:val="none"/>
              </w:rPr>
            </w:pPr>
          </w:p>
        </w:tc>
      </w:tr>
      <w:tr w14:paraId="1888B6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13920" w:type="dxa"/>
            <w:gridSpan w:val="12"/>
            <w:tcBorders>
              <w:top w:val="nil"/>
              <w:left w:val="nil"/>
              <w:bottom w:val="nil"/>
              <w:right w:val="nil"/>
            </w:tcBorders>
            <w:shd w:val="clear" w:color="FFFFFF" w:fill="FFFFFF"/>
            <w:vAlign w:val="center"/>
          </w:tcPr>
          <w:p w14:paraId="7CDC0472">
            <w:pPr>
              <w:keepNext w:val="0"/>
              <w:keepLines w:val="0"/>
              <w:widowControl/>
              <w:suppressLineNumbers w:val="0"/>
              <w:jc w:val="center"/>
              <w:textAlignment w:val="center"/>
              <w:rPr>
                <w:rFonts w:hint="eastAsia" w:ascii="宋体" w:hAnsi="宋体" w:eastAsia="宋体" w:cs="宋体"/>
                <w:b/>
                <w:bCs/>
                <w:i w:val="0"/>
                <w:iCs w:val="0"/>
                <w:color w:val="auto"/>
                <w:sz w:val="40"/>
                <w:szCs w:val="40"/>
                <w:highlight w:val="none"/>
                <w:u w:val="none"/>
              </w:rPr>
            </w:pPr>
            <w:r>
              <w:rPr>
                <w:rFonts w:hint="eastAsia" w:ascii="宋体" w:hAnsi="宋体" w:eastAsia="宋体" w:cs="宋体"/>
                <w:b/>
                <w:bCs/>
                <w:i w:val="0"/>
                <w:iCs w:val="0"/>
                <w:color w:val="auto"/>
                <w:kern w:val="0"/>
                <w:sz w:val="40"/>
                <w:szCs w:val="40"/>
                <w:highlight w:val="none"/>
                <w:u w:val="none"/>
                <w:lang w:val="en-US" w:eastAsia="zh-CN" w:bidi="ar"/>
              </w:rPr>
              <w:t>施工技术措施项目清单与计价表</w:t>
            </w:r>
          </w:p>
        </w:tc>
      </w:tr>
      <w:tr w14:paraId="68031F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3765" w:type="dxa"/>
            <w:gridSpan w:val="3"/>
            <w:tcBorders>
              <w:top w:val="nil"/>
              <w:left w:val="nil"/>
              <w:bottom w:val="nil"/>
              <w:right w:val="nil"/>
            </w:tcBorders>
            <w:shd w:val="clear" w:color="FFFFFF" w:fill="FFFFFF"/>
            <w:vAlign w:val="bottom"/>
          </w:tcPr>
          <w:p w14:paraId="738B8A22">
            <w:pPr>
              <w:keepNext w:val="0"/>
              <w:keepLines w:val="0"/>
              <w:widowControl/>
              <w:suppressLineNumbers w:val="0"/>
              <w:jc w:val="lef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工程名称：单项工程-配套用房建筑工程</w:t>
            </w:r>
          </w:p>
        </w:tc>
        <w:tc>
          <w:tcPr>
            <w:tcW w:w="6450" w:type="dxa"/>
            <w:gridSpan w:val="5"/>
            <w:tcBorders>
              <w:top w:val="nil"/>
              <w:left w:val="nil"/>
              <w:bottom w:val="nil"/>
              <w:right w:val="nil"/>
            </w:tcBorders>
            <w:shd w:val="clear" w:color="FFFFFF" w:fill="FFFFFF"/>
            <w:vAlign w:val="bottom"/>
          </w:tcPr>
          <w:p w14:paraId="3A123836">
            <w:pPr>
              <w:keepNext w:val="0"/>
              <w:keepLines w:val="0"/>
              <w:widowControl/>
              <w:suppressLineNumbers w:val="0"/>
              <w:jc w:val="lef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标段：</w:t>
            </w:r>
          </w:p>
        </w:tc>
        <w:tc>
          <w:tcPr>
            <w:tcW w:w="3705" w:type="dxa"/>
            <w:gridSpan w:val="4"/>
            <w:tcBorders>
              <w:top w:val="nil"/>
              <w:left w:val="nil"/>
              <w:bottom w:val="nil"/>
              <w:right w:val="nil"/>
            </w:tcBorders>
            <w:shd w:val="clear" w:color="FFFFFF" w:fill="FFFFFF"/>
            <w:vAlign w:val="bottom"/>
          </w:tcPr>
          <w:p w14:paraId="60091BBA">
            <w:pPr>
              <w:keepNext w:val="0"/>
              <w:keepLines w:val="0"/>
              <w:widowControl/>
              <w:suppressLineNumbers w:val="0"/>
              <w:jc w:val="righ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第 1 页  共 2 页</w:t>
            </w:r>
          </w:p>
        </w:tc>
      </w:tr>
      <w:tr w14:paraId="7C4339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885"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17AF7EA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序号</w:t>
            </w:r>
          </w:p>
        </w:tc>
        <w:tc>
          <w:tcPr>
            <w:tcW w:w="141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39686B3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项目编码</w:t>
            </w:r>
          </w:p>
        </w:tc>
        <w:tc>
          <w:tcPr>
            <w:tcW w:w="147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49A6704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项目名称</w:t>
            </w:r>
          </w:p>
        </w:tc>
        <w:tc>
          <w:tcPr>
            <w:tcW w:w="2895"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445DF2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项目特征</w:t>
            </w:r>
          </w:p>
        </w:tc>
        <w:tc>
          <w:tcPr>
            <w:tcW w:w="54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356765D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计量单位</w:t>
            </w:r>
          </w:p>
        </w:tc>
        <w:tc>
          <w:tcPr>
            <w:tcW w:w="111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8FBB08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工程量</w:t>
            </w:r>
          </w:p>
        </w:tc>
        <w:tc>
          <w:tcPr>
            <w:tcW w:w="4605" w:type="dxa"/>
            <w:gridSpan w:val="5"/>
            <w:tcBorders>
              <w:top w:val="single" w:color="000000" w:sz="8" w:space="0"/>
              <w:left w:val="single" w:color="000000" w:sz="4" w:space="0"/>
              <w:bottom w:val="single" w:color="000000" w:sz="4" w:space="0"/>
              <w:right w:val="single" w:color="000000" w:sz="4" w:space="0"/>
            </w:tcBorders>
            <w:shd w:val="clear" w:color="FFFFFF" w:fill="FFFFFF"/>
            <w:vAlign w:val="center"/>
          </w:tcPr>
          <w:p w14:paraId="6680DD2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金额（元）</w:t>
            </w:r>
          </w:p>
        </w:tc>
        <w:tc>
          <w:tcPr>
            <w:tcW w:w="1005" w:type="dxa"/>
            <w:vMerge w:val="restart"/>
            <w:tcBorders>
              <w:top w:val="single" w:color="000000" w:sz="8" w:space="0"/>
              <w:left w:val="single" w:color="000000" w:sz="4" w:space="0"/>
              <w:bottom w:val="single" w:color="000000" w:sz="4" w:space="0"/>
              <w:right w:val="single" w:color="000000" w:sz="8" w:space="0"/>
            </w:tcBorders>
            <w:shd w:val="clear" w:color="FFFFFF" w:fill="FFFFFF"/>
            <w:vAlign w:val="center"/>
          </w:tcPr>
          <w:p w14:paraId="4FA3061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备注</w:t>
            </w:r>
          </w:p>
        </w:tc>
      </w:tr>
      <w:tr w14:paraId="5AD024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885"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28E31A6C">
            <w:pPr>
              <w:jc w:val="center"/>
              <w:rPr>
                <w:rFonts w:hint="eastAsia" w:ascii="宋体" w:hAnsi="宋体" w:eastAsia="宋体" w:cs="宋体"/>
                <w:i w:val="0"/>
                <w:iCs w:val="0"/>
                <w:color w:val="auto"/>
                <w:sz w:val="20"/>
                <w:szCs w:val="20"/>
                <w:highlight w:val="none"/>
                <w:u w:val="none"/>
              </w:rPr>
            </w:pPr>
          </w:p>
        </w:tc>
        <w:tc>
          <w:tcPr>
            <w:tcW w:w="141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165C840">
            <w:pPr>
              <w:jc w:val="center"/>
              <w:rPr>
                <w:rFonts w:hint="eastAsia" w:ascii="宋体" w:hAnsi="宋体" w:eastAsia="宋体" w:cs="宋体"/>
                <w:i w:val="0"/>
                <w:iCs w:val="0"/>
                <w:color w:val="auto"/>
                <w:sz w:val="20"/>
                <w:szCs w:val="20"/>
                <w:highlight w:val="none"/>
                <w:u w:val="none"/>
              </w:rPr>
            </w:pPr>
          </w:p>
        </w:tc>
        <w:tc>
          <w:tcPr>
            <w:tcW w:w="147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FE449FB">
            <w:pPr>
              <w:jc w:val="center"/>
              <w:rPr>
                <w:rFonts w:hint="eastAsia" w:ascii="宋体" w:hAnsi="宋体" w:eastAsia="宋体" w:cs="宋体"/>
                <w:i w:val="0"/>
                <w:iCs w:val="0"/>
                <w:color w:val="auto"/>
                <w:sz w:val="20"/>
                <w:szCs w:val="20"/>
                <w:highlight w:val="none"/>
                <w:u w:val="none"/>
              </w:rPr>
            </w:pPr>
          </w:p>
        </w:tc>
        <w:tc>
          <w:tcPr>
            <w:tcW w:w="289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F4B8E25">
            <w:pPr>
              <w:jc w:val="center"/>
              <w:rPr>
                <w:rFonts w:hint="eastAsia" w:ascii="宋体" w:hAnsi="宋体" w:eastAsia="宋体" w:cs="宋体"/>
                <w:i w:val="0"/>
                <w:iCs w:val="0"/>
                <w:color w:val="auto"/>
                <w:sz w:val="20"/>
                <w:szCs w:val="20"/>
                <w:highlight w:val="none"/>
                <w:u w:val="none"/>
              </w:rPr>
            </w:pPr>
          </w:p>
        </w:tc>
        <w:tc>
          <w:tcPr>
            <w:tcW w:w="54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4387D76">
            <w:pPr>
              <w:jc w:val="center"/>
              <w:rPr>
                <w:rFonts w:hint="eastAsia" w:ascii="宋体" w:hAnsi="宋体" w:eastAsia="宋体" w:cs="宋体"/>
                <w:i w:val="0"/>
                <w:iCs w:val="0"/>
                <w:color w:val="auto"/>
                <w:sz w:val="20"/>
                <w:szCs w:val="20"/>
                <w:highlight w:val="none"/>
                <w:u w:val="none"/>
              </w:rPr>
            </w:pPr>
          </w:p>
        </w:tc>
        <w:tc>
          <w:tcPr>
            <w:tcW w:w="111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FF0FAC9">
            <w:pPr>
              <w:jc w:val="center"/>
              <w:rPr>
                <w:rFonts w:hint="eastAsia" w:ascii="宋体" w:hAnsi="宋体" w:eastAsia="宋体" w:cs="宋体"/>
                <w:i w:val="0"/>
                <w:iCs w:val="0"/>
                <w:color w:val="auto"/>
                <w:sz w:val="20"/>
                <w:szCs w:val="20"/>
                <w:highlight w:val="none"/>
                <w:u w:val="none"/>
              </w:rPr>
            </w:pPr>
          </w:p>
        </w:tc>
        <w:tc>
          <w:tcPr>
            <w:tcW w:w="1065"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57E2F97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综合单价</w:t>
            </w:r>
          </w:p>
        </w:tc>
        <w:tc>
          <w:tcPr>
            <w:tcW w:w="840"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32CEA27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合价</w:t>
            </w:r>
          </w:p>
        </w:tc>
        <w:tc>
          <w:tcPr>
            <w:tcW w:w="270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0B035DB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其中</w:t>
            </w:r>
          </w:p>
        </w:tc>
        <w:tc>
          <w:tcPr>
            <w:tcW w:w="1005" w:type="dxa"/>
            <w:vMerge w:val="continue"/>
            <w:tcBorders>
              <w:top w:val="single" w:color="000000" w:sz="8" w:space="0"/>
              <w:left w:val="single" w:color="000000" w:sz="4" w:space="0"/>
              <w:bottom w:val="single" w:color="000000" w:sz="4" w:space="0"/>
              <w:right w:val="single" w:color="000000" w:sz="8" w:space="0"/>
            </w:tcBorders>
            <w:shd w:val="clear" w:color="FFFFFF" w:fill="FFFFFF"/>
            <w:vAlign w:val="center"/>
          </w:tcPr>
          <w:p w14:paraId="5CF23F12">
            <w:pPr>
              <w:jc w:val="center"/>
              <w:rPr>
                <w:rFonts w:hint="eastAsia" w:ascii="宋体" w:hAnsi="宋体" w:eastAsia="宋体" w:cs="宋体"/>
                <w:i w:val="0"/>
                <w:iCs w:val="0"/>
                <w:color w:val="auto"/>
                <w:sz w:val="20"/>
                <w:szCs w:val="20"/>
                <w:highlight w:val="none"/>
                <w:u w:val="none"/>
              </w:rPr>
            </w:pPr>
          </w:p>
        </w:tc>
      </w:tr>
      <w:tr w14:paraId="481664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885"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3D9F982F">
            <w:pPr>
              <w:jc w:val="center"/>
              <w:rPr>
                <w:rFonts w:hint="eastAsia" w:ascii="宋体" w:hAnsi="宋体" w:eastAsia="宋体" w:cs="宋体"/>
                <w:i w:val="0"/>
                <w:iCs w:val="0"/>
                <w:color w:val="auto"/>
                <w:sz w:val="20"/>
                <w:szCs w:val="20"/>
                <w:highlight w:val="none"/>
                <w:u w:val="none"/>
              </w:rPr>
            </w:pPr>
          </w:p>
        </w:tc>
        <w:tc>
          <w:tcPr>
            <w:tcW w:w="141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5EDC9FD">
            <w:pPr>
              <w:jc w:val="center"/>
              <w:rPr>
                <w:rFonts w:hint="eastAsia" w:ascii="宋体" w:hAnsi="宋体" w:eastAsia="宋体" w:cs="宋体"/>
                <w:i w:val="0"/>
                <w:iCs w:val="0"/>
                <w:color w:val="auto"/>
                <w:sz w:val="20"/>
                <w:szCs w:val="20"/>
                <w:highlight w:val="none"/>
                <w:u w:val="none"/>
              </w:rPr>
            </w:pPr>
          </w:p>
        </w:tc>
        <w:tc>
          <w:tcPr>
            <w:tcW w:w="147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9806F15">
            <w:pPr>
              <w:jc w:val="center"/>
              <w:rPr>
                <w:rFonts w:hint="eastAsia" w:ascii="宋体" w:hAnsi="宋体" w:eastAsia="宋体" w:cs="宋体"/>
                <w:i w:val="0"/>
                <w:iCs w:val="0"/>
                <w:color w:val="auto"/>
                <w:sz w:val="20"/>
                <w:szCs w:val="20"/>
                <w:highlight w:val="none"/>
                <w:u w:val="none"/>
              </w:rPr>
            </w:pPr>
          </w:p>
        </w:tc>
        <w:tc>
          <w:tcPr>
            <w:tcW w:w="289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6B89C6D">
            <w:pPr>
              <w:jc w:val="center"/>
              <w:rPr>
                <w:rFonts w:hint="eastAsia" w:ascii="宋体" w:hAnsi="宋体" w:eastAsia="宋体" w:cs="宋体"/>
                <w:i w:val="0"/>
                <w:iCs w:val="0"/>
                <w:color w:val="auto"/>
                <w:sz w:val="20"/>
                <w:szCs w:val="20"/>
                <w:highlight w:val="none"/>
                <w:u w:val="none"/>
              </w:rPr>
            </w:pPr>
          </w:p>
        </w:tc>
        <w:tc>
          <w:tcPr>
            <w:tcW w:w="54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8472CFE">
            <w:pPr>
              <w:jc w:val="center"/>
              <w:rPr>
                <w:rFonts w:hint="eastAsia" w:ascii="宋体" w:hAnsi="宋体" w:eastAsia="宋体" w:cs="宋体"/>
                <w:i w:val="0"/>
                <w:iCs w:val="0"/>
                <w:color w:val="auto"/>
                <w:sz w:val="20"/>
                <w:szCs w:val="20"/>
                <w:highlight w:val="none"/>
                <w:u w:val="none"/>
              </w:rPr>
            </w:pPr>
          </w:p>
        </w:tc>
        <w:tc>
          <w:tcPr>
            <w:tcW w:w="111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A37B1AD">
            <w:pPr>
              <w:jc w:val="center"/>
              <w:rPr>
                <w:rFonts w:hint="eastAsia" w:ascii="宋体" w:hAnsi="宋体" w:eastAsia="宋体" w:cs="宋体"/>
                <w:i w:val="0"/>
                <w:iCs w:val="0"/>
                <w:color w:val="auto"/>
                <w:sz w:val="20"/>
                <w:szCs w:val="20"/>
                <w:highlight w:val="none"/>
                <w:u w:val="none"/>
              </w:rPr>
            </w:pPr>
          </w:p>
        </w:tc>
        <w:tc>
          <w:tcPr>
            <w:tcW w:w="1065"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61AF0AED">
            <w:pPr>
              <w:jc w:val="center"/>
              <w:rPr>
                <w:rFonts w:hint="eastAsia" w:ascii="宋体" w:hAnsi="宋体" w:eastAsia="宋体" w:cs="宋体"/>
                <w:i w:val="0"/>
                <w:iCs w:val="0"/>
                <w:color w:val="auto"/>
                <w:sz w:val="20"/>
                <w:szCs w:val="20"/>
                <w:highlight w:val="none"/>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1236E483">
            <w:pPr>
              <w:jc w:val="center"/>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B9181B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人工费</w:t>
            </w: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E0C211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机械费</w:t>
            </w: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DCACD6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暂估价</w:t>
            </w:r>
          </w:p>
        </w:tc>
        <w:tc>
          <w:tcPr>
            <w:tcW w:w="1005" w:type="dxa"/>
            <w:vMerge w:val="continue"/>
            <w:tcBorders>
              <w:top w:val="single" w:color="000000" w:sz="8" w:space="0"/>
              <w:left w:val="single" w:color="000000" w:sz="4" w:space="0"/>
              <w:bottom w:val="single" w:color="000000" w:sz="4" w:space="0"/>
              <w:right w:val="single" w:color="000000" w:sz="8" w:space="0"/>
            </w:tcBorders>
            <w:shd w:val="clear" w:color="FFFFFF" w:fill="FFFFFF"/>
            <w:vAlign w:val="center"/>
          </w:tcPr>
          <w:p w14:paraId="13380EFC">
            <w:pPr>
              <w:jc w:val="center"/>
              <w:rPr>
                <w:rFonts w:hint="eastAsia" w:ascii="宋体" w:hAnsi="宋体" w:eastAsia="宋体" w:cs="宋体"/>
                <w:i w:val="0"/>
                <w:iCs w:val="0"/>
                <w:color w:val="auto"/>
                <w:sz w:val="20"/>
                <w:szCs w:val="20"/>
                <w:highlight w:val="none"/>
                <w:u w:val="none"/>
              </w:rPr>
            </w:pPr>
          </w:p>
        </w:tc>
      </w:tr>
      <w:tr w14:paraId="221F94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88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B969D3A">
            <w:pPr>
              <w:jc w:val="right"/>
              <w:rPr>
                <w:rFonts w:hint="eastAsia" w:ascii="宋体" w:hAnsi="宋体" w:eastAsia="宋体" w:cs="宋体"/>
                <w:i w:val="0"/>
                <w:iCs w:val="0"/>
                <w:color w:val="auto"/>
                <w:sz w:val="20"/>
                <w:szCs w:val="20"/>
                <w:highlight w:val="none"/>
                <w:u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81CF6B1">
            <w:pPr>
              <w:jc w:val="center"/>
              <w:rPr>
                <w:rFonts w:hint="eastAsia" w:ascii="宋体" w:hAnsi="宋体" w:eastAsia="宋体" w:cs="宋体"/>
                <w:i w:val="0"/>
                <w:iCs w:val="0"/>
                <w:color w:val="auto"/>
                <w:sz w:val="20"/>
                <w:szCs w:val="20"/>
                <w:highlight w:val="none"/>
                <w:u w:val="none"/>
              </w:rPr>
            </w:pPr>
          </w:p>
        </w:tc>
        <w:tc>
          <w:tcPr>
            <w:tcW w:w="147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0689B8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混凝土模板及支架（撑）</w:t>
            </w:r>
          </w:p>
        </w:tc>
        <w:tc>
          <w:tcPr>
            <w:tcW w:w="28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6568746">
            <w:pPr>
              <w:jc w:val="left"/>
              <w:rPr>
                <w:rFonts w:hint="eastAsia" w:ascii="宋体" w:hAnsi="宋体" w:eastAsia="宋体" w:cs="宋体"/>
                <w:i w:val="0"/>
                <w:iCs w:val="0"/>
                <w:color w:val="auto"/>
                <w:sz w:val="20"/>
                <w:szCs w:val="20"/>
                <w:highlight w:val="none"/>
                <w:u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373DD53">
            <w:pPr>
              <w:jc w:val="left"/>
              <w:rPr>
                <w:rFonts w:hint="eastAsia" w:ascii="宋体" w:hAnsi="宋体" w:eastAsia="宋体" w:cs="宋体"/>
                <w:i w:val="0"/>
                <w:iCs w:val="0"/>
                <w:color w:val="auto"/>
                <w:sz w:val="20"/>
                <w:szCs w:val="20"/>
                <w:highlight w:val="none"/>
                <w:u w:val="none"/>
              </w:rPr>
            </w:pPr>
          </w:p>
        </w:tc>
        <w:tc>
          <w:tcPr>
            <w:tcW w:w="11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886C18D">
            <w:pPr>
              <w:jc w:val="left"/>
              <w:rPr>
                <w:rFonts w:hint="eastAsia" w:ascii="宋体" w:hAnsi="宋体" w:eastAsia="宋体" w:cs="宋体"/>
                <w:i w:val="0"/>
                <w:iCs w:val="0"/>
                <w:color w:val="auto"/>
                <w:sz w:val="20"/>
                <w:szCs w:val="20"/>
                <w:highlight w:val="none"/>
                <w:u w:val="none"/>
              </w:rPr>
            </w:pPr>
          </w:p>
        </w:tc>
        <w:tc>
          <w:tcPr>
            <w:tcW w:w="106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39C719">
            <w:pPr>
              <w:jc w:val="lef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91315E4">
            <w:pPr>
              <w:jc w:val="lef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E2C74FC">
            <w:pPr>
              <w:jc w:val="lef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DFB9EB2">
            <w:pPr>
              <w:jc w:val="lef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73147AA">
            <w:pPr>
              <w:jc w:val="left"/>
              <w:rPr>
                <w:rFonts w:hint="eastAsia" w:ascii="宋体" w:hAnsi="宋体" w:eastAsia="宋体" w:cs="宋体"/>
                <w:i w:val="0"/>
                <w:iCs w:val="0"/>
                <w:color w:val="auto"/>
                <w:sz w:val="20"/>
                <w:szCs w:val="20"/>
                <w:highlight w:val="none"/>
                <w:u w:val="none"/>
              </w:rPr>
            </w:pPr>
          </w:p>
        </w:tc>
        <w:tc>
          <w:tcPr>
            <w:tcW w:w="1005"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0DF49E7A">
            <w:pPr>
              <w:jc w:val="left"/>
              <w:rPr>
                <w:rFonts w:hint="eastAsia" w:ascii="宋体" w:hAnsi="宋体" w:eastAsia="宋体" w:cs="宋体"/>
                <w:i w:val="0"/>
                <w:iCs w:val="0"/>
                <w:color w:val="auto"/>
                <w:sz w:val="20"/>
                <w:szCs w:val="20"/>
                <w:highlight w:val="none"/>
                <w:u w:val="none"/>
              </w:rPr>
            </w:pPr>
          </w:p>
        </w:tc>
      </w:tr>
      <w:tr w14:paraId="40A4BA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88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B5E48C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338C6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011702001001</w:t>
            </w:r>
          </w:p>
        </w:tc>
        <w:tc>
          <w:tcPr>
            <w:tcW w:w="147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1FF8D1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基础</w:t>
            </w:r>
          </w:p>
        </w:tc>
        <w:tc>
          <w:tcPr>
            <w:tcW w:w="28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889605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1.垫层模板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2.模板类型综合考虑</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4B4B8F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24DFD52">
            <w:pPr>
              <w:keepNext w:val="0"/>
              <w:keepLines w:val="0"/>
              <w:widowControl/>
              <w:suppressLineNumbers w:val="0"/>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19.1</w:t>
            </w:r>
          </w:p>
        </w:tc>
        <w:tc>
          <w:tcPr>
            <w:tcW w:w="106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6733FB7">
            <w:pPr>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8FC8879">
            <w:pPr>
              <w:jc w:val="righ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09FDD22">
            <w:pPr>
              <w:jc w:val="righ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7D66F98">
            <w:pPr>
              <w:jc w:val="righ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2715923">
            <w:pPr>
              <w:jc w:val="right"/>
              <w:rPr>
                <w:rFonts w:hint="eastAsia" w:ascii="宋体" w:hAnsi="宋体" w:eastAsia="宋体" w:cs="宋体"/>
                <w:i w:val="0"/>
                <w:iCs w:val="0"/>
                <w:color w:val="auto"/>
                <w:sz w:val="20"/>
                <w:szCs w:val="20"/>
                <w:highlight w:val="none"/>
                <w:u w:val="none"/>
              </w:rPr>
            </w:pPr>
          </w:p>
        </w:tc>
        <w:tc>
          <w:tcPr>
            <w:tcW w:w="1005"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4AA12E14">
            <w:pPr>
              <w:jc w:val="left"/>
              <w:rPr>
                <w:rFonts w:hint="eastAsia" w:ascii="宋体" w:hAnsi="宋体" w:eastAsia="宋体" w:cs="宋体"/>
                <w:i w:val="0"/>
                <w:iCs w:val="0"/>
                <w:color w:val="auto"/>
                <w:sz w:val="20"/>
                <w:szCs w:val="20"/>
                <w:highlight w:val="none"/>
                <w:u w:val="none"/>
              </w:rPr>
            </w:pPr>
          </w:p>
        </w:tc>
      </w:tr>
      <w:tr w14:paraId="719178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88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307A0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F3996F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011702001002</w:t>
            </w:r>
          </w:p>
        </w:tc>
        <w:tc>
          <w:tcPr>
            <w:tcW w:w="147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188D04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基础</w:t>
            </w:r>
          </w:p>
        </w:tc>
        <w:tc>
          <w:tcPr>
            <w:tcW w:w="28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9BC58A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1.带形基础模板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2.模板类型综合考虑</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EEF967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152055C">
            <w:pPr>
              <w:keepNext w:val="0"/>
              <w:keepLines w:val="0"/>
              <w:widowControl/>
              <w:suppressLineNumbers w:val="0"/>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65.62</w:t>
            </w:r>
          </w:p>
        </w:tc>
        <w:tc>
          <w:tcPr>
            <w:tcW w:w="106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3B3E262">
            <w:pPr>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0DDE214">
            <w:pPr>
              <w:jc w:val="righ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999FDF3">
            <w:pPr>
              <w:jc w:val="righ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A9E5350">
            <w:pPr>
              <w:jc w:val="righ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78AF87D">
            <w:pPr>
              <w:jc w:val="right"/>
              <w:rPr>
                <w:rFonts w:hint="eastAsia" w:ascii="宋体" w:hAnsi="宋体" w:eastAsia="宋体" w:cs="宋体"/>
                <w:i w:val="0"/>
                <w:iCs w:val="0"/>
                <w:color w:val="auto"/>
                <w:sz w:val="20"/>
                <w:szCs w:val="20"/>
                <w:highlight w:val="none"/>
                <w:u w:val="none"/>
              </w:rPr>
            </w:pPr>
          </w:p>
        </w:tc>
        <w:tc>
          <w:tcPr>
            <w:tcW w:w="1005"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02F498D6">
            <w:pPr>
              <w:jc w:val="left"/>
              <w:rPr>
                <w:rFonts w:hint="eastAsia" w:ascii="宋体" w:hAnsi="宋体" w:eastAsia="宋体" w:cs="宋体"/>
                <w:i w:val="0"/>
                <w:iCs w:val="0"/>
                <w:color w:val="auto"/>
                <w:sz w:val="20"/>
                <w:szCs w:val="20"/>
                <w:highlight w:val="none"/>
                <w:u w:val="none"/>
              </w:rPr>
            </w:pPr>
          </w:p>
        </w:tc>
      </w:tr>
      <w:tr w14:paraId="241E2D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88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3899A5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0A233F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011702001003</w:t>
            </w:r>
          </w:p>
        </w:tc>
        <w:tc>
          <w:tcPr>
            <w:tcW w:w="147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3381F8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基础</w:t>
            </w:r>
          </w:p>
        </w:tc>
        <w:tc>
          <w:tcPr>
            <w:tcW w:w="28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561132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1.独立基础模板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2.模板类型综合考虑</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1C70DF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991825E">
            <w:pPr>
              <w:keepNext w:val="0"/>
              <w:keepLines w:val="0"/>
              <w:widowControl/>
              <w:suppressLineNumbers w:val="0"/>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23.61</w:t>
            </w:r>
          </w:p>
        </w:tc>
        <w:tc>
          <w:tcPr>
            <w:tcW w:w="106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160870A">
            <w:pPr>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B3619AC">
            <w:pPr>
              <w:jc w:val="righ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6E825A6">
            <w:pPr>
              <w:jc w:val="righ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DC2029E">
            <w:pPr>
              <w:jc w:val="righ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AC411C1">
            <w:pPr>
              <w:jc w:val="right"/>
              <w:rPr>
                <w:rFonts w:hint="eastAsia" w:ascii="宋体" w:hAnsi="宋体" w:eastAsia="宋体" w:cs="宋体"/>
                <w:i w:val="0"/>
                <w:iCs w:val="0"/>
                <w:color w:val="auto"/>
                <w:sz w:val="20"/>
                <w:szCs w:val="20"/>
                <w:highlight w:val="none"/>
                <w:u w:val="none"/>
              </w:rPr>
            </w:pPr>
          </w:p>
        </w:tc>
        <w:tc>
          <w:tcPr>
            <w:tcW w:w="1005"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2274A75">
            <w:pPr>
              <w:jc w:val="left"/>
              <w:rPr>
                <w:rFonts w:hint="eastAsia" w:ascii="宋体" w:hAnsi="宋体" w:eastAsia="宋体" w:cs="宋体"/>
                <w:i w:val="0"/>
                <w:iCs w:val="0"/>
                <w:color w:val="auto"/>
                <w:sz w:val="20"/>
                <w:szCs w:val="20"/>
                <w:highlight w:val="none"/>
                <w:u w:val="none"/>
              </w:rPr>
            </w:pPr>
          </w:p>
        </w:tc>
      </w:tr>
      <w:tr w14:paraId="6756CC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88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78CD52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B58C43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011702002001</w:t>
            </w:r>
          </w:p>
        </w:tc>
        <w:tc>
          <w:tcPr>
            <w:tcW w:w="147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8C72AB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矩形柱</w:t>
            </w:r>
          </w:p>
        </w:tc>
        <w:tc>
          <w:tcPr>
            <w:tcW w:w="28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740331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1.矩形柱模板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2.模板类型综合考虑</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F80155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023BCD8">
            <w:pPr>
              <w:keepNext w:val="0"/>
              <w:keepLines w:val="0"/>
              <w:widowControl/>
              <w:suppressLineNumbers w:val="0"/>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4.48</w:t>
            </w:r>
          </w:p>
        </w:tc>
        <w:tc>
          <w:tcPr>
            <w:tcW w:w="106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0F1A7FA">
            <w:pPr>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02E29E3">
            <w:pPr>
              <w:jc w:val="righ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274FD94">
            <w:pPr>
              <w:jc w:val="righ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26905E8">
            <w:pPr>
              <w:jc w:val="righ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8D5B204">
            <w:pPr>
              <w:jc w:val="right"/>
              <w:rPr>
                <w:rFonts w:hint="eastAsia" w:ascii="宋体" w:hAnsi="宋体" w:eastAsia="宋体" w:cs="宋体"/>
                <w:i w:val="0"/>
                <w:iCs w:val="0"/>
                <w:color w:val="auto"/>
                <w:sz w:val="20"/>
                <w:szCs w:val="20"/>
                <w:highlight w:val="none"/>
                <w:u w:val="none"/>
              </w:rPr>
            </w:pPr>
          </w:p>
        </w:tc>
        <w:tc>
          <w:tcPr>
            <w:tcW w:w="1005"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5942A574">
            <w:pPr>
              <w:jc w:val="left"/>
              <w:rPr>
                <w:rFonts w:hint="eastAsia" w:ascii="宋体" w:hAnsi="宋体" w:eastAsia="宋体" w:cs="宋体"/>
                <w:i w:val="0"/>
                <w:iCs w:val="0"/>
                <w:color w:val="auto"/>
                <w:sz w:val="20"/>
                <w:szCs w:val="20"/>
                <w:highlight w:val="none"/>
                <w:u w:val="none"/>
              </w:rPr>
            </w:pPr>
          </w:p>
        </w:tc>
      </w:tr>
      <w:tr w14:paraId="4EE5DA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88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005E93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77AE03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011702002002</w:t>
            </w:r>
          </w:p>
        </w:tc>
        <w:tc>
          <w:tcPr>
            <w:tcW w:w="147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8EC564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矩形柱</w:t>
            </w:r>
          </w:p>
        </w:tc>
        <w:tc>
          <w:tcPr>
            <w:tcW w:w="28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AB489B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1.矩形柱模板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2.模板类型综合考虑</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3.支模高度：4.6m以内</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483EC9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E86DD74">
            <w:pPr>
              <w:keepNext w:val="0"/>
              <w:keepLines w:val="0"/>
              <w:widowControl/>
              <w:suppressLineNumbers w:val="0"/>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52.83</w:t>
            </w:r>
          </w:p>
        </w:tc>
        <w:tc>
          <w:tcPr>
            <w:tcW w:w="106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846FBDF">
            <w:pPr>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E4A9F7D">
            <w:pPr>
              <w:jc w:val="righ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DA5333E">
            <w:pPr>
              <w:jc w:val="righ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DD36BED">
            <w:pPr>
              <w:jc w:val="righ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D62AC66">
            <w:pPr>
              <w:jc w:val="right"/>
              <w:rPr>
                <w:rFonts w:hint="eastAsia" w:ascii="宋体" w:hAnsi="宋体" w:eastAsia="宋体" w:cs="宋体"/>
                <w:i w:val="0"/>
                <w:iCs w:val="0"/>
                <w:color w:val="auto"/>
                <w:sz w:val="20"/>
                <w:szCs w:val="20"/>
                <w:highlight w:val="none"/>
                <w:u w:val="none"/>
              </w:rPr>
            </w:pPr>
          </w:p>
        </w:tc>
        <w:tc>
          <w:tcPr>
            <w:tcW w:w="1005"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3F65FF1">
            <w:pPr>
              <w:jc w:val="left"/>
              <w:rPr>
                <w:rFonts w:hint="eastAsia" w:ascii="宋体" w:hAnsi="宋体" w:eastAsia="宋体" w:cs="宋体"/>
                <w:i w:val="0"/>
                <w:iCs w:val="0"/>
                <w:color w:val="auto"/>
                <w:sz w:val="20"/>
                <w:szCs w:val="20"/>
                <w:highlight w:val="none"/>
                <w:u w:val="none"/>
              </w:rPr>
            </w:pPr>
          </w:p>
        </w:tc>
      </w:tr>
      <w:tr w14:paraId="66F0DE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88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2FD5DC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4F31D1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011702003001</w:t>
            </w:r>
          </w:p>
        </w:tc>
        <w:tc>
          <w:tcPr>
            <w:tcW w:w="147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258FD4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构造柱</w:t>
            </w:r>
          </w:p>
        </w:tc>
        <w:tc>
          <w:tcPr>
            <w:tcW w:w="28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0A90B4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1.构造柱模板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2.模板类型综合考虑</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60F560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DC2CEB4">
            <w:pPr>
              <w:keepNext w:val="0"/>
              <w:keepLines w:val="0"/>
              <w:widowControl/>
              <w:suppressLineNumbers w:val="0"/>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34.28</w:t>
            </w:r>
          </w:p>
        </w:tc>
        <w:tc>
          <w:tcPr>
            <w:tcW w:w="106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2D2EFD3">
            <w:pPr>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CB6794D">
            <w:pPr>
              <w:jc w:val="righ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7BFC106">
            <w:pPr>
              <w:jc w:val="righ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091E5A4">
            <w:pPr>
              <w:jc w:val="righ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2AAB645">
            <w:pPr>
              <w:jc w:val="right"/>
              <w:rPr>
                <w:rFonts w:hint="eastAsia" w:ascii="宋体" w:hAnsi="宋体" w:eastAsia="宋体" w:cs="宋体"/>
                <w:i w:val="0"/>
                <w:iCs w:val="0"/>
                <w:color w:val="auto"/>
                <w:sz w:val="20"/>
                <w:szCs w:val="20"/>
                <w:highlight w:val="none"/>
                <w:u w:val="none"/>
              </w:rPr>
            </w:pPr>
          </w:p>
        </w:tc>
        <w:tc>
          <w:tcPr>
            <w:tcW w:w="1005"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06F4E49">
            <w:pPr>
              <w:jc w:val="left"/>
              <w:rPr>
                <w:rFonts w:hint="eastAsia" w:ascii="宋体" w:hAnsi="宋体" w:eastAsia="宋体" w:cs="宋体"/>
                <w:i w:val="0"/>
                <w:iCs w:val="0"/>
                <w:color w:val="auto"/>
                <w:sz w:val="20"/>
                <w:szCs w:val="20"/>
                <w:highlight w:val="none"/>
                <w:u w:val="none"/>
              </w:rPr>
            </w:pPr>
          </w:p>
        </w:tc>
      </w:tr>
      <w:tr w14:paraId="2F6CE6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88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E0FB87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A6032A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011702006001</w:t>
            </w:r>
          </w:p>
        </w:tc>
        <w:tc>
          <w:tcPr>
            <w:tcW w:w="147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D35362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矩形梁</w:t>
            </w:r>
          </w:p>
        </w:tc>
        <w:tc>
          <w:tcPr>
            <w:tcW w:w="28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70112E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1.矩形梁模板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2.模板类型综合考虑</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3.支模高度：4.6m以内</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F6357B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486ECD1">
            <w:pPr>
              <w:keepNext w:val="0"/>
              <w:keepLines w:val="0"/>
              <w:widowControl/>
              <w:suppressLineNumbers w:val="0"/>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56.92</w:t>
            </w:r>
          </w:p>
        </w:tc>
        <w:tc>
          <w:tcPr>
            <w:tcW w:w="106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6E9B013">
            <w:pPr>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A8762A0">
            <w:pPr>
              <w:jc w:val="righ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C3FC938">
            <w:pPr>
              <w:jc w:val="righ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EFE5F2F">
            <w:pPr>
              <w:jc w:val="righ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EB1DD29">
            <w:pPr>
              <w:jc w:val="right"/>
              <w:rPr>
                <w:rFonts w:hint="eastAsia" w:ascii="宋体" w:hAnsi="宋体" w:eastAsia="宋体" w:cs="宋体"/>
                <w:i w:val="0"/>
                <w:iCs w:val="0"/>
                <w:color w:val="auto"/>
                <w:sz w:val="20"/>
                <w:szCs w:val="20"/>
                <w:highlight w:val="none"/>
                <w:u w:val="none"/>
              </w:rPr>
            </w:pPr>
          </w:p>
        </w:tc>
        <w:tc>
          <w:tcPr>
            <w:tcW w:w="1005"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D278151">
            <w:pPr>
              <w:jc w:val="left"/>
              <w:rPr>
                <w:rFonts w:hint="eastAsia" w:ascii="宋体" w:hAnsi="宋体" w:eastAsia="宋体" w:cs="宋体"/>
                <w:i w:val="0"/>
                <w:iCs w:val="0"/>
                <w:color w:val="auto"/>
                <w:sz w:val="20"/>
                <w:szCs w:val="20"/>
                <w:highlight w:val="none"/>
                <w:u w:val="none"/>
              </w:rPr>
            </w:pPr>
          </w:p>
        </w:tc>
      </w:tr>
      <w:tr w14:paraId="67F84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88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39B230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FAF9AD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011702006003</w:t>
            </w:r>
          </w:p>
        </w:tc>
        <w:tc>
          <w:tcPr>
            <w:tcW w:w="147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9EEBC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矩形梁</w:t>
            </w:r>
          </w:p>
        </w:tc>
        <w:tc>
          <w:tcPr>
            <w:tcW w:w="28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870F01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1.矩形梁模板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2.模板类型综合考虑</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3.支模高度：6.6m以内</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945FDE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1A6D64A">
            <w:pPr>
              <w:keepNext w:val="0"/>
              <w:keepLines w:val="0"/>
              <w:widowControl/>
              <w:suppressLineNumbers w:val="0"/>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23.98</w:t>
            </w:r>
          </w:p>
        </w:tc>
        <w:tc>
          <w:tcPr>
            <w:tcW w:w="106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D552D33">
            <w:pPr>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406021B">
            <w:pPr>
              <w:jc w:val="righ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6B3A8D2">
            <w:pPr>
              <w:jc w:val="righ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A83B780">
            <w:pPr>
              <w:jc w:val="righ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E9964D7">
            <w:pPr>
              <w:jc w:val="right"/>
              <w:rPr>
                <w:rFonts w:hint="eastAsia" w:ascii="宋体" w:hAnsi="宋体" w:eastAsia="宋体" w:cs="宋体"/>
                <w:i w:val="0"/>
                <w:iCs w:val="0"/>
                <w:color w:val="auto"/>
                <w:sz w:val="20"/>
                <w:szCs w:val="20"/>
                <w:highlight w:val="none"/>
                <w:u w:val="none"/>
              </w:rPr>
            </w:pPr>
          </w:p>
        </w:tc>
        <w:tc>
          <w:tcPr>
            <w:tcW w:w="1005"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A56B69E">
            <w:pPr>
              <w:jc w:val="left"/>
              <w:rPr>
                <w:rFonts w:hint="eastAsia" w:ascii="宋体" w:hAnsi="宋体" w:eastAsia="宋体" w:cs="宋体"/>
                <w:i w:val="0"/>
                <w:iCs w:val="0"/>
                <w:color w:val="auto"/>
                <w:sz w:val="20"/>
                <w:szCs w:val="20"/>
                <w:highlight w:val="none"/>
                <w:u w:val="none"/>
              </w:rPr>
            </w:pPr>
          </w:p>
        </w:tc>
      </w:tr>
      <w:tr w14:paraId="0868A8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88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CB2475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6035C7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011702006002</w:t>
            </w:r>
          </w:p>
        </w:tc>
        <w:tc>
          <w:tcPr>
            <w:tcW w:w="147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F99974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矩形梁</w:t>
            </w:r>
          </w:p>
        </w:tc>
        <w:tc>
          <w:tcPr>
            <w:tcW w:w="28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354335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1.斜梁模板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2.模板类型综合考虑</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3.支模高度：5.6m以内</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472E8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FD51215">
            <w:pPr>
              <w:keepNext w:val="0"/>
              <w:keepLines w:val="0"/>
              <w:widowControl/>
              <w:suppressLineNumbers w:val="0"/>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43.76</w:t>
            </w:r>
          </w:p>
        </w:tc>
        <w:tc>
          <w:tcPr>
            <w:tcW w:w="106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A7761C7">
            <w:pPr>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C5DA47B">
            <w:pPr>
              <w:jc w:val="righ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129CF21">
            <w:pPr>
              <w:jc w:val="righ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BC8E8DA">
            <w:pPr>
              <w:jc w:val="righ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26EB58D">
            <w:pPr>
              <w:jc w:val="right"/>
              <w:rPr>
                <w:rFonts w:hint="eastAsia" w:ascii="宋体" w:hAnsi="宋体" w:eastAsia="宋体" w:cs="宋体"/>
                <w:i w:val="0"/>
                <w:iCs w:val="0"/>
                <w:color w:val="auto"/>
                <w:sz w:val="20"/>
                <w:szCs w:val="20"/>
                <w:highlight w:val="none"/>
                <w:u w:val="none"/>
              </w:rPr>
            </w:pPr>
          </w:p>
        </w:tc>
        <w:tc>
          <w:tcPr>
            <w:tcW w:w="1005"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54B79C5">
            <w:pPr>
              <w:jc w:val="left"/>
              <w:rPr>
                <w:rFonts w:hint="eastAsia" w:ascii="宋体" w:hAnsi="宋体" w:eastAsia="宋体" w:cs="宋体"/>
                <w:i w:val="0"/>
                <w:iCs w:val="0"/>
                <w:color w:val="auto"/>
                <w:sz w:val="20"/>
                <w:szCs w:val="20"/>
                <w:highlight w:val="none"/>
                <w:u w:val="none"/>
              </w:rPr>
            </w:pPr>
          </w:p>
        </w:tc>
      </w:tr>
      <w:tr w14:paraId="3ADA5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88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C6C26F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CBE07A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011702009001</w:t>
            </w:r>
          </w:p>
        </w:tc>
        <w:tc>
          <w:tcPr>
            <w:tcW w:w="147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624ADA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过梁</w:t>
            </w:r>
          </w:p>
        </w:tc>
        <w:tc>
          <w:tcPr>
            <w:tcW w:w="28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4D371E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1.过梁模板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2.模板类型综合考虑</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74B736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816BC64">
            <w:pPr>
              <w:keepNext w:val="0"/>
              <w:keepLines w:val="0"/>
              <w:widowControl/>
              <w:suppressLineNumbers w:val="0"/>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11.25</w:t>
            </w:r>
          </w:p>
        </w:tc>
        <w:tc>
          <w:tcPr>
            <w:tcW w:w="106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E3220F6">
            <w:pPr>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E104C22">
            <w:pPr>
              <w:jc w:val="righ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C1F354">
            <w:pPr>
              <w:jc w:val="righ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37DD256">
            <w:pPr>
              <w:jc w:val="righ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E64266F">
            <w:pPr>
              <w:jc w:val="right"/>
              <w:rPr>
                <w:rFonts w:hint="eastAsia" w:ascii="宋体" w:hAnsi="宋体" w:eastAsia="宋体" w:cs="宋体"/>
                <w:i w:val="0"/>
                <w:iCs w:val="0"/>
                <w:color w:val="auto"/>
                <w:sz w:val="20"/>
                <w:szCs w:val="20"/>
                <w:highlight w:val="none"/>
                <w:u w:val="none"/>
              </w:rPr>
            </w:pPr>
          </w:p>
        </w:tc>
        <w:tc>
          <w:tcPr>
            <w:tcW w:w="1005"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C15519B">
            <w:pPr>
              <w:jc w:val="left"/>
              <w:rPr>
                <w:rFonts w:hint="eastAsia" w:ascii="宋体" w:hAnsi="宋体" w:eastAsia="宋体" w:cs="宋体"/>
                <w:i w:val="0"/>
                <w:iCs w:val="0"/>
                <w:color w:val="auto"/>
                <w:sz w:val="20"/>
                <w:szCs w:val="20"/>
                <w:highlight w:val="none"/>
                <w:u w:val="none"/>
              </w:rPr>
            </w:pPr>
          </w:p>
        </w:tc>
      </w:tr>
      <w:tr w14:paraId="1477F0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9375" w:type="dxa"/>
            <w:gridSpan w:val="7"/>
            <w:tcBorders>
              <w:top w:val="single" w:color="000000" w:sz="4" w:space="0"/>
              <w:left w:val="single" w:color="000000" w:sz="8" w:space="0"/>
              <w:bottom w:val="single" w:color="000000" w:sz="8" w:space="0"/>
              <w:right w:val="single" w:color="000000" w:sz="4" w:space="0"/>
            </w:tcBorders>
            <w:shd w:val="clear" w:color="FFFFFF" w:fill="FFFFFF"/>
            <w:vAlign w:val="center"/>
          </w:tcPr>
          <w:p w14:paraId="0BA9990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本页小计</w:t>
            </w:r>
          </w:p>
        </w:tc>
        <w:tc>
          <w:tcPr>
            <w:tcW w:w="840"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66F6E804">
            <w:pPr>
              <w:jc w:val="lef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792CDFCD">
            <w:pPr>
              <w:jc w:val="lef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5036A732">
            <w:pPr>
              <w:jc w:val="lef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44F195B4">
            <w:pPr>
              <w:jc w:val="left"/>
              <w:rPr>
                <w:rFonts w:hint="eastAsia" w:ascii="宋体" w:hAnsi="宋体" w:eastAsia="宋体" w:cs="宋体"/>
                <w:i w:val="0"/>
                <w:iCs w:val="0"/>
                <w:color w:val="auto"/>
                <w:sz w:val="20"/>
                <w:szCs w:val="20"/>
                <w:highlight w:val="none"/>
                <w:u w:val="none"/>
              </w:rPr>
            </w:pPr>
          </w:p>
        </w:tc>
        <w:tc>
          <w:tcPr>
            <w:tcW w:w="1005"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3D3C75C3">
            <w:pPr>
              <w:jc w:val="left"/>
              <w:rPr>
                <w:rFonts w:hint="eastAsia" w:ascii="宋体" w:hAnsi="宋体" w:eastAsia="宋体" w:cs="宋体"/>
                <w:i w:val="0"/>
                <w:iCs w:val="0"/>
                <w:color w:val="auto"/>
                <w:sz w:val="20"/>
                <w:szCs w:val="20"/>
                <w:highlight w:val="none"/>
                <w:u w:val="none"/>
              </w:rPr>
            </w:pPr>
          </w:p>
        </w:tc>
      </w:tr>
    </w:tbl>
    <w:p w14:paraId="0CF3CEB6">
      <w:pPr>
        <w:rPr>
          <w:rFonts w:hint="eastAsia" w:ascii="宋体" w:hAnsi="宋体" w:eastAsia="宋体" w:cs="宋体"/>
          <w:color w:val="auto"/>
          <w:kern w:val="2"/>
          <w:sz w:val="24"/>
          <w:szCs w:val="24"/>
          <w:highlight w:val="none"/>
          <w:lang w:val="en-US" w:eastAsia="zh-CN" w:bidi="ar-SA"/>
        </w:rPr>
      </w:pPr>
    </w:p>
    <w:p w14:paraId="2A18A014">
      <w:pPr>
        <w:pStyle w:val="16"/>
        <w:rPr>
          <w:rFonts w:hint="eastAsia"/>
          <w:color w:val="auto"/>
          <w:highlight w:val="none"/>
          <w:lang w:val="en-US" w:eastAsia="zh-CN"/>
        </w:rPr>
        <w:sectPr>
          <w:pgSz w:w="16838" w:h="11906" w:orient="landscape"/>
          <w:pgMar w:top="1803" w:right="1440" w:bottom="1803" w:left="1440" w:header="851" w:footer="992" w:gutter="0"/>
          <w:pgBorders>
            <w:top w:val="none" w:sz="0" w:space="0"/>
            <w:left w:val="none" w:sz="0" w:space="0"/>
            <w:bottom w:val="none" w:sz="0" w:space="0"/>
            <w:right w:val="none" w:sz="0" w:space="0"/>
          </w:pgBorders>
          <w:pgNumType w:fmt="decimal"/>
          <w:cols w:space="0" w:num="1"/>
          <w:rtlGutter w:val="0"/>
          <w:docGrid w:type="lines" w:linePitch="319" w:charSpace="0"/>
        </w:sectPr>
      </w:pPr>
    </w:p>
    <w:tbl>
      <w:tblPr>
        <w:tblStyle w:val="23"/>
        <w:tblW w:w="139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84"/>
        <w:gridCol w:w="1416"/>
        <w:gridCol w:w="1469"/>
        <w:gridCol w:w="2893"/>
        <w:gridCol w:w="540"/>
        <w:gridCol w:w="1110"/>
        <w:gridCol w:w="1064"/>
        <w:gridCol w:w="840"/>
        <w:gridCol w:w="900"/>
        <w:gridCol w:w="900"/>
        <w:gridCol w:w="900"/>
        <w:gridCol w:w="1004"/>
      </w:tblGrid>
      <w:tr w14:paraId="57B347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 w:hRule="atLeast"/>
        </w:trPr>
        <w:tc>
          <w:tcPr>
            <w:tcW w:w="10216" w:type="dxa"/>
            <w:gridSpan w:val="8"/>
            <w:tcBorders>
              <w:top w:val="nil"/>
              <w:left w:val="nil"/>
              <w:bottom w:val="nil"/>
              <w:right w:val="nil"/>
            </w:tcBorders>
            <w:shd w:val="clear" w:color="FFFFFF" w:fill="FFFFFF"/>
            <w:vAlign w:val="center"/>
          </w:tcPr>
          <w:p w14:paraId="7145A68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【表10.2.2-16】</w:t>
            </w:r>
          </w:p>
        </w:tc>
        <w:tc>
          <w:tcPr>
            <w:tcW w:w="3704" w:type="dxa"/>
            <w:gridSpan w:val="4"/>
            <w:tcBorders>
              <w:top w:val="nil"/>
              <w:left w:val="nil"/>
              <w:bottom w:val="nil"/>
              <w:right w:val="nil"/>
            </w:tcBorders>
            <w:shd w:val="clear" w:color="FFFFFF" w:fill="FFFFFF"/>
            <w:vAlign w:val="center"/>
          </w:tcPr>
          <w:p w14:paraId="5D1208BE">
            <w:pPr>
              <w:jc w:val="right"/>
              <w:rPr>
                <w:rFonts w:hint="eastAsia" w:ascii="宋体" w:hAnsi="宋体" w:eastAsia="宋体" w:cs="宋体"/>
                <w:i w:val="0"/>
                <w:iCs w:val="0"/>
                <w:color w:val="auto"/>
                <w:sz w:val="18"/>
                <w:szCs w:val="18"/>
                <w:highlight w:val="none"/>
                <w:u w:val="none"/>
              </w:rPr>
            </w:pPr>
          </w:p>
        </w:tc>
      </w:tr>
      <w:tr w14:paraId="340513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13920" w:type="dxa"/>
            <w:gridSpan w:val="12"/>
            <w:tcBorders>
              <w:top w:val="nil"/>
              <w:left w:val="nil"/>
              <w:bottom w:val="nil"/>
              <w:right w:val="nil"/>
            </w:tcBorders>
            <w:shd w:val="clear" w:color="FFFFFF" w:fill="FFFFFF"/>
            <w:vAlign w:val="center"/>
          </w:tcPr>
          <w:p w14:paraId="4FA671C1">
            <w:pPr>
              <w:keepNext w:val="0"/>
              <w:keepLines w:val="0"/>
              <w:widowControl/>
              <w:suppressLineNumbers w:val="0"/>
              <w:jc w:val="center"/>
              <w:textAlignment w:val="center"/>
              <w:rPr>
                <w:rFonts w:hint="eastAsia" w:ascii="宋体" w:hAnsi="宋体" w:eastAsia="宋体" w:cs="宋体"/>
                <w:b/>
                <w:bCs/>
                <w:i w:val="0"/>
                <w:iCs w:val="0"/>
                <w:color w:val="auto"/>
                <w:sz w:val="40"/>
                <w:szCs w:val="40"/>
                <w:highlight w:val="none"/>
                <w:u w:val="none"/>
              </w:rPr>
            </w:pPr>
            <w:r>
              <w:rPr>
                <w:rFonts w:hint="eastAsia" w:ascii="宋体" w:hAnsi="宋体" w:eastAsia="宋体" w:cs="宋体"/>
                <w:b/>
                <w:bCs/>
                <w:i w:val="0"/>
                <w:iCs w:val="0"/>
                <w:color w:val="auto"/>
                <w:kern w:val="0"/>
                <w:sz w:val="40"/>
                <w:szCs w:val="40"/>
                <w:highlight w:val="none"/>
                <w:u w:val="none"/>
                <w:lang w:val="en-US" w:eastAsia="zh-CN" w:bidi="ar"/>
              </w:rPr>
              <w:t>施工技术措施项目清单与计价表</w:t>
            </w:r>
          </w:p>
        </w:tc>
      </w:tr>
      <w:tr w14:paraId="1A9BCE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3769" w:type="dxa"/>
            <w:gridSpan w:val="3"/>
            <w:tcBorders>
              <w:top w:val="nil"/>
              <w:left w:val="nil"/>
              <w:bottom w:val="nil"/>
              <w:right w:val="nil"/>
            </w:tcBorders>
            <w:shd w:val="clear" w:color="FFFFFF" w:fill="FFFFFF"/>
            <w:vAlign w:val="bottom"/>
          </w:tcPr>
          <w:p w14:paraId="7BAAFF81">
            <w:pPr>
              <w:keepNext w:val="0"/>
              <w:keepLines w:val="0"/>
              <w:widowControl/>
              <w:suppressLineNumbers w:val="0"/>
              <w:jc w:val="lef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工程名称：单项工程-配套用房建筑工程</w:t>
            </w:r>
          </w:p>
        </w:tc>
        <w:tc>
          <w:tcPr>
            <w:tcW w:w="6447" w:type="dxa"/>
            <w:gridSpan w:val="5"/>
            <w:tcBorders>
              <w:top w:val="nil"/>
              <w:left w:val="nil"/>
              <w:bottom w:val="nil"/>
              <w:right w:val="nil"/>
            </w:tcBorders>
            <w:shd w:val="clear" w:color="FFFFFF" w:fill="FFFFFF"/>
            <w:vAlign w:val="bottom"/>
          </w:tcPr>
          <w:p w14:paraId="73E2186E">
            <w:pPr>
              <w:keepNext w:val="0"/>
              <w:keepLines w:val="0"/>
              <w:widowControl/>
              <w:suppressLineNumbers w:val="0"/>
              <w:jc w:val="lef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标段：</w:t>
            </w:r>
          </w:p>
        </w:tc>
        <w:tc>
          <w:tcPr>
            <w:tcW w:w="3704" w:type="dxa"/>
            <w:gridSpan w:val="4"/>
            <w:tcBorders>
              <w:top w:val="nil"/>
              <w:left w:val="nil"/>
              <w:bottom w:val="nil"/>
              <w:right w:val="nil"/>
            </w:tcBorders>
            <w:shd w:val="clear" w:color="FFFFFF" w:fill="FFFFFF"/>
            <w:vAlign w:val="bottom"/>
          </w:tcPr>
          <w:p w14:paraId="57233306">
            <w:pPr>
              <w:keepNext w:val="0"/>
              <w:keepLines w:val="0"/>
              <w:widowControl/>
              <w:suppressLineNumbers w:val="0"/>
              <w:jc w:val="righ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第 2 页  共 2 页</w:t>
            </w:r>
          </w:p>
        </w:tc>
      </w:tr>
      <w:tr w14:paraId="06D97D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884"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73E35AC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序号</w:t>
            </w:r>
          </w:p>
        </w:tc>
        <w:tc>
          <w:tcPr>
            <w:tcW w:w="1416"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8A1506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项目编码</w:t>
            </w:r>
          </w:p>
        </w:tc>
        <w:tc>
          <w:tcPr>
            <w:tcW w:w="1469"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4DDBD72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项目名称</w:t>
            </w:r>
          </w:p>
        </w:tc>
        <w:tc>
          <w:tcPr>
            <w:tcW w:w="2893"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0D5020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项目特征</w:t>
            </w:r>
          </w:p>
        </w:tc>
        <w:tc>
          <w:tcPr>
            <w:tcW w:w="54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44DADE2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计量单位</w:t>
            </w:r>
          </w:p>
        </w:tc>
        <w:tc>
          <w:tcPr>
            <w:tcW w:w="111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61BB294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工程量</w:t>
            </w:r>
          </w:p>
        </w:tc>
        <w:tc>
          <w:tcPr>
            <w:tcW w:w="4604" w:type="dxa"/>
            <w:gridSpan w:val="5"/>
            <w:tcBorders>
              <w:top w:val="single" w:color="000000" w:sz="8" w:space="0"/>
              <w:left w:val="single" w:color="000000" w:sz="4" w:space="0"/>
              <w:bottom w:val="single" w:color="000000" w:sz="4" w:space="0"/>
              <w:right w:val="single" w:color="000000" w:sz="4" w:space="0"/>
            </w:tcBorders>
            <w:shd w:val="clear" w:color="FFFFFF" w:fill="FFFFFF"/>
            <w:vAlign w:val="center"/>
          </w:tcPr>
          <w:p w14:paraId="062ED75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金额（元）</w:t>
            </w:r>
          </w:p>
        </w:tc>
        <w:tc>
          <w:tcPr>
            <w:tcW w:w="1004" w:type="dxa"/>
            <w:vMerge w:val="restart"/>
            <w:tcBorders>
              <w:top w:val="single" w:color="000000" w:sz="8" w:space="0"/>
              <w:left w:val="single" w:color="000000" w:sz="4" w:space="0"/>
              <w:bottom w:val="single" w:color="000000" w:sz="4" w:space="0"/>
              <w:right w:val="single" w:color="000000" w:sz="8" w:space="0"/>
            </w:tcBorders>
            <w:shd w:val="clear" w:color="FFFFFF" w:fill="FFFFFF"/>
            <w:vAlign w:val="center"/>
          </w:tcPr>
          <w:p w14:paraId="584EA57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备注</w:t>
            </w:r>
          </w:p>
        </w:tc>
      </w:tr>
      <w:tr w14:paraId="57F31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884"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5607843A">
            <w:pPr>
              <w:jc w:val="center"/>
              <w:rPr>
                <w:rFonts w:hint="eastAsia" w:ascii="宋体" w:hAnsi="宋体" w:eastAsia="宋体" w:cs="宋体"/>
                <w:i w:val="0"/>
                <w:iCs w:val="0"/>
                <w:color w:val="auto"/>
                <w:sz w:val="20"/>
                <w:szCs w:val="20"/>
                <w:highlight w:val="none"/>
                <w:u w:val="none"/>
              </w:rPr>
            </w:pPr>
          </w:p>
        </w:tc>
        <w:tc>
          <w:tcPr>
            <w:tcW w:w="141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34E0950">
            <w:pPr>
              <w:jc w:val="center"/>
              <w:rPr>
                <w:rFonts w:hint="eastAsia" w:ascii="宋体" w:hAnsi="宋体" w:eastAsia="宋体" w:cs="宋体"/>
                <w:i w:val="0"/>
                <w:iCs w:val="0"/>
                <w:color w:val="auto"/>
                <w:sz w:val="20"/>
                <w:szCs w:val="20"/>
                <w:highlight w:val="none"/>
                <w:u w:val="none"/>
              </w:rPr>
            </w:pPr>
          </w:p>
        </w:tc>
        <w:tc>
          <w:tcPr>
            <w:tcW w:w="1469"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A271080">
            <w:pPr>
              <w:jc w:val="center"/>
              <w:rPr>
                <w:rFonts w:hint="eastAsia" w:ascii="宋体" w:hAnsi="宋体" w:eastAsia="宋体" w:cs="宋体"/>
                <w:i w:val="0"/>
                <w:iCs w:val="0"/>
                <w:color w:val="auto"/>
                <w:sz w:val="20"/>
                <w:szCs w:val="20"/>
                <w:highlight w:val="none"/>
                <w:u w:val="none"/>
              </w:rPr>
            </w:pPr>
          </w:p>
        </w:tc>
        <w:tc>
          <w:tcPr>
            <w:tcW w:w="2893"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2141256">
            <w:pPr>
              <w:jc w:val="center"/>
              <w:rPr>
                <w:rFonts w:hint="eastAsia" w:ascii="宋体" w:hAnsi="宋体" w:eastAsia="宋体" w:cs="宋体"/>
                <w:i w:val="0"/>
                <w:iCs w:val="0"/>
                <w:color w:val="auto"/>
                <w:sz w:val="20"/>
                <w:szCs w:val="20"/>
                <w:highlight w:val="none"/>
                <w:u w:val="none"/>
              </w:rPr>
            </w:pPr>
          </w:p>
        </w:tc>
        <w:tc>
          <w:tcPr>
            <w:tcW w:w="54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587F03C">
            <w:pPr>
              <w:jc w:val="center"/>
              <w:rPr>
                <w:rFonts w:hint="eastAsia" w:ascii="宋体" w:hAnsi="宋体" w:eastAsia="宋体" w:cs="宋体"/>
                <w:i w:val="0"/>
                <w:iCs w:val="0"/>
                <w:color w:val="auto"/>
                <w:sz w:val="20"/>
                <w:szCs w:val="20"/>
                <w:highlight w:val="none"/>
                <w:u w:val="none"/>
              </w:rPr>
            </w:pPr>
          </w:p>
        </w:tc>
        <w:tc>
          <w:tcPr>
            <w:tcW w:w="111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5FF37A5">
            <w:pPr>
              <w:jc w:val="center"/>
              <w:rPr>
                <w:rFonts w:hint="eastAsia" w:ascii="宋体" w:hAnsi="宋体" w:eastAsia="宋体" w:cs="宋体"/>
                <w:i w:val="0"/>
                <w:iCs w:val="0"/>
                <w:color w:val="auto"/>
                <w:sz w:val="20"/>
                <w:szCs w:val="20"/>
                <w:highlight w:val="none"/>
                <w:u w:val="none"/>
              </w:rPr>
            </w:pPr>
          </w:p>
        </w:tc>
        <w:tc>
          <w:tcPr>
            <w:tcW w:w="1064"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65598BF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综合单价</w:t>
            </w:r>
          </w:p>
        </w:tc>
        <w:tc>
          <w:tcPr>
            <w:tcW w:w="840"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5470506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合价</w:t>
            </w:r>
          </w:p>
        </w:tc>
        <w:tc>
          <w:tcPr>
            <w:tcW w:w="270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6369E5C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其中</w:t>
            </w:r>
          </w:p>
        </w:tc>
        <w:tc>
          <w:tcPr>
            <w:tcW w:w="1004" w:type="dxa"/>
            <w:vMerge w:val="continue"/>
            <w:tcBorders>
              <w:top w:val="single" w:color="000000" w:sz="8" w:space="0"/>
              <w:left w:val="single" w:color="000000" w:sz="4" w:space="0"/>
              <w:bottom w:val="single" w:color="000000" w:sz="4" w:space="0"/>
              <w:right w:val="single" w:color="000000" w:sz="8" w:space="0"/>
            </w:tcBorders>
            <w:shd w:val="clear" w:color="FFFFFF" w:fill="FFFFFF"/>
            <w:vAlign w:val="center"/>
          </w:tcPr>
          <w:p w14:paraId="083AD361">
            <w:pPr>
              <w:jc w:val="center"/>
              <w:rPr>
                <w:rFonts w:hint="eastAsia" w:ascii="宋体" w:hAnsi="宋体" w:eastAsia="宋体" w:cs="宋体"/>
                <w:i w:val="0"/>
                <w:iCs w:val="0"/>
                <w:color w:val="auto"/>
                <w:sz w:val="20"/>
                <w:szCs w:val="20"/>
                <w:highlight w:val="none"/>
                <w:u w:val="none"/>
              </w:rPr>
            </w:pPr>
          </w:p>
        </w:tc>
      </w:tr>
      <w:tr w14:paraId="624E53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884"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517100FD">
            <w:pPr>
              <w:jc w:val="center"/>
              <w:rPr>
                <w:rFonts w:hint="eastAsia" w:ascii="宋体" w:hAnsi="宋体" w:eastAsia="宋体" w:cs="宋体"/>
                <w:i w:val="0"/>
                <w:iCs w:val="0"/>
                <w:color w:val="auto"/>
                <w:sz w:val="20"/>
                <w:szCs w:val="20"/>
                <w:highlight w:val="none"/>
                <w:u w:val="none"/>
              </w:rPr>
            </w:pPr>
          </w:p>
        </w:tc>
        <w:tc>
          <w:tcPr>
            <w:tcW w:w="141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EAA94C6">
            <w:pPr>
              <w:jc w:val="center"/>
              <w:rPr>
                <w:rFonts w:hint="eastAsia" w:ascii="宋体" w:hAnsi="宋体" w:eastAsia="宋体" w:cs="宋体"/>
                <w:i w:val="0"/>
                <w:iCs w:val="0"/>
                <w:color w:val="auto"/>
                <w:sz w:val="20"/>
                <w:szCs w:val="20"/>
                <w:highlight w:val="none"/>
                <w:u w:val="none"/>
              </w:rPr>
            </w:pPr>
          </w:p>
        </w:tc>
        <w:tc>
          <w:tcPr>
            <w:tcW w:w="1469"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870015C">
            <w:pPr>
              <w:jc w:val="center"/>
              <w:rPr>
                <w:rFonts w:hint="eastAsia" w:ascii="宋体" w:hAnsi="宋体" w:eastAsia="宋体" w:cs="宋体"/>
                <w:i w:val="0"/>
                <w:iCs w:val="0"/>
                <w:color w:val="auto"/>
                <w:sz w:val="20"/>
                <w:szCs w:val="20"/>
                <w:highlight w:val="none"/>
                <w:u w:val="none"/>
              </w:rPr>
            </w:pPr>
          </w:p>
        </w:tc>
        <w:tc>
          <w:tcPr>
            <w:tcW w:w="2893"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94CB701">
            <w:pPr>
              <w:jc w:val="center"/>
              <w:rPr>
                <w:rFonts w:hint="eastAsia" w:ascii="宋体" w:hAnsi="宋体" w:eastAsia="宋体" w:cs="宋体"/>
                <w:i w:val="0"/>
                <w:iCs w:val="0"/>
                <w:color w:val="auto"/>
                <w:sz w:val="20"/>
                <w:szCs w:val="20"/>
                <w:highlight w:val="none"/>
                <w:u w:val="none"/>
              </w:rPr>
            </w:pPr>
          </w:p>
        </w:tc>
        <w:tc>
          <w:tcPr>
            <w:tcW w:w="54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980984B">
            <w:pPr>
              <w:jc w:val="center"/>
              <w:rPr>
                <w:rFonts w:hint="eastAsia" w:ascii="宋体" w:hAnsi="宋体" w:eastAsia="宋体" w:cs="宋体"/>
                <w:i w:val="0"/>
                <w:iCs w:val="0"/>
                <w:color w:val="auto"/>
                <w:sz w:val="20"/>
                <w:szCs w:val="20"/>
                <w:highlight w:val="none"/>
                <w:u w:val="none"/>
              </w:rPr>
            </w:pPr>
          </w:p>
        </w:tc>
        <w:tc>
          <w:tcPr>
            <w:tcW w:w="111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63AC857">
            <w:pPr>
              <w:jc w:val="center"/>
              <w:rPr>
                <w:rFonts w:hint="eastAsia" w:ascii="宋体" w:hAnsi="宋体" w:eastAsia="宋体" w:cs="宋体"/>
                <w:i w:val="0"/>
                <w:iCs w:val="0"/>
                <w:color w:val="auto"/>
                <w:sz w:val="20"/>
                <w:szCs w:val="20"/>
                <w:highlight w:val="none"/>
                <w:u w:val="none"/>
              </w:rPr>
            </w:pPr>
          </w:p>
        </w:tc>
        <w:tc>
          <w:tcPr>
            <w:tcW w:w="1064"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37F0ADD1">
            <w:pPr>
              <w:jc w:val="center"/>
              <w:rPr>
                <w:rFonts w:hint="eastAsia" w:ascii="宋体" w:hAnsi="宋体" w:eastAsia="宋体" w:cs="宋体"/>
                <w:i w:val="0"/>
                <w:iCs w:val="0"/>
                <w:color w:val="auto"/>
                <w:sz w:val="20"/>
                <w:szCs w:val="20"/>
                <w:highlight w:val="none"/>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6DA1A2DD">
            <w:pPr>
              <w:jc w:val="center"/>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110223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人工费</w:t>
            </w: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956685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机械费</w:t>
            </w: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ED7D8B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暂估价</w:t>
            </w:r>
          </w:p>
        </w:tc>
        <w:tc>
          <w:tcPr>
            <w:tcW w:w="1004" w:type="dxa"/>
            <w:vMerge w:val="continue"/>
            <w:tcBorders>
              <w:top w:val="single" w:color="000000" w:sz="8" w:space="0"/>
              <w:left w:val="single" w:color="000000" w:sz="4" w:space="0"/>
              <w:bottom w:val="single" w:color="000000" w:sz="4" w:space="0"/>
              <w:right w:val="single" w:color="000000" w:sz="8" w:space="0"/>
            </w:tcBorders>
            <w:shd w:val="clear" w:color="FFFFFF" w:fill="FFFFFF"/>
            <w:vAlign w:val="center"/>
          </w:tcPr>
          <w:p w14:paraId="47589AB6">
            <w:pPr>
              <w:jc w:val="center"/>
              <w:rPr>
                <w:rFonts w:hint="eastAsia" w:ascii="宋体" w:hAnsi="宋体" w:eastAsia="宋体" w:cs="宋体"/>
                <w:i w:val="0"/>
                <w:iCs w:val="0"/>
                <w:color w:val="auto"/>
                <w:sz w:val="20"/>
                <w:szCs w:val="20"/>
                <w:highlight w:val="none"/>
                <w:u w:val="none"/>
              </w:rPr>
            </w:pPr>
          </w:p>
        </w:tc>
      </w:tr>
      <w:tr w14:paraId="45FF4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884"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CFE4C0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w:t>
            </w: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68EC87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011702016001</w:t>
            </w:r>
          </w:p>
        </w:tc>
        <w:tc>
          <w:tcPr>
            <w:tcW w:w="146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1900F9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平板</w:t>
            </w:r>
          </w:p>
        </w:tc>
        <w:tc>
          <w:tcPr>
            <w:tcW w:w="289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F2FC7B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1.坡屋面板模板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2.模板类型综合考虑</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3.支模高度：5.6m以内</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600FBB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3752841">
            <w:pPr>
              <w:keepNext w:val="0"/>
              <w:keepLines w:val="0"/>
              <w:widowControl/>
              <w:suppressLineNumbers w:val="0"/>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202.04</w:t>
            </w:r>
          </w:p>
        </w:tc>
        <w:tc>
          <w:tcPr>
            <w:tcW w:w="106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45E6E5F">
            <w:pPr>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55DCDF1">
            <w:pPr>
              <w:jc w:val="righ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A8B8308">
            <w:pPr>
              <w:jc w:val="righ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1208B17">
            <w:pPr>
              <w:jc w:val="righ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501FF67">
            <w:pPr>
              <w:jc w:val="right"/>
              <w:rPr>
                <w:rFonts w:hint="eastAsia" w:ascii="宋体" w:hAnsi="宋体" w:eastAsia="宋体" w:cs="宋体"/>
                <w:i w:val="0"/>
                <w:iCs w:val="0"/>
                <w:color w:val="auto"/>
                <w:sz w:val="20"/>
                <w:szCs w:val="20"/>
                <w:highlight w:val="none"/>
                <w:u w:val="none"/>
              </w:rPr>
            </w:pPr>
          </w:p>
        </w:tc>
        <w:tc>
          <w:tcPr>
            <w:tcW w:w="1004"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F56C0A3">
            <w:pPr>
              <w:jc w:val="left"/>
              <w:rPr>
                <w:rFonts w:hint="eastAsia" w:ascii="宋体" w:hAnsi="宋体" w:eastAsia="宋体" w:cs="宋体"/>
                <w:i w:val="0"/>
                <w:iCs w:val="0"/>
                <w:color w:val="auto"/>
                <w:sz w:val="20"/>
                <w:szCs w:val="20"/>
                <w:highlight w:val="none"/>
                <w:u w:val="none"/>
              </w:rPr>
            </w:pPr>
          </w:p>
        </w:tc>
      </w:tr>
      <w:tr w14:paraId="17F5ED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884"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0D1382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w:t>
            </w: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98A36B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011702023001</w:t>
            </w:r>
          </w:p>
        </w:tc>
        <w:tc>
          <w:tcPr>
            <w:tcW w:w="146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C52462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雨篷、悬挑板、阳台板</w:t>
            </w:r>
          </w:p>
        </w:tc>
        <w:tc>
          <w:tcPr>
            <w:tcW w:w="289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D14184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1.雨蓬模板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2.模板类型综合考虑</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747F83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8DBE918">
            <w:pPr>
              <w:keepNext w:val="0"/>
              <w:keepLines w:val="0"/>
              <w:widowControl/>
              <w:suppressLineNumbers w:val="0"/>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5.46</w:t>
            </w:r>
          </w:p>
        </w:tc>
        <w:tc>
          <w:tcPr>
            <w:tcW w:w="106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2E36058">
            <w:pPr>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E738D74">
            <w:pPr>
              <w:jc w:val="righ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CE47D7F">
            <w:pPr>
              <w:jc w:val="righ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68467DC">
            <w:pPr>
              <w:jc w:val="righ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7AFE870">
            <w:pPr>
              <w:jc w:val="right"/>
              <w:rPr>
                <w:rFonts w:hint="eastAsia" w:ascii="宋体" w:hAnsi="宋体" w:eastAsia="宋体" w:cs="宋体"/>
                <w:i w:val="0"/>
                <w:iCs w:val="0"/>
                <w:color w:val="auto"/>
                <w:sz w:val="20"/>
                <w:szCs w:val="20"/>
                <w:highlight w:val="none"/>
                <w:u w:val="none"/>
              </w:rPr>
            </w:pPr>
          </w:p>
        </w:tc>
        <w:tc>
          <w:tcPr>
            <w:tcW w:w="1004"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1D86ABF">
            <w:pPr>
              <w:jc w:val="left"/>
              <w:rPr>
                <w:rFonts w:hint="eastAsia" w:ascii="宋体" w:hAnsi="宋体" w:eastAsia="宋体" w:cs="宋体"/>
                <w:i w:val="0"/>
                <w:iCs w:val="0"/>
                <w:color w:val="auto"/>
                <w:sz w:val="20"/>
                <w:szCs w:val="20"/>
                <w:highlight w:val="none"/>
                <w:u w:val="none"/>
              </w:rPr>
            </w:pPr>
          </w:p>
        </w:tc>
      </w:tr>
      <w:tr w14:paraId="0E6202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884"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7DC1E9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w:t>
            </w: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885F37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011702025001</w:t>
            </w:r>
          </w:p>
        </w:tc>
        <w:tc>
          <w:tcPr>
            <w:tcW w:w="146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662A8F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其他现浇构件</w:t>
            </w:r>
          </w:p>
        </w:tc>
        <w:tc>
          <w:tcPr>
            <w:tcW w:w="289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AAEAC9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1.设备基础模板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2.模板类型综合考虑</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6FF7FE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7A909A0">
            <w:pPr>
              <w:keepNext w:val="0"/>
              <w:keepLines w:val="0"/>
              <w:widowControl/>
              <w:suppressLineNumbers w:val="0"/>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06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59FA4D2">
            <w:pPr>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6BAB251">
            <w:pPr>
              <w:jc w:val="righ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99D19DC">
            <w:pPr>
              <w:jc w:val="righ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D0CB4B8">
            <w:pPr>
              <w:jc w:val="righ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367900E">
            <w:pPr>
              <w:jc w:val="right"/>
              <w:rPr>
                <w:rFonts w:hint="eastAsia" w:ascii="宋体" w:hAnsi="宋体" w:eastAsia="宋体" w:cs="宋体"/>
                <w:i w:val="0"/>
                <w:iCs w:val="0"/>
                <w:color w:val="auto"/>
                <w:sz w:val="20"/>
                <w:szCs w:val="20"/>
                <w:highlight w:val="none"/>
                <w:u w:val="none"/>
              </w:rPr>
            </w:pPr>
          </w:p>
        </w:tc>
        <w:tc>
          <w:tcPr>
            <w:tcW w:w="1004"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CF682A3">
            <w:pPr>
              <w:jc w:val="left"/>
              <w:rPr>
                <w:rFonts w:hint="eastAsia" w:ascii="宋体" w:hAnsi="宋体" w:eastAsia="宋体" w:cs="宋体"/>
                <w:i w:val="0"/>
                <w:iCs w:val="0"/>
                <w:color w:val="auto"/>
                <w:sz w:val="20"/>
                <w:szCs w:val="20"/>
                <w:highlight w:val="none"/>
                <w:u w:val="none"/>
              </w:rPr>
            </w:pPr>
          </w:p>
        </w:tc>
      </w:tr>
      <w:tr w14:paraId="0F2869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884"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0EE2F5D">
            <w:pPr>
              <w:jc w:val="right"/>
              <w:rPr>
                <w:rFonts w:hint="eastAsia" w:ascii="宋体" w:hAnsi="宋体" w:eastAsia="宋体" w:cs="宋体"/>
                <w:i w:val="0"/>
                <w:iCs w:val="0"/>
                <w:color w:val="auto"/>
                <w:sz w:val="20"/>
                <w:szCs w:val="20"/>
                <w:highlight w:val="none"/>
                <w:u w:val="none"/>
              </w:rPr>
            </w:pP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D3DC51F">
            <w:pPr>
              <w:jc w:val="center"/>
              <w:rPr>
                <w:rFonts w:hint="eastAsia" w:ascii="宋体" w:hAnsi="宋体" w:eastAsia="宋体" w:cs="宋体"/>
                <w:i w:val="0"/>
                <w:iCs w:val="0"/>
                <w:color w:val="auto"/>
                <w:sz w:val="20"/>
                <w:szCs w:val="20"/>
                <w:highlight w:val="none"/>
                <w:u w:val="none"/>
              </w:rPr>
            </w:pPr>
          </w:p>
        </w:tc>
        <w:tc>
          <w:tcPr>
            <w:tcW w:w="146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6A0B9C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脚手架工程</w:t>
            </w:r>
          </w:p>
        </w:tc>
        <w:tc>
          <w:tcPr>
            <w:tcW w:w="289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245E095">
            <w:pPr>
              <w:jc w:val="left"/>
              <w:rPr>
                <w:rFonts w:hint="eastAsia" w:ascii="宋体" w:hAnsi="宋体" w:eastAsia="宋体" w:cs="宋体"/>
                <w:i w:val="0"/>
                <w:iCs w:val="0"/>
                <w:color w:val="auto"/>
                <w:sz w:val="20"/>
                <w:szCs w:val="20"/>
                <w:highlight w:val="none"/>
                <w:u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A35EC81">
            <w:pPr>
              <w:jc w:val="left"/>
              <w:rPr>
                <w:rFonts w:hint="eastAsia" w:ascii="宋体" w:hAnsi="宋体" w:eastAsia="宋体" w:cs="宋体"/>
                <w:i w:val="0"/>
                <w:iCs w:val="0"/>
                <w:color w:val="auto"/>
                <w:sz w:val="20"/>
                <w:szCs w:val="20"/>
                <w:highlight w:val="none"/>
                <w:u w:val="none"/>
              </w:rPr>
            </w:pPr>
          </w:p>
        </w:tc>
        <w:tc>
          <w:tcPr>
            <w:tcW w:w="11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E636C4D">
            <w:pPr>
              <w:jc w:val="left"/>
              <w:rPr>
                <w:rFonts w:hint="eastAsia" w:ascii="宋体" w:hAnsi="宋体" w:eastAsia="宋体" w:cs="宋体"/>
                <w:i w:val="0"/>
                <w:iCs w:val="0"/>
                <w:color w:val="auto"/>
                <w:sz w:val="20"/>
                <w:szCs w:val="20"/>
                <w:highlight w:val="none"/>
                <w:u w:val="none"/>
              </w:rPr>
            </w:pPr>
          </w:p>
        </w:tc>
        <w:tc>
          <w:tcPr>
            <w:tcW w:w="106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126B7FC">
            <w:pPr>
              <w:jc w:val="lef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0EF3275">
            <w:pPr>
              <w:jc w:val="lef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B179BF9">
            <w:pPr>
              <w:jc w:val="lef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7BBE820">
            <w:pPr>
              <w:jc w:val="lef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325B81E">
            <w:pPr>
              <w:jc w:val="left"/>
              <w:rPr>
                <w:rFonts w:hint="eastAsia" w:ascii="宋体" w:hAnsi="宋体" w:eastAsia="宋体" w:cs="宋体"/>
                <w:i w:val="0"/>
                <w:iCs w:val="0"/>
                <w:color w:val="auto"/>
                <w:sz w:val="20"/>
                <w:szCs w:val="20"/>
                <w:highlight w:val="none"/>
                <w:u w:val="none"/>
              </w:rPr>
            </w:pPr>
          </w:p>
        </w:tc>
        <w:tc>
          <w:tcPr>
            <w:tcW w:w="1004"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0025D04">
            <w:pPr>
              <w:jc w:val="left"/>
              <w:rPr>
                <w:rFonts w:hint="eastAsia" w:ascii="宋体" w:hAnsi="宋体" w:eastAsia="宋体" w:cs="宋体"/>
                <w:i w:val="0"/>
                <w:iCs w:val="0"/>
                <w:color w:val="auto"/>
                <w:sz w:val="20"/>
                <w:szCs w:val="20"/>
                <w:highlight w:val="none"/>
                <w:u w:val="none"/>
              </w:rPr>
            </w:pPr>
          </w:p>
        </w:tc>
      </w:tr>
      <w:tr w14:paraId="7BB9D3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884"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2D7C56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w:t>
            </w: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336B9A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011701001001</w:t>
            </w:r>
          </w:p>
        </w:tc>
        <w:tc>
          <w:tcPr>
            <w:tcW w:w="146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81340A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综合脚手架</w:t>
            </w:r>
          </w:p>
        </w:tc>
        <w:tc>
          <w:tcPr>
            <w:tcW w:w="289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9EF25B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1.建筑结构形式:框架结构</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2.檐口高度:30m以内</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97313F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A7CB912">
            <w:pPr>
              <w:keepNext w:val="0"/>
              <w:keepLines w:val="0"/>
              <w:widowControl/>
              <w:suppressLineNumbers w:val="0"/>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170.94</w:t>
            </w:r>
          </w:p>
        </w:tc>
        <w:tc>
          <w:tcPr>
            <w:tcW w:w="106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8167C35">
            <w:pPr>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3522F62">
            <w:pPr>
              <w:jc w:val="righ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C8ED107">
            <w:pPr>
              <w:jc w:val="righ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66FAC51">
            <w:pPr>
              <w:jc w:val="righ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8EEC13">
            <w:pPr>
              <w:jc w:val="right"/>
              <w:rPr>
                <w:rFonts w:hint="eastAsia" w:ascii="宋体" w:hAnsi="宋体" w:eastAsia="宋体" w:cs="宋体"/>
                <w:i w:val="0"/>
                <w:iCs w:val="0"/>
                <w:color w:val="auto"/>
                <w:sz w:val="20"/>
                <w:szCs w:val="20"/>
                <w:highlight w:val="none"/>
                <w:u w:val="none"/>
              </w:rPr>
            </w:pPr>
          </w:p>
        </w:tc>
        <w:tc>
          <w:tcPr>
            <w:tcW w:w="1004"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C16A17E">
            <w:pPr>
              <w:jc w:val="left"/>
              <w:rPr>
                <w:rFonts w:hint="eastAsia" w:ascii="宋体" w:hAnsi="宋体" w:eastAsia="宋体" w:cs="宋体"/>
                <w:i w:val="0"/>
                <w:iCs w:val="0"/>
                <w:color w:val="auto"/>
                <w:sz w:val="20"/>
                <w:szCs w:val="20"/>
                <w:highlight w:val="none"/>
                <w:u w:val="none"/>
              </w:rPr>
            </w:pPr>
          </w:p>
        </w:tc>
      </w:tr>
      <w:tr w14:paraId="2969A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884"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F05B36D">
            <w:pPr>
              <w:jc w:val="right"/>
              <w:rPr>
                <w:rFonts w:hint="eastAsia" w:ascii="宋体" w:hAnsi="宋体" w:eastAsia="宋体" w:cs="宋体"/>
                <w:i w:val="0"/>
                <w:iCs w:val="0"/>
                <w:color w:val="auto"/>
                <w:sz w:val="20"/>
                <w:szCs w:val="20"/>
                <w:highlight w:val="none"/>
                <w:u w:val="none"/>
              </w:rPr>
            </w:pP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08B3185">
            <w:pPr>
              <w:jc w:val="center"/>
              <w:rPr>
                <w:rFonts w:hint="eastAsia" w:ascii="宋体" w:hAnsi="宋体" w:eastAsia="宋体" w:cs="宋体"/>
                <w:i w:val="0"/>
                <w:iCs w:val="0"/>
                <w:color w:val="auto"/>
                <w:sz w:val="20"/>
                <w:szCs w:val="20"/>
                <w:highlight w:val="none"/>
                <w:u w:val="none"/>
              </w:rPr>
            </w:pPr>
          </w:p>
        </w:tc>
        <w:tc>
          <w:tcPr>
            <w:tcW w:w="146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9BE5E3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垂直运输</w:t>
            </w:r>
          </w:p>
        </w:tc>
        <w:tc>
          <w:tcPr>
            <w:tcW w:w="289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DA74055">
            <w:pPr>
              <w:jc w:val="left"/>
              <w:rPr>
                <w:rFonts w:hint="eastAsia" w:ascii="宋体" w:hAnsi="宋体" w:eastAsia="宋体" w:cs="宋体"/>
                <w:i w:val="0"/>
                <w:iCs w:val="0"/>
                <w:color w:val="auto"/>
                <w:sz w:val="20"/>
                <w:szCs w:val="20"/>
                <w:highlight w:val="none"/>
                <w:u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0D1AF42">
            <w:pPr>
              <w:jc w:val="left"/>
              <w:rPr>
                <w:rFonts w:hint="eastAsia" w:ascii="宋体" w:hAnsi="宋体" w:eastAsia="宋体" w:cs="宋体"/>
                <w:i w:val="0"/>
                <w:iCs w:val="0"/>
                <w:color w:val="auto"/>
                <w:sz w:val="20"/>
                <w:szCs w:val="20"/>
                <w:highlight w:val="none"/>
                <w:u w:val="none"/>
              </w:rPr>
            </w:pPr>
          </w:p>
        </w:tc>
        <w:tc>
          <w:tcPr>
            <w:tcW w:w="11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17E74EE">
            <w:pPr>
              <w:jc w:val="left"/>
              <w:rPr>
                <w:rFonts w:hint="eastAsia" w:ascii="宋体" w:hAnsi="宋体" w:eastAsia="宋体" w:cs="宋体"/>
                <w:i w:val="0"/>
                <w:iCs w:val="0"/>
                <w:color w:val="auto"/>
                <w:sz w:val="20"/>
                <w:szCs w:val="20"/>
                <w:highlight w:val="none"/>
                <w:u w:val="none"/>
              </w:rPr>
            </w:pPr>
          </w:p>
        </w:tc>
        <w:tc>
          <w:tcPr>
            <w:tcW w:w="106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09B7D03">
            <w:pPr>
              <w:jc w:val="lef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A2C17E0">
            <w:pPr>
              <w:jc w:val="lef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9270C31">
            <w:pPr>
              <w:jc w:val="lef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F31C0FB">
            <w:pPr>
              <w:jc w:val="lef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D358E7D">
            <w:pPr>
              <w:jc w:val="left"/>
              <w:rPr>
                <w:rFonts w:hint="eastAsia" w:ascii="宋体" w:hAnsi="宋体" w:eastAsia="宋体" w:cs="宋体"/>
                <w:i w:val="0"/>
                <w:iCs w:val="0"/>
                <w:color w:val="auto"/>
                <w:sz w:val="20"/>
                <w:szCs w:val="20"/>
                <w:highlight w:val="none"/>
                <w:u w:val="none"/>
              </w:rPr>
            </w:pPr>
          </w:p>
        </w:tc>
        <w:tc>
          <w:tcPr>
            <w:tcW w:w="1004"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428B2D39">
            <w:pPr>
              <w:jc w:val="left"/>
              <w:rPr>
                <w:rFonts w:hint="eastAsia" w:ascii="宋体" w:hAnsi="宋体" w:eastAsia="宋体" w:cs="宋体"/>
                <w:i w:val="0"/>
                <w:iCs w:val="0"/>
                <w:color w:val="auto"/>
                <w:sz w:val="20"/>
                <w:szCs w:val="20"/>
                <w:highlight w:val="none"/>
                <w:u w:val="none"/>
              </w:rPr>
            </w:pPr>
          </w:p>
        </w:tc>
      </w:tr>
      <w:tr w14:paraId="21D015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884"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53C31B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5B4E03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011703001001</w:t>
            </w:r>
          </w:p>
        </w:tc>
        <w:tc>
          <w:tcPr>
            <w:tcW w:w="146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DB876F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垂直运输</w:t>
            </w:r>
          </w:p>
        </w:tc>
        <w:tc>
          <w:tcPr>
            <w:tcW w:w="289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7B9357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1.建筑物建筑类型及结构形式:框架结构</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2.建筑物檐口高度、层数:20m以内、层高5.2m</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6110ED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1513A99">
            <w:pPr>
              <w:keepNext w:val="0"/>
              <w:keepLines w:val="0"/>
              <w:widowControl/>
              <w:suppressLineNumbers w:val="0"/>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170.94</w:t>
            </w:r>
          </w:p>
        </w:tc>
        <w:tc>
          <w:tcPr>
            <w:tcW w:w="106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1866474">
            <w:pPr>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DEB225">
            <w:pPr>
              <w:jc w:val="righ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2E047A2">
            <w:pPr>
              <w:jc w:val="righ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1A982DF">
            <w:pPr>
              <w:jc w:val="righ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B0276AA">
            <w:pPr>
              <w:jc w:val="right"/>
              <w:rPr>
                <w:rFonts w:hint="eastAsia" w:ascii="宋体" w:hAnsi="宋体" w:eastAsia="宋体" w:cs="宋体"/>
                <w:i w:val="0"/>
                <w:iCs w:val="0"/>
                <w:color w:val="auto"/>
                <w:sz w:val="20"/>
                <w:szCs w:val="20"/>
                <w:highlight w:val="none"/>
                <w:u w:val="none"/>
              </w:rPr>
            </w:pPr>
          </w:p>
        </w:tc>
        <w:tc>
          <w:tcPr>
            <w:tcW w:w="1004"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4951B20E">
            <w:pPr>
              <w:jc w:val="left"/>
              <w:rPr>
                <w:rFonts w:hint="eastAsia" w:ascii="宋体" w:hAnsi="宋体" w:eastAsia="宋体" w:cs="宋体"/>
                <w:i w:val="0"/>
                <w:iCs w:val="0"/>
                <w:color w:val="auto"/>
                <w:sz w:val="20"/>
                <w:szCs w:val="20"/>
                <w:highlight w:val="none"/>
                <w:u w:val="none"/>
              </w:rPr>
            </w:pPr>
          </w:p>
        </w:tc>
      </w:tr>
      <w:tr w14:paraId="4FE667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884"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3231986">
            <w:pPr>
              <w:jc w:val="right"/>
              <w:rPr>
                <w:rFonts w:hint="eastAsia" w:ascii="宋体" w:hAnsi="宋体" w:eastAsia="宋体" w:cs="宋体"/>
                <w:i w:val="0"/>
                <w:iCs w:val="0"/>
                <w:color w:val="auto"/>
                <w:sz w:val="20"/>
                <w:szCs w:val="20"/>
                <w:highlight w:val="none"/>
                <w:u w:val="none"/>
              </w:rPr>
            </w:pP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37808F7">
            <w:pPr>
              <w:jc w:val="center"/>
              <w:rPr>
                <w:rFonts w:hint="eastAsia" w:ascii="宋体" w:hAnsi="宋体" w:eastAsia="宋体" w:cs="宋体"/>
                <w:i w:val="0"/>
                <w:iCs w:val="0"/>
                <w:color w:val="auto"/>
                <w:sz w:val="20"/>
                <w:szCs w:val="20"/>
                <w:highlight w:val="none"/>
                <w:u w:val="none"/>
              </w:rPr>
            </w:pPr>
          </w:p>
        </w:tc>
        <w:tc>
          <w:tcPr>
            <w:tcW w:w="146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511D1E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其他</w:t>
            </w:r>
          </w:p>
        </w:tc>
        <w:tc>
          <w:tcPr>
            <w:tcW w:w="289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713A6D2">
            <w:pPr>
              <w:jc w:val="left"/>
              <w:rPr>
                <w:rFonts w:hint="eastAsia" w:ascii="宋体" w:hAnsi="宋体" w:eastAsia="宋体" w:cs="宋体"/>
                <w:i w:val="0"/>
                <w:iCs w:val="0"/>
                <w:color w:val="auto"/>
                <w:sz w:val="20"/>
                <w:szCs w:val="20"/>
                <w:highlight w:val="none"/>
                <w:u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B15B54C">
            <w:pPr>
              <w:jc w:val="left"/>
              <w:rPr>
                <w:rFonts w:hint="eastAsia" w:ascii="宋体" w:hAnsi="宋体" w:eastAsia="宋体" w:cs="宋体"/>
                <w:i w:val="0"/>
                <w:iCs w:val="0"/>
                <w:color w:val="auto"/>
                <w:sz w:val="20"/>
                <w:szCs w:val="20"/>
                <w:highlight w:val="none"/>
                <w:u w:val="none"/>
              </w:rPr>
            </w:pPr>
          </w:p>
        </w:tc>
        <w:tc>
          <w:tcPr>
            <w:tcW w:w="11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7CE3C07">
            <w:pPr>
              <w:jc w:val="left"/>
              <w:rPr>
                <w:rFonts w:hint="eastAsia" w:ascii="宋体" w:hAnsi="宋体" w:eastAsia="宋体" w:cs="宋体"/>
                <w:i w:val="0"/>
                <w:iCs w:val="0"/>
                <w:color w:val="auto"/>
                <w:sz w:val="20"/>
                <w:szCs w:val="20"/>
                <w:highlight w:val="none"/>
                <w:u w:val="none"/>
              </w:rPr>
            </w:pPr>
          </w:p>
        </w:tc>
        <w:tc>
          <w:tcPr>
            <w:tcW w:w="106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A1E7E6C">
            <w:pPr>
              <w:jc w:val="lef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1A85D83">
            <w:pPr>
              <w:jc w:val="lef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57EC29">
            <w:pPr>
              <w:jc w:val="lef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8E57BA6">
            <w:pPr>
              <w:jc w:val="lef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31631C2">
            <w:pPr>
              <w:jc w:val="left"/>
              <w:rPr>
                <w:rFonts w:hint="eastAsia" w:ascii="宋体" w:hAnsi="宋体" w:eastAsia="宋体" w:cs="宋体"/>
                <w:i w:val="0"/>
                <w:iCs w:val="0"/>
                <w:color w:val="auto"/>
                <w:sz w:val="20"/>
                <w:szCs w:val="20"/>
                <w:highlight w:val="none"/>
                <w:u w:val="none"/>
              </w:rPr>
            </w:pPr>
          </w:p>
        </w:tc>
        <w:tc>
          <w:tcPr>
            <w:tcW w:w="1004"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5021B3C3">
            <w:pPr>
              <w:jc w:val="left"/>
              <w:rPr>
                <w:rFonts w:hint="eastAsia" w:ascii="宋体" w:hAnsi="宋体" w:eastAsia="宋体" w:cs="宋体"/>
                <w:i w:val="0"/>
                <w:iCs w:val="0"/>
                <w:color w:val="auto"/>
                <w:sz w:val="20"/>
                <w:szCs w:val="20"/>
                <w:highlight w:val="none"/>
                <w:u w:val="none"/>
              </w:rPr>
            </w:pPr>
          </w:p>
        </w:tc>
      </w:tr>
      <w:tr w14:paraId="1AEAAA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884"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14DB99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9CC245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011705001001</w:t>
            </w:r>
          </w:p>
        </w:tc>
        <w:tc>
          <w:tcPr>
            <w:tcW w:w="146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0714B7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大型机械设备进出场及安拆</w:t>
            </w:r>
          </w:p>
        </w:tc>
        <w:tc>
          <w:tcPr>
            <w:tcW w:w="289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BAD3F8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大型机械设备进出场及安拆</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2647AC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台次</w:t>
            </w:r>
          </w:p>
        </w:tc>
        <w:tc>
          <w:tcPr>
            <w:tcW w:w="11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A58F6DB">
            <w:pPr>
              <w:keepNext w:val="0"/>
              <w:keepLines w:val="0"/>
              <w:widowControl/>
              <w:suppressLineNumbers w:val="0"/>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6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39E88FB">
            <w:pPr>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7931537">
            <w:pPr>
              <w:jc w:val="righ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28C6784">
            <w:pPr>
              <w:jc w:val="righ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73ADC0D">
            <w:pPr>
              <w:jc w:val="righ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21C37FD">
            <w:pPr>
              <w:jc w:val="right"/>
              <w:rPr>
                <w:rFonts w:hint="eastAsia" w:ascii="宋体" w:hAnsi="宋体" w:eastAsia="宋体" w:cs="宋体"/>
                <w:i w:val="0"/>
                <w:iCs w:val="0"/>
                <w:color w:val="auto"/>
                <w:sz w:val="20"/>
                <w:szCs w:val="20"/>
                <w:highlight w:val="none"/>
                <w:u w:val="none"/>
              </w:rPr>
            </w:pPr>
          </w:p>
        </w:tc>
        <w:tc>
          <w:tcPr>
            <w:tcW w:w="1004"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D5EB992">
            <w:pPr>
              <w:jc w:val="left"/>
              <w:rPr>
                <w:rFonts w:hint="eastAsia" w:ascii="宋体" w:hAnsi="宋体" w:eastAsia="宋体" w:cs="宋体"/>
                <w:i w:val="0"/>
                <w:iCs w:val="0"/>
                <w:color w:val="auto"/>
                <w:sz w:val="20"/>
                <w:szCs w:val="20"/>
                <w:highlight w:val="none"/>
                <w:u w:val="none"/>
              </w:rPr>
            </w:pPr>
          </w:p>
        </w:tc>
      </w:tr>
      <w:tr w14:paraId="6B3A1E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9376" w:type="dxa"/>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513FD6D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本页小计</w:t>
            </w: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0D6C265">
            <w:pPr>
              <w:jc w:val="lef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FBF0CAC">
            <w:pPr>
              <w:jc w:val="lef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1A5D5CF">
            <w:pPr>
              <w:jc w:val="lef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6615457">
            <w:pPr>
              <w:jc w:val="left"/>
              <w:rPr>
                <w:rFonts w:hint="eastAsia" w:ascii="宋体" w:hAnsi="宋体" w:eastAsia="宋体" w:cs="宋体"/>
                <w:i w:val="0"/>
                <w:iCs w:val="0"/>
                <w:color w:val="auto"/>
                <w:sz w:val="20"/>
                <w:szCs w:val="20"/>
                <w:highlight w:val="none"/>
                <w:u w:val="none"/>
              </w:rPr>
            </w:pPr>
          </w:p>
        </w:tc>
        <w:tc>
          <w:tcPr>
            <w:tcW w:w="1004"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3EB71A9">
            <w:pPr>
              <w:jc w:val="left"/>
              <w:rPr>
                <w:rFonts w:hint="eastAsia" w:ascii="宋体" w:hAnsi="宋体" w:eastAsia="宋体" w:cs="宋体"/>
                <w:i w:val="0"/>
                <w:iCs w:val="0"/>
                <w:color w:val="auto"/>
                <w:sz w:val="20"/>
                <w:szCs w:val="20"/>
                <w:highlight w:val="none"/>
                <w:u w:val="none"/>
              </w:rPr>
            </w:pPr>
          </w:p>
        </w:tc>
      </w:tr>
      <w:tr w14:paraId="78034D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9376" w:type="dxa"/>
            <w:gridSpan w:val="7"/>
            <w:tcBorders>
              <w:top w:val="single" w:color="000000" w:sz="4" w:space="0"/>
              <w:left w:val="single" w:color="000000" w:sz="8" w:space="0"/>
              <w:bottom w:val="single" w:color="000000" w:sz="8" w:space="0"/>
              <w:right w:val="single" w:color="000000" w:sz="4" w:space="0"/>
            </w:tcBorders>
            <w:shd w:val="clear" w:color="FFFFFF" w:fill="FFFFFF"/>
            <w:vAlign w:val="center"/>
          </w:tcPr>
          <w:p w14:paraId="294DC80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合   计</w:t>
            </w:r>
          </w:p>
        </w:tc>
        <w:tc>
          <w:tcPr>
            <w:tcW w:w="840"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3E7D33C9">
            <w:pPr>
              <w:jc w:val="lef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6F79BFE0">
            <w:pPr>
              <w:jc w:val="lef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54369EAC">
            <w:pPr>
              <w:jc w:val="left"/>
              <w:rPr>
                <w:rFonts w:hint="eastAsia" w:ascii="宋体" w:hAnsi="宋体" w:eastAsia="宋体" w:cs="宋体"/>
                <w:i w:val="0"/>
                <w:iCs w:val="0"/>
                <w:color w:val="auto"/>
                <w:sz w:val="20"/>
                <w:szCs w:val="20"/>
                <w:highlight w:val="none"/>
                <w:u w:val="none"/>
              </w:rPr>
            </w:pPr>
          </w:p>
        </w:tc>
        <w:tc>
          <w:tcPr>
            <w:tcW w:w="900"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188ECD6E">
            <w:pPr>
              <w:jc w:val="left"/>
              <w:rPr>
                <w:rFonts w:hint="eastAsia" w:ascii="宋体" w:hAnsi="宋体" w:eastAsia="宋体" w:cs="宋体"/>
                <w:i w:val="0"/>
                <w:iCs w:val="0"/>
                <w:color w:val="auto"/>
                <w:sz w:val="20"/>
                <w:szCs w:val="20"/>
                <w:highlight w:val="none"/>
                <w:u w:val="none"/>
              </w:rPr>
            </w:pPr>
          </w:p>
        </w:tc>
        <w:tc>
          <w:tcPr>
            <w:tcW w:w="1004"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7A48CDAF">
            <w:pPr>
              <w:jc w:val="left"/>
              <w:rPr>
                <w:rFonts w:hint="eastAsia" w:ascii="宋体" w:hAnsi="宋体" w:eastAsia="宋体" w:cs="宋体"/>
                <w:i w:val="0"/>
                <w:iCs w:val="0"/>
                <w:color w:val="auto"/>
                <w:sz w:val="20"/>
                <w:szCs w:val="20"/>
                <w:highlight w:val="none"/>
                <w:u w:val="none"/>
              </w:rPr>
            </w:pPr>
          </w:p>
        </w:tc>
      </w:tr>
    </w:tbl>
    <w:p w14:paraId="62B25430">
      <w:pPr>
        <w:rPr>
          <w:rFonts w:hint="eastAsia" w:ascii="宋体" w:hAnsi="宋体" w:eastAsia="宋体" w:cs="宋体"/>
          <w:color w:val="auto"/>
          <w:kern w:val="2"/>
          <w:sz w:val="24"/>
          <w:szCs w:val="24"/>
          <w:highlight w:val="none"/>
          <w:lang w:val="en-US" w:eastAsia="zh-CN" w:bidi="ar-SA"/>
        </w:rPr>
        <w:sectPr>
          <w:pgSz w:w="16838" w:h="11906" w:orient="landscape"/>
          <w:pgMar w:top="1803" w:right="1440" w:bottom="1803" w:left="1440" w:header="851" w:footer="992" w:gutter="0"/>
          <w:pgBorders>
            <w:top w:val="none" w:sz="0" w:space="0"/>
            <w:left w:val="none" w:sz="0" w:space="0"/>
            <w:bottom w:val="none" w:sz="0" w:space="0"/>
            <w:right w:val="none" w:sz="0" w:space="0"/>
          </w:pgBorders>
          <w:pgNumType w:fmt="decimal"/>
          <w:cols w:space="0" w:num="1"/>
          <w:rtlGutter w:val="0"/>
          <w:docGrid w:type="lines" w:linePitch="319" w:charSpace="0"/>
        </w:sectPr>
      </w:pPr>
    </w:p>
    <w:tbl>
      <w:tblPr>
        <w:tblStyle w:val="23"/>
        <w:tblW w:w="907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45"/>
        <w:gridCol w:w="2910"/>
        <w:gridCol w:w="2625"/>
        <w:gridCol w:w="1515"/>
        <w:gridCol w:w="1080"/>
      </w:tblGrid>
      <w:tr w14:paraId="41EF8A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6480" w:type="dxa"/>
            <w:gridSpan w:val="3"/>
            <w:tcBorders>
              <w:top w:val="nil"/>
              <w:left w:val="nil"/>
              <w:bottom w:val="nil"/>
              <w:right w:val="nil"/>
            </w:tcBorders>
            <w:shd w:val="clear" w:color="FFFFFF" w:fill="FFFFFF"/>
            <w:vAlign w:val="center"/>
          </w:tcPr>
          <w:p w14:paraId="777909F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【表10.2.2-13】</w:t>
            </w:r>
          </w:p>
        </w:tc>
        <w:tc>
          <w:tcPr>
            <w:tcW w:w="2595" w:type="dxa"/>
            <w:gridSpan w:val="2"/>
            <w:tcBorders>
              <w:top w:val="nil"/>
              <w:left w:val="nil"/>
              <w:bottom w:val="nil"/>
              <w:right w:val="nil"/>
            </w:tcBorders>
            <w:shd w:val="clear" w:color="FFFFFF" w:fill="FFFFFF"/>
            <w:vAlign w:val="center"/>
          </w:tcPr>
          <w:p w14:paraId="0D22AE70">
            <w:pPr>
              <w:jc w:val="right"/>
              <w:rPr>
                <w:rFonts w:hint="eastAsia" w:ascii="宋体" w:hAnsi="宋体" w:eastAsia="宋体" w:cs="宋体"/>
                <w:i w:val="0"/>
                <w:iCs w:val="0"/>
                <w:color w:val="auto"/>
                <w:sz w:val="18"/>
                <w:szCs w:val="18"/>
                <w:highlight w:val="none"/>
                <w:u w:val="none"/>
              </w:rPr>
            </w:pPr>
          </w:p>
        </w:tc>
      </w:tr>
      <w:tr w14:paraId="6306B6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9075" w:type="dxa"/>
            <w:gridSpan w:val="5"/>
            <w:tcBorders>
              <w:top w:val="nil"/>
              <w:left w:val="nil"/>
              <w:bottom w:val="nil"/>
              <w:right w:val="nil"/>
            </w:tcBorders>
            <w:shd w:val="clear" w:color="FFFFFF" w:fill="FFFFFF"/>
            <w:vAlign w:val="center"/>
          </w:tcPr>
          <w:p w14:paraId="45149CF2">
            <w:pPr>
              <w:keepNext w:val="0"/>
              <w:keepLines w:val="0"/>
              <w:widowControl/>
              <w:suppressLineNumbers w:val="0"/>
              <w:jc w:val="center"/>
              <w:textAlignment w:val="center"/>
              <w:rPr>
                <w:rFonts w:hint="eastAsia" w:ascii="宋体" w:hAnsi="宋体" w:eastAsia="宋体" w:cs="宋体"/>
                <w:b/>
                <w:bCs/>
                <w:i w:val="0"/>
                <w:iCs w:val="0"/>
                <w:color w:val="auto"/>
                <w:sz w:val="40"/>
                <w:szCs w:val="40"/>
                <w:highlight w:val="none"/>
                <w:u w:val="none"/>
              </w:rPr>
            </w:pPr>
            <w:r>
              <w:rPr>
                <w:rFonts w:hint="eastAsia" w:ascii="宋体" w:hAnsi="宋体" w:eastAsia="宋体" w:cs="宋体"/>
                <w:b/>
                <w:bCs/>
                <w:i w:val="0"/>
                <w:iCs w:val="0"/>
                <w:color w:val="auto"/>
                <w:kern w:val="0"/>
                <w:sz w:val="40"/>
                <w:szCs w:val="40"/>
                <w:highlight w:val="none"/>
                <w:u w:val="none"/>
                <w:lang w:val="en-US" w:eastAsia="zh-CN" w:bidi="ar"/>
              </w:rPr>
              <w:t>单位工程招标控制价费用表</w:t>
            </w:r>
          </w:p>
        </w:tc>
      </w:tr>
      <w:tr w14:paraId="7F5E99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jc w:val="center"/>
        </w:trPr>
        <w:tc>
          <w:tcPr>
            <w:tcW w:w="3855" w:type="dxa"/>
            <w:gridSpan w:val="2"/>
            <w:tcBorders>
              <w:top w:val="nil"/>
              <w:left w:val="nil"/>
              <w:bottom w:val="nil"/>
              <w:right w:val="nil"/>
            </w:tcBorders>
            <w:shd w:val="clear" w:color="FFFFFF" w:fill="FFFFFF"/>
            <w:vAlign w:val="bottom"/>
          </w:tcPr>
          <w:p w14:paraId="0C842EB5">
            <w:pPr>
              <w:keepNext w:val="0"/>
              <w:keepLines w:val="0"/>
              <w:widowControl/>
              <w:suppressLineNumbers w:val="0"/>
              <w:jc w:val="lef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工程名称：单项工程-配套用房安装工程</w:t>
            </w:r>
          </w:p>
        </w:tc>
        <w:tc>
          <w:tcPr>
            <w:tcW w:w="2625" w:type="dxa"/>
            <w:tcBorders>
              <w:top w:val="nil"/>
              <w:left w:val="nil"/>
              <w:bottom w:val="nil"/>
              <w:right w:val="nil"/>
            </w:tcBorders>
            <w:shd w:val="clear" w:color="FFFFFF" w:fill="FFFFFF"/>
            <w:vAlign w:val="bottom"/>
          </w:tcPr>
          <w:p w14:paraId="7393E393">
            <w:pPr>
              <w:keepNext w:val="0"/>
              <w:keepLines w:val="0"/>
              <w:widowControl/>
              <w:suppressLineNumbers w:val="0"/>
              <w:jc w:val="lef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标段：</w:t>
            </w:r>
          </w:p>
        </w:tc>
        <w:tc>
          <w:tcPr>
            <w:tcW w:w="2595" w:type="dxa"/>
            <w:gridSpan w:val="2"/>
            <w:tcBorders>
              <w:top w:val="nil"/>
              <w:left w:val="nil"/>
              <w:bottom w:val="nil"/>
              <w:right w:val="nil"/>
            </w:tcBorders>
            <w:shd w:val="clear" w:color="FFFFFF" w:fill="FFFFFF"/>
            <w:vAlign w:val="bottom"/>
          </w:tcPr>
          <w:p w14:paraId="3DEE3288">
            <w:pPr>
              <w:keepNext w:val="0"/>
              <w:keepLines w:val="0"/>
              <w:widowControl/>
              <w:suppressLineNumbers w:val="0"/>
              <w:jc w:val="righ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第  1  页  共  1  页</w:t>
            </w:r>
          </w:p>
        </w:tc>
      </w:tr>
      <w:tr w14:paraId="27993C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45" w:type="dxa"/>
            <w:tcBorders>
              <w:top w:val="single" w:color="000000" w:sz="8" w:space="0"/>
              <w:left w:val="single" w:color="000000" w:sz="8" w:space="0"/>
              <w:bottom w:val="single" w:color="000000" w:sz="4" w:space="0"/>
              <w:right w:val="single" w:color="000000" w:sz="4" w:space="0"/>
            </w:tcBorders>
            <w:shd w:val="clear" w:color="FFFFFF" w:fill="FFFFFF"/>
            <w:vAlign w:val="center"/>
          </w:tcPr>
          <w:p w14:paraId="01B7F6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序号</w:t>
            </w:r>
          </w:p>
        </w:tc>
        <w:tc>
          <w:tcPr>
            <w:tcW w:w="2910"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2D412B2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名称</w:t>
            </w:r>
          </w:p>
        </w:tc>
        <w:tc>
          <w:tcPr>
            <w:tcW w:w="2625"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0B866AA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计算公式</w:t>
            </w:r>
          </w:p>
        </w:tc>
        <w:tc>
          <w:tcPr>
            <w:tcW w:w="1515"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460591B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金额（元）</w:t>
            </w:r>
          </w:p>
        </w:tc>
        <w:tc>
          <w:tcPr>
            <w:tcW w:w="1080" w:type="dxa"/>
            <w:tcBorders>
              <w:top w:val="single" w:color="000000" w:sz="8" w:space="0"/>
              <w:left w:val="single" w:color="000000" w:sz="4" w:space="0"/>
              <w:bottom w:val="single" w:color="000000" w:sz="4" w:space="0"/>
              <w:right w:val="single" w:color="000000" w:sz="8" w:space="0"/>
            </w:tcBorders>
            <w:shd w:val="clear" w:color="FFFFFF" w:fill="FFFFFF"/>
            <w:vAlign w:val="center"/>
          </w:tcPr>
          <w:p w14:paraId="7CF179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备注</w:t>
            </w:r>
          </w:p>
        </w:tc>
      </w:tr>
      <w:tr w14:paraId="5F0E45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4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0CE6D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29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5D389D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分部分项工程费</w:t>
            </w:r>
          </w:p>
        </w:tc>
        <w:tc>
          <w:tcPr>
            <w:tcW w:w="262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C3CBD82">
            <w:pPr>
              <w:jc w:val="left"/>
              <w:rPr>
                <w:rFonts w:hint="eastAsia" w:ascii="宋体" w:hAnsi="宋体" w:eastAsia="宋体" w:cs="宋体"/>
                <w:i w:val="0"/>
                <w:iCs w:val="0"/>
                <w:color w:val="auto"/>
                <w:sz w:val="18"/>
                <w:szCs w:val="18"/>
                <w:highlight w:val="none"/>
                <w:u w:val="none"/>
              </w:rPr>
            </w:pPr>
          </w:p>
        </w:tc>
        <w:tc>
          <w:tcPr>
            <w:tcW w:w="151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6FA373F">
            <w:pPr>
              <w:jc w:val="right"/>
              <w:rPr>
                <w:rFonts w:hint="eastAsia" w:ascii="宋体" w:hAnsi="宋体" w:eastAsia="宋体" w:cs="宋体"/>
                <w:i w:val="0"/>
                <w:iCs w:val="0"/>
                <w:color w:val="auto"/>
                <w:sz w:val="18"/>
                <w:szCs w:val="18"/>
                <w:highlight w:val="none"/>
                <w:u w:val="none"/>
              </w:rPr>
            </w:pPr>
          </w:p>
        </w:tc>
        <w:tc>
          <w:tcPr>
            <w:tcW w:w="10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3F7CB27">
            <w:pPr>
              <w:jc w:val="left"/>
              <w:rPr>
                <w:rFonts w:hint="eastAsia" w:ascii="宋体" w:hAnsi="宋体" w:eastAsia="宋体" w:cs="宋体"/>
                <w:i w:val="0"/>
                <w:iCs w:val="0"/>
                <w:color w:val="auto"/>
                <w:sz w:val="18"/>
                <w:szCs w:val="18"/>
                <w:highlight w:val="none"/>
                <w:u w:val="none"/>
              </w:rPr>
            </w:pPr>
          </w:p>
        </w:tc>
      </w:tr>
      <w:tr w14:paraId="55E159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4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A3B61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29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3EE97E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措施项目费</w:t>
            </w:r>
          </w:p>
        </w:tc>
        <w:tc>
          <w:tcPr>
            <w:tcW w:w="262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10E3479">
            <w:pPr>
              <w:jc w:val="left"/>
              <w:rPr>
                <w:rFonts w:hint="eastAsia" w:ascii="宋体" w:hAnsi="宋体" w:eastAsia="宋体" w:cs="宋体"/>
                <w:i w:val="0"/>
                <w:iCs w:val="0"/>
                <w:color w:val="auto"/>
                <w:sz w:val="18"/>
                <w:szCs w:val="18"/>
                <w:highlight w:val="none"/>
                <w:u w:val="none"/>
              </w:rPr>
            </w:pPr>
          </w:p>
        </w:tc>
        <w:tc>
          <w:tcPr>
            <w:tcW w:w="151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6549723">
            <w:pPr>
              <w:jc w:val="right"/>
              <w:rPr>
                <w:rFonts w:hint="eastAsia" w:ascii="宋体" w:hAnsi="宋体" w:eastAsia="宋体" w:cs="宋体"/>
                <w:i w:val="0"/>
                <w:iCs w:val="0"/>
                <w:color w:val="auto"/>
                <w:sz w:val="18"/>
                <w:szCs w:val="18"/>
                <w:highlight w:val="none"/>
                <w:u w:val="none"/>
              </w:rPr>
            </w:pPr>
          </w:p>
        </w:tc>
        <w:tc>
          <w:tcPr>
            <w:tcW w:w="10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0755712">
            <w:pPr>
              <w:jc w:val="left"/>
              <w:rPr>
                <w:rFonts w:hint="eastAsia" w:ascii="宋体" w:hAnsi="宋体" w:eastAsia="宋体" w:cs="宋体"/>
                <w:i w:val="0"/>
                <w:iCs w:val="0"/>
                <w:color w:val="auto"/>
                <w:sz w:val="18"/>
                <w:szCs w:val="18"/>
                <w:highlight w:val="none"/>
                <w:u w:val="none"/>
              </w:rPr>
            </w:pPr>
          </w:p>
        </w:tc>
      </w:tr>
      <w:tr w14:paraId="067FB6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4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DFC891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c>
          <w:tcPr>
            <w:tcW w:w="29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357CB2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其他项目费</w:t>
            </w:r>
          </w:p>
        </w:tc>
        <w:tc>
          <w:tcPr>
            <w:tcW w:w="262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A6AE0DF">
            <w:pPr>
              <w:jc w:val="left"/>
              <w:rPr>
                <w:rFonts w:hint="eastAsia" w:ascii="宋体" w:hAnsi="宋体" w:eastAsia="宋体" w:cs="宋体"/>
                <w:i w:val="0"/>
                <w:iCs w:val="0"/>
                <w:color w:val="auto"/>
                <w:sz w:val="18"/>
                <w:szCs w:val="18"/>
                <w:highlight w:val="none"/>
                <w:u w:val="none"/>
              </w:rPr>
            </w:pPr>
          </w:p>
        </w:tc>
        <w:tc>
          <w:tcPr>
            <w:tcW w:w="151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BE39CA1">
            <w:pPr>
              <w:jc w:val="right"/>
              <w:rPr>
                <w:rFonts w:hint="eastAsia" w:ascii="宋体" w:hAnsi="宋体" w:eastAsia="宋体" w:cs="宋体"/>
                <w:i w:val="0"/>
                <w:iCs w:val="0"/>
                <w:color w:val="auto"/>
                <w:sz w:val="18"/>
                <w:szCs w:val="18"/>
                <w:highlight w:val="none"/>
                <w:u w:val="none"/>
              </w:rPr>
            </w:pPr>
          </w:p>
        </w:tc>
        <w:tc>
          <w:tcPr>
            <w:tcW w:w="10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3D01459">
            <w:pPr>
              <w:jc w:val="left"/>
              <w:rPr>
                <w:rFonts w:hint="eastAsia" w:ascii="宋体" w:hAnsi="宋体" w:eastAsia="宋体" w:cs="宋体"/>
                <w:i w:val="0"/>
                <w:iCs w:val="0"/>
                <w:color w:val="auto"/>
                <w:sz w:val="18"/>
                <w:szCs w:val="18"/>
                <w:highlight w:val="none"/>
                <w:u w:val="none"/>
              </w:rPr>
            </w:pPr>
          </w:p>
        </w:tc>
      </w:tr>
      <w:tr w14:paraId="635D75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jc w:val="center"/>
        </w:trPr>
        <w:tc>
          <w:tcPr>
            <w:tcW w:w="94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DA1C8E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29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76D29F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其他项目费增值税</w:t>
            </w:r>
          </w:p>
        </w:tc>
        <w:tc>
          <w:tcPr>
            <w:tcW w:w="262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BEDB87B">
            <w:pPr>
              <w:jc w:val="left"/>
              <w:rPr>
                <w:rFonts w:hint="eastAsia" w:ascii="宋体" w:hAnsi="宋体" w:eastAsia="宋体" w:cs="宋体"/>
                <w:i w:val="0"/>
                <w:iCs w:val="0"/>
                <w:color w:val="auto"/>
                <w:sz w:val="18"/>
                <w:szCs w:val="18"/>
                <w:highlight w:val="none"/>
                <w:u w:val="none"/>
              </w:rPr>
            </w:pPr>
          </w:p>
        </w:tc>
        <w:tc>
          <w:tcPr>
            <w:tcW w:w="151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EC85D8E">
            <w:pPr>
              <w:jc w:val="right"/>
              <w:rPr>
                <w:rFonts w:hint="eastAsia" w:ascii="宋体" w:hAnsi="宋体" w:eastAsia="宋体" w:cs="宋体"/>
                <w:i w:val="0"/>
                <w:iCs w:val="0"/>
                <w:color w:val="auto"/>
                <w:sz w:val="18"/>
                <w:szCs w:val="18"/>
                <w:highlight w:val="none"/>
                <w:u w:val="none"/>
              </w:rPr>
            </w:pPr>
          </w:p>
        </w:tc>
        <w:tc>
          <w:tcPr>
            <w:tcW w:w="10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45DC2F7">
            <w:pPr>
              <w:jc w:val="left"/>
              <w:rPr>
                <w:rFonts w:hint="eastAsia" w:ascii="宋体" w:hAnsi="宋体" w:eastAsia="宋体" w:cs="宋体"/>
                <w:i w:val="0"/>
                <w:iCs w:val="0"/>
                <w:color w:val="auto"/>
                <w:sz w:val="18"/>
                <w:szCs w:val="18"/>
                <w:highlight w:val="none"/>
                <w:u w:val="none"/>
              </w:rPr>
            </w:pPr>
          </w:p>
        </w:tc>
      </w:tr>
      <w:tr w14:paraId="6F00E9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jc w:val="center"/>
        </w:trPr>
        <w:tc>
          <w:tcPr>
            <w:tcW w:w="94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22CA03F">
            <w:pPr>
              <w:jc w:val="center"/>
              <w:rPr>
                <w:rFonts w:hint="eastAsia" w:ascii="宋体" w:hAnsi="宋体" w:eastAsia="宋体" w:cs="宋体"/>
                <w:i w:val="0"/>
                <w:iCs w:val="0"/>
                <w:color w:val="auto"/>
                <w:sz w:val="18"/>
                <w:szCs w:val="18"/>
                <w:highlight w:val="none"/>
                <w:u w:val="none"/>
              </w:rPr>
            </w:pPr>
          </w:p>
        </w:tc>
        <w:tc>
          <w:tcPr>
            <w:tcW w:w="29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924454B">
            <w:pPr>
              <w:jc w:val="left"/>
              <w:rPr>
                <w:rFonts w:hint="eastAsia" w:ascii="宋体" w:hAnsi="宋体" w:eastAsia="宋体" w:cs="宋体"/>
                <w:i w:val="0"/>
                <w:iCs w:val="0"/>
                <w:color w:val="auto"/>
                <w:sz w:val="18"/>
                <w:szCs w:val="18"/>
                <w:highlight w:val="none"/>
                <w:u w:val="none"/>
              </w:rPr>
            </w:pPr>
          </w:p>
        </w:tc>
        <w:tc>
          <w:tcPr>
            <w:tcW w:w="262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8292D39">
            <w:pPr>
              <w:jc w:val="left"/>
              <w:rPr>
                <w:rFonts w:hint="eastAsia" w:ascii="宋体" w:hAnsi="宋体" w:eastAsia="宋体" w:cs="宋体"/>
                <w:i w:val="0"/>
                <w:iCs w:val="0"/>
                <w:color w:val="auto"/>
                <w:sz w:val="18"/>
                <w:szCs w:val="18"/>
                <w:highlight w:val="none"/>
                <w:u w:val="none"/>
              </w:rPr>
            </w:pPr>
          </w:p>
        </w:tc>
        <w:tc>
          <w:tcPr>
            <w:tcW w:w="151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89EAB55">
            <w:pPr>
              <w:jc w:val="right"/>
              <w:rPr>
                <w:rFonts w:hint="eastAsia" w:ascii="宋体" w:hAnsi="宋体" w:eastAsia="宋体" w:cs="宋体"/>
                <w:i w:val="0"/>
                <w:iCs w:val="0"/>
                <w:color w:val="auto"/>
                <w:sz w:val="18"/>
                <w:szCs w:val="18"/>
                <w:highlight w:val="none"/>
                <w:u w:val="none"/>
              </w:rPr>
            </w:pPr>
          </w:p>
        </w:tc>
        <w:tc>
          <w:tcPr>
            <w:tcW w:w="10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7F879C0B">
            <w:pPr>
              <w:jc w:val="left"/>
              <w:rPr>
                <w:rFonts w:hint="eastAsia" w:ascii="宋体" w:hAnsi="宋体" w:eastAsia="宋体" w:cs="宋体"/>
                <w:i w:val="0"/>
                <w:iCs w:val="0"/>
                <w:color w:val="auto"/>
                <w:sz w:val="18"/>
                <w:szCs w:val="18"/>
                <w:highlight w:val="none"/>
                <w:u w:val="none"/>
              </w:rPr>
            </w:pPr>
          </w:p>
        </w:tc>
      </w:tr>
      <w:tr w14:paraId="7636E3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4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397919C">
            <w:pPr>
              <w:jc w:val="center"/>
              <w:rPr>
                <w:rFonts w:hint="eastAsia" w:ascii="宋体" w:hAnsi="宋体" w:eastAsia="宋体" w:cs="宋体"/>
                <w:i w:val="0"/>
                <w:iCs w:val="0"/>
                <w:color w:val="auto"/>
                <w:sz w:val="18"/>
                <w:szCs w:val="18"/>
                <w:highlight w:val="none"/>
                <w:u w:val="none"/>
              </w:rPr>
            </w:pPr>
          </w:p>
        </w:tc>
        <w:tc>
          <w:tcPr>
            <w:tcW w:w="29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D0992E1">
            <w:pPr>
              <w:jc w:val="left"/>
              <w:rPr>
                <w:rFonts w:hint="eastAsia" w:ascii="宋体" w:hAnsi="宋体" w:eastAsia="宋体" w:cs="宋体"/>
                <w:i w:val="0"/>
                <w:iCs w:val="0"/>
                <w:color w:val="auto"/>
                <w:sz w:val="18"/>
                <w:szCs w:val="18"/>
                <w:highlight w:val="none"/>
                <w:u w:val="none"/>
              </w:rPr>
            </w:pPr>
          </w:p>
        </w:tc>
        <w:tc>
          <w:tcPr>
            <w:tcW w:w="262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CFCC091">
            <w:pPr>
              <w:jc w:val="left"/>
              <w:rPr>
                <w:rFonts w:hint="eastAsia" w:ascii="宋体" w:hAnsi="宋体" w:eastAsia="宋体" w:cs="宋体"/>
                <w:i w:val="0"/>
                <w:iCs w:val="0"/>
                <w:color w:val="auto"/>
                <w:sz w:val="18"/>
                <w:szCs w:val="18"/>
                <w:highlight w:val="none"/>
                <w:u w:val="none"/>
              </w:rPr>
            </w:pPr>
          </w:p>
        </w:tc>
        <w:tc>
          <w:tcPr>
            <w:tcW w:w="151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DD2D881">
            <w:pPr>
              <w:jc w:val="right"/>
              <w:rPr>
                <w:rFonts w:hint="eastAsia" w:ascii="宋体" w:hAnsi="宋体" w:eastAsia="宋体" w:cs="宋体"/>
                <w:i w:val="0"/>
                <w:iCs w:val="0"/>
                <w:color w:val="auto"/>
                <w:sz w:val="18"/>
                <w:szCs w:val="18"/>
                <w:highlight w:val="none"/>
                <w:u w:val="none"/>
              </w:rPr>
            </w:pPr>
          </w:p>
        </w:tc>
        <w:tc>
          <w:tcPr>
            <w:tcW w:w="10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7AF1A8E0">
            <w:pPr>
              <w:jc w:val="left"/>
              <w:rPr>
                <w:rFonts w:hint="eastAsia" w:ascii="宋体" w:hAnsi="宋体" w:eastAsia="宋体" w:cs="宋体"/>
                <w:i w:val="0"/>
                <w:iCs w:val="0"/>
                <w:color w:val="auto"/>
                <w:sz w:val="18"/>
                <w:szCs w:val="18"/>
                <w:highlight w:val="none"/>
                <w:u w:val="none"/>
              </w:rPr>
            </w:pPr>
          </w:p>
        </w:tc>
      </w:tr>
      <w:tr w14:paraId="3F2933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4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BBBCA45">
            <w:pPr>
              <w:jc w:val="center"/>
              <w:rPr>
                <w:rFonts w:hint="eastAsia" w:ascii="宋体" w:hAnsi="宋体" w:eastAsia="宋体" w:cs="宋体"/>
                <w:i w:val="0"/>
                <w:iCs w:val="0"/>
                <w:color w:val="auto"/>
                <w:sz w:val="18"/>
                <w:szCs w:val="18"/>
                <w:highlight w:val="none"/>
                <w:u w:val="none"/>
              </w:rPr>
            </w:pPr>
          </w:p>
        </w:tc>
        <w:tc>
          <w:tcPr>
            <w:tcW w:w="29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EE816DE">
            <w:pPr>
              <w:jc w:val="left"/>
              <w:rPr>
                <w:rFonts w:hint="eastAsia" w:ascii="宋体" w:hAnsi="宋体" w:eastAsia="宋体" w:cs="宋体"/>
                <w:i w:val="0"/>
                <w:iCs w:val="0"/>
                <w:color w:val="auto"/>
                <w:sz w:val="18"/>
                <w:szCs w:val="18"/>
                <w:highlight w:val="none"/>
                <w:u w:val="none"/>
              </w:rPr>
            </w:pPr>
          </w:p>
        </w:tc>
        <w:tc>
          <w:tcPr>
            <w:tcW w:w="262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6AADB69">
            <w:pPr>
              <w:jc w:val="left"/>
              <w:rPr>
                <w:rFonts w:hint="eastAsia" w:ascii="宋体" w:hAnsi="宋体" w:eastAsia="宋体" w:cs="宋体"/>
                <w:i w:val="0"/>
                <w:iCs w:val="0"/>
                <w:color w:val="auto"/>
                <w:sz w:val="18"/>
                <w:szCs w:val="18"/>
                <w:highlight w:val="none"/>
                <w:u w:val="none"/>
              </w:rPr>
            </w:pPr>
          </w:p>
        </w:tc>
        <w:tc>
          <w:tcPr>
            <w:tcW w:w="151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543D6C2">
            <w:pPr>
              <w:jc w:val="right"/>
              <w:rPr>
                <w:rFonts w:hint="eastAsia" w:ascii="宋体" w:hAnsi="宋体" w:eastAsia="宋体" w:cs="宋体"/>
                <w:i w:val="0"/>
                <w:iCs w:val="0"/>
                <w:color w:val="auto"/>
                <w:sz w:val="18"/>
                <w:szCs w:val="18"/>
                <w:highlight w:val="none"/>
                <w:u w:val="none"/>
              </w:rPr>
            </w:pPr>
          </w:p>
        </w:tc>
        <w:tc>
          <w:tcPr>
            <w:tcW w:w="10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5C7B362">
            <w:pPr>
              <w:jc w:val="left"/>
              <w:rPr>
                <w:rFonts w:hint="eastAsia" w:ascii="宋体" w:hAnsi="宋体" w:eastAsia="宋体" w:cs="宋体"/>
                <w:i w:val="0"/>
                <w:iCs w:val="0"/>
                <w:color w:val="auto"/>
                <w:sz w:val="18"/>
                <w:szCs w:val="18"/>
                <w:highlight w:val="none"/>
                <w:u w:val="none"/>
              </w:rPr>
            </w:pPr>
          </w:p>
        </w:tc>
      </w:tr>
      <w:tr w14:paraId="60310B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jc w:val="center"/>
        </w:trPr>
        <w:tc>
          <w:tcPr>
            <w:tcW w:w="94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73C539A">
            <w:pPr>
              <w:jc w:val="center"/>
              <w:rPr>
                <w:rFonts w:hint="eastAsia" w:ascii="宋体" w:hAnsi="宋体" w:eastAsia="宋体" w:cs="宋体"/>
                <w:i w:val="0"/>
                <w:iCs w:val="0"/>
                <w:color w:val="auto"/>
                <w:sz w:val="18"/>
                <w:szCs w:val="18"/>
                <w:highlight w:val="none"/>
                <w:u w:val="none"/>
              </w:rPr>
            </w:pPr>
          </w:p>
        </w:tc>
        <w:tc>
          <w:tcPr>
            <w:tcW w:w="29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2A4E35E">
            <w:pPr>
              <w:jc w:val="left"/>
              <w:rPr>
                <w:rFonts w:hint="eastAsia" w:ascii="宋体" w:hAnsi="宋体" w:eastAsia="宋体" w:cs="宋体"/>
                <w:i w:val="0"/>
                <w:iCs w:val="0"/>
                <w:color w:val="auto"/>
                <w:sz w:val="18"/>
                <w:szCs w:val="18"/>
                <w:highlight w:val="none"/>
                <w:u w:val="none"/>
              </w:rPr>
            </w:pPr>
          </w:p>
        </w:tc>
        <w:tc>
          <w:tcPr>
            <w:tcW w:w="262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E905213">
            <w:pPr>
              <w:jc w:val="left"/>
              <w:rPr>
                <w:rFonts w:hint="eastAsia" w:ascii="宋体" w:hAnsi="宋体" w:eastAsia="宋体" w:cs="宋体"/>
                <w:i w:val="0"/>
                <w:iCs w:val="0"/>
                <w:color w:val="auto"/>
                <w:sz w:val="18"/>
                <w:szCs w:val="18"/>
                <w:highlight w:val="none"/>
                <w:u w:val="none"/>
              </w:rPr>
            </w:pPr>
          </w:p>
        </w:tc>
        <w:tc>
          <w:tcPr>
            <w:tcW w:w="151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FE7F9E0">
            <w:pPr>
              <w:jc w:val="right"/>
              <w:rPr>
                <w:rFonts w:hint="eastAsia" w:ascii="宋体" w:hAnsi="宋体" w:eastAsia="宋体" w:cs="宋体"/>
                <w:i w:val="0"/>
                <w:iCs w:val="0"/>
                <w:color w:val="auto"/>
                <w:sz w:val="18"/>
                <w:szCs w:val="18"/>
                <w:highlight w:val="none"/>
                <w:u w:val="none"/>
              </w:rPr>
            </w:pPr>
          </w:p>
        </w:tc>
        <w:tc>
          <w:tcPr>
            <w:tcW w:w="10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4BCF801F">
            <w:pPr>
              <w:jc w:val="left"/>
              <w:rPr>
                <w:rFonts w:hint="eastAsia" w:ascii="宋体" w:hAnsi="宋体" w:eastAsia="宋体" w:cs="宋体"/>
                <w:i w:val="0"/>
                <w:iCs w:val="0"/>
                <w:color w:val="auto"/>
                <w:sz w:val="18"/>
                <w:szCs w:val="18"/>
                <w:highlight w:val="none"/>
                <w:u w:val="none"/>
              </w:rPr>
            </w:pPr>
          </w:p>
        </w:tc>
      </w:tr>
      <w:tr w14:paraId="78C581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4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073921E">
            <w:pPr>
              <w:jc w:val="center"/>
              <w:rPr>
                <w:rFonts w:hint="eastAsia" w:ascii="宋体" w:hAnsi="宋体" w:eastAsia="宋体" w:cs="宋体"/>
                <w:i w:val="0"/>
                <w:iCs w:val="0"/>
                <w:color w:val="auto"/>
                <w:sz w:val="18"/>
                <w:szCs w:val="18"/>
                <w:highlight w:val="none"/>
                <w:u w:val="none"/>
              </w:rPr>
            </w:pPr>
          </w:p>
        </w:tc>
        <w:tc>
          <w:tcPr>
            <w:tcW w:w="29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830AB94">
            <w:pPr>
              <w:jc w:val="left"/>
              <w:rPr>
                <w:rFonts w:hint="eastAsia" w:ascii="宋体" w:hAnsi="宋体" w:eastAsia="宋体" w:cs="宋体"/>
                <w:i w:val="0"/>
                <w:iCs w:val="0"/>
                <w:color w:val="auto"/>
                <w:sz w:val="18"/>
                <w:szCs w:val="18"/>
                <w:highlight w:val="none"/>
                <w:u w:val="none"/>
              </w:rPr>
            </w:pPr>
          </w:p>
        </w:tc>
        <w:tc>
          <w:tcPr>
            <w:tcW w:w="262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6AF424">
            <w:pPr>
              <w:jc w:val="left"/>
              <w:rPr>
                <w:rFonts w:hint="eastAsia" w:ascii="宋体" w:hAnsi="宋体" w:eastAsia="宋体" w:cs="宋体"/>
                <w:i w:val="0"/>
                <w:iCs w:val="0"/>
                <w:color w:val="auto"/>
                <w:sz w:val="18"/>
                <w:szCs w:val="18"/>
                <w:highlight w:val="none"/>
                <w:u w:val="none"/>
              </w:rPr>
            </w:pPr>
          </w:p>
        </w:tc>
        <w:tc>
          <w:tcPr>
            <w:tcW w:w="151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24619AC">
            <w:pPr>
              <w:jc w:val="right"/>
              <w:rPr>
                <w:rFonts w:hint="eastAsia" w:ascii="宋体" w:hAnsi="宋体" w:eastAsia="宋体" w:cs="宋体"/>
                <w:i w:val="0"/>
                <w:iCs w:val="0"/>
                <w:color w:val="auto"/>
                <w:sz w:val="18"/>
                <w:szCs w:val="18"/>
                <w:highlight w:val="none"/>
                <w:u w:val="none"/>
              </w:rPr>
            </w:pPr>
          </w:p>
        </w:tc>
        <w:tc>
          <w:tcPr>
            <w:tcW w:w="10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D391CCC">
            <w:pPr>
              <w:jc w:val="left"/>
              <w:rPr>
                <w:rFonts w:hint="eastAsia" w:ascii="宋体" w:hAnsi="宋体" w:eastAsia="宋体" w:cs="宋体"/>
                <w:i w:val="0"/>
                <w:iCs w:val="0"/>
                <w:color w:val="auto"/>
                <w:sz w:val="18"/>
                <w:szCs w:val="18"/>
                <w:highlight w:val="none"/>
                <w:u w:val="none"/>
              </w:rPr>
            </w:pPr>
          </w:p>
        </w:tc>
      </w:tr>
      <w:tr w14:paraId="7D0EF8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jc w:val="center"/>
        </w:trPr>
        <w:tc>
          <w:tcPr>
            <w:tcW w:w="94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B7B0B31">
            <w:pPr>
              <w:jc w:val="center"/>
              <w:rPr>
                <w:rFonts w:hint="eastAsia" w:ascii="宋体" w:hAnsi="宋体" w:eastAsia="宋体" w:cs="宋体"/>
                <w:i w:val="0"/>
                <w:iCs w:val="0"/>
                <w:color w:val="auto"/>
                <w:sz w:val="18"/>
                <w:szCs w:val="18"/>
                <w:highlight w:val="none"/>
                <w:u w:val="none"/>
              </w:rPr>
            </w:pPr>
          </w:p>
        </w:tc>
        <w:tc>
          <w:tcPr>
            <w:tcW w:w="29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E35A485">
            <w:pPr>
              <w:jc w:val="left"/>
              <w:rPr>
                <w:rFonts w:hint="eastAsia" w:ascii="宋体" w:hAnsi="宋体" w:eastAsia="宋体" w:cs="宋体"/>
                <w:i w:val="0"/>
                <w:iCs w:val="0"/>
                <w:color w:val="auto"/>
                <w:sz w:val="18"/>
                <w:szCs w:val="18"/>
                <w:highlight w:val="none"/>
                <w:u w:val="none"/>
              </w:rPr>
            </w:pPr>
          </w:p>
        </w:tc>
        <w:tc>
          <w:tcPr>
            <w:tcW w:w="262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BE87BF7">
            <w:pPr>
              <w:jc w:val="left"/>
              <w:rPr>
                <w:rFonts w:hint="eastAsia" w:ascii="宋体" w:hAnsi="宋体" w:eastAsia="宋体" w:cs="宋体"/>
                <w:i w:val="0"/>
                <w:iCs w:val="0"/>
                <w:color w:val="auto"/>
                <w:sz w:val="18"/>
                <w:szCs w:val="18"/>
                <w:highlight w:val="none"/>
                <w:u w:val="none"/>
              </w:rPr>
            </w:pPr>
          </w:p>
        </w:tc>
        <w:tc>
          <w:tcPr>
            <w:tcW w:w="151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7CC362D">
            <w:pPr>
              <w:jc w:val="right"/>
              <w:rPr>
                <w:rFonts w:hint="eastAsia" w:ascii="宋体" w:hAnsi="宋体" w:eastAsia="宋体" w:cs="宋体"/>
                <w:i w:val="0"/>
                <w:iCs w:val="0"/>
                <w:color w:val="auto"/>
                <w:sz w:val="18"/>
                <w:szCs w:val="18"/>
                <w:highlight w:val="none"/>
                <w:u w:val="none"/>
              </w:rPr>
            </w:pPr>
          </w:p>
        </w:tc>
        <w:tc>
          <w:tcPr>
            <w:tcW w:w="10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0B9B5C3B">
            <w:pPr>
              <w:jc w:val="left"/>
              <w:rPr>
                <w:rFonts w:hint="eastAsia" w:ascii="宋体" w:hAnsi="宋体" w:eastAsia="宋体" w:cs="宋体"/>
                <w:i w:val="0"/>
                <w:iCs w:val="0"/>
                <w:color w:val="auto"/>
                <w:sz w:val="18"/>
                <w:szCs w:val="18"/>
                <w:highlight w:val="none"/>
                <w:u w:val="none"/>
              </w:rPr>
            </w:pPr>
          </w:p>
        </w:tc>
      </w:tr>
      <w:tr w14:paraId="4A8780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4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0019E5F">
            <w:pPr>
              <w:jc w:val="center"/>
              <w:rPr>
                <w:rFonts w:hint="eastAsia" w:ascii="宋体" w:hAnsi="宋体" w:eastAsia="宋体" w:cs="宋体"/>
                <w:i w:val="0"/>
                <w:iCs w:val="0"/>
                <w:color w:val="auto"/>
                <w:sz w:val="18"/>
                <w:szCs w:val="18"/>
                <w:highlight w:val="none"/>
                <w:u w:val="none"/>
              </w:rPr>
            </w:pPr>
          </w:p>
        </w:tc>
        <w:tc>
          <w:tcPr>
            <w:tcW w:w="29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F79498">
            <w:pPr>
              <w:jc w:val="left"/>
              <w:rPr>
                <w:rFonts w:hint="eastAsia" w:ascii="宋体" w:hAnsi="宋体" w:eastAsia="宋体" w:cs="宋体"/>
                <w:i w:val="0"/>
                <w:iCs w:val="0"/>
                <w:color w:val="auto"/>
                <w:sz w:val="18"/>
                <w:szCs w:val="18"/>
                <w:highlight w:val="none"/>
                <w:u w:val="none"/>
              </w:rPr>
            </w:pPr>
          </w:p>
        </w:tc>
        <w:tc>
          <w:tcPr>
            <w:tcW w:w="262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1A55F19">
            <w:pPr>
              <w:jc w:val="left"/>
              <w:rPr>
                <w:rFonts w:hint="eastAsia" w:ascii="宋体" w:hAnsi="宋体" w:eastAsia="宋体" w:cs="宋体"/>
                <w:i w:val="0"/>
                <w:iCs w:val="0"/>
                <w:color w:val="auto"/>
                <w:sz w:val="18"/>
                <w:szCs w:val="18"/>
                <w:highlight w:val="none"/>
                <w:u w:val="none"/>
              </w:rPr>
            </w:pPr>
          </w:p>
        </w:tc>
        <w:tc>
          <w:tcPr>
            <w:tcW w:w="151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94DFE77">
            <w:pPr>
              <w:jc w:val="right"/>
              <w:rPr>
                <w:rFonts w:hint="eastAsia" w:ascii="宋体" w:hAnsi="宋体" w:eastAsia="宋体" w:cs="宋体"/>
                <w:i w:val="0"/>
                <w:iCs w:val="0"/>
                <w:color w:val="auto"/>
                <w:sz w:val="18"/>
                <w:szCs w:val="18"/>
                <w:highlight w:val="none"/>
                <w:u w:val="none"/>
              </w:rPr>
            </w:pPr>
          </w:p>
        </w:tc>
        <w:tc>
          <w:tcPr>
            <w:tcW w:w="10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79D8AADE">
            <w:pPr>
              <w:jc w:val="left"/>
              <w:rPr>
                <w:rFonts w:hint="eastAsia" w:ascii="宋体" w:hAnsi="宋体" w:eastAsia="宋体" w:cs="宋体"/>
                <w:i w:val="0"/>
                <w:iCs w:val="0"/>
                <w:color w:val="auto"/>
                <w:sz w:val="18"/>
                <w:szCs w:val="18"/>
                <w:highlight w:val="none"/>
                <w:u w:val="none"/>
              </w:rPr>
            </w:pPr>
          </w:p>
        </w:tc>
      </w:tr>
      <w:tr w14:paraId="605DA0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4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7642D6D">
            <w:pPr>
              <w:jc w:val="center"/>
              <w:rPr>
                <w:rFonts w:hint="eastAsia" w:ascii="宋体" w:hAnsi="宋体" w:eastAsia="宋体" w:cs="宋体"/>
                <w:i w:val="0"/>
                <w:iCs w:val="0"/>
                <w:color w:val="auto"/>
                <w:sz w:val="18"/>
                <w:szCs w:val="18"/>
                <w:highlight w:val="none"/>
                <w:u w:val="none"/>
              </w:rPr>
            </w:pPr>
          </w:p>
        </w:tc>
        <w:tc>
          <w:tcPr>
            <w:tcW w:w="29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4394423">
            <w:pPr>
              <w:jc w:val="left"/>
              <w:rPr>
                <w:rFonts w:hint="eastAsia" w:ascii="宋体" w:hAnsi="宋体" w:eastAsia="宋体" w:cs="宋体"/>
                <w:i w:val="0"/>
                <w:iCs w:val="0"/>
                <w:color w:val="auto"/>
                <w:sz w:val="18"/>
                <w:szCs w:val="18"/>
                <w:highlight w:val="none"/>
                <w:u w:val="none"/>
              </w:rPr>
            </w:pPr>
          </w:p>
        </w:tc>
        <w:tc>
          <w:tcPr>
            <w:tcW w:w="262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C26EA6C">
            <w:pPr>
              <w:jc w:val="left"/>
              <w:rPr>
                <w:rFonts w:hint="eastAsia" w:ascii="宋体" w:hAnsi="宋体" w:eastAsia="宋体" w:cs="宋体"/>
                <w:i w:val="0"/>
                <w:iCs w:val="0"/>
                <w:color w:val="auto"/>
                <w:sz w:val="18"/>
                <w:szCs w:val="18"/>
                <w:highlight w:val="none"/>
                <w:u w:val="none"/>
              </w:rPr>
            </w:pPr>
          </w:p>
        </w:tc>
        <w:tc>
          <w:tcPr>
            <w:tcW w:w="151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722BBEE">
            <w:pPr>
              <w:jc w:val="right"/>
              <w:rPr>
                <w:rFonts w:hint="eastAsia" w:ascii="宋体" w:hAnsi="宋体" w:eastAsia="宋体" w:cs="宋体"/>
                <w:i w:val="0"/>
                <w:iCs w:val="0"/>
                <w:color w:val="auto"/>
                <w:sz w:val="18"/>
                <w:szCs w:val="18"/>
                <w:highlight w:val="none"/>
                <w:u w:val="none"/>
              </w:rPr>
            </w:pPr>
          </w:p>
        </w:tc>
        <w:tc>
          <w:tcPr>
            <w:tcW w:w="10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1E40009">
            <w:pPr>
              <w:jc w:val="left"/>
              <w:rPr>
                <w:rFonts w:hint="eastAsia" w:ascii="宋体" w:hAnsi="宋体" w:eastAsia="宋体" w:cs="宋体"/>
                <w:i w:val="0"/>
                <w:iCs w:val="0"/>
                <w:color w:val="auto"/>
                <w:sz w:val="18"/>
                <w:szCs w:val="18"/>
                <w:highlight w:val="none"/>
                <w:u w:val="none"/>
              </w:rPr>
            </w:pPr>
          </w:p>
        </w:tc>
      </w:tr>
      <w:tr w14:paraId="727B9A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jc w:val="center"/>
        </w:trPr>
        <w:tc>
          <w:tcPr>
            <w:tcW w:w="94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764B2EB">
            <w:pPr>
              <w:jc w:val="center"/>
              <w:rPr>
                <w:rFonts w:hint="eastAsia" w:ascii="宋体" w:hAnsi="宋体" w:eastAsia="宋体" w:cs="宋体"/>
                <w:i w:val="0"/>
                <w:iCs w:val="0"/>
                <w:color w:val="auto"/>
                <w:sz w:val="18"/>
                <w:szCs w:val="18"/>
                <w:highlight w:val="none"/>
                <w:u w:val="none"/>
              </w:rPr>
            </w:pPr>
          </w:p>
        </w:tc>
        <w:tc>
          <w:tcPr>
            <w:tcW w:w="29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0FCDEB1">
            <w:pPr>
              <w:jc w:val="left"/>
              <w:rPr>
                <w:rFonts w:hint="eastAsia" w:ascii="宋体" w:hAnsi="宋体" w:eastAsia="宋体" w:cs="宋体"/>
                <w:i w:val="0"/>
                <w:iCs w:val="0"/>
                <w:color w:val="auto"/>
                <w:sz w:val="18"/>
                <w:szCs w:val="18"/>
                <w:highlight w:val="none"/>
                <w:u w:val="none"/>
              </w:rPr>
            </w:pPr>
          </w:p>
        </w:tc>
        <w:tc>
          <w:tcPr>
            <w:tcW w:w="262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AD7C323">
            <w:pPr>
              <w:jc w:val="left"/>
              <w:rPr>
                <w:rFonts w:hint="eastAsia" w:ascii="宋体" w:hAnsi="宋体" w:eastAsia="宋体" w:cs="宋体"/>
                <w:i w:val="0"/>
                <w:iCs w:val="0"/>
                <w:color w:val="auto"/>
                <w:sz w:val="18"/>
                <w:szCs w:val="18"/>
                <w:highlight w:val="none"/>
                <w:u w:val="none"/>
              </w:rPr>
            </w:pPr>
          </w:p>
        </w:tc>
        <w:tc>
          <w:tcPr>
            <w:tcW w:w="151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F33C0B4">
            <w:pPr>
              <w:jc w:val="right"/>
              <w:rPr>
                <w:rFonts w:hint="eastAsia" w:ascii="宋体" w:hAnsi="宋体" w:eastAsia="宋体" w:cs="宋体"/>
                <w:i w:val="0"/>
                <w:iCs w:val="0"/>
                <w:color w:val="auto"/>
                <w:sz w:val="18"/>
                <w:szCs w:val="18"/>
                <w:highlight w:val="none"/>
                <w:u w:val="none"/>
              </w:rPr>
            </w:pPr>
          </w:p>
        </w:tc>
        <w:tc>
          <w:tcPr>
            <w:tcW w:w="10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E00B25A">
            <w:pPr>
              <w:jc w:val="left"/>
              <w:rPr>
                <w:rFonts w:hint="eastAsia" w:ascii="宋体" w:hAnsi="宋体" w:eastAsia="宋体" w:cs="宋体"/>
                <w:i w:val="0"/>
                <w:iCs w:val="0"/>
                <w:color w:val="auto"/>
                <w:sz w:val="18"/>
                <w:szCs w:val="18"/>
                <w:highlight w:val="none"/>
                <w:u w:val="none"/>
              </w:rPr>
            </w:pPr>
          </w:p>
        </w:tc>
      </w:tr>
      <w:tr w14:paraId="756768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4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D88E034">
            <w:pPr>
              <w:jc w:val="center"/>
              <w:rPr>
                <w:rFonts w:hint="eastAsia" w:ascii="宋体" w:hAnsi="宋体" w:eastAsia="宋体" w:cs="宋体"/>
                <w:i w:val="0"/>
                <w:iCs w:val="0"/>
                <w:color w:val="auto"/>
                <w:sz w:val="18"/>
                <w:szCs w:val="18"/>
                <w:highlight w:val="none"/>
                <w:u w:val="none"/>
              </w:rPr>
            </w:pPr>
          </w:p>
        </w:tc>
        <w:tc>
          <w:tcPr>
            <w:tcW w:w="29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3735A5B">
            <w:pPr>
              <w:jc w:val="left"/>
              <w:rPr>
                <w:rFonts w:hint="eastAsia" w:ascii="宋体" w:hAnsi="宋体" w:eastAsia="宋体" w:cs="宋体"/>
                <w:i w:val="0"/>
                <w:iCs w:val="0"/>
                <w:color w:val="auto"/>
                <w:sz w:val="18"/>
                <w:szCs w:val="18"/>
                <w:highlight w:val="none"/>
                <w:u w:val="none"/>
              </w:rPr>
            </w:pPr>
          </w:p>
        </w:tc>
        <w:tc>
          <w:tcPr>
            <w:tcW w:w="262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EDE4394">
            <w:pPr>
              <w:jc w:val="left"/>
              <w:rPr>
                <w:rFonts w:hint="eastAsia" w:ascii="宋体" w:hAnsi="宋体" w:eastAsia="宋体" w:cs="宋体"/>
                <w:i w:val="0"/>
                <w:iCs w:val="0"/>
                <w:color w:val="auto"/>
                <w:sz w:val="18"/>
                <w:szCs w:val="18"/>
                <w:highlight w:val="none"/>
                <w:u w:val="none"/>
              </w:rPr>
            </w:pPr>
          </w:p>
        </w:tc>
        <w:tc>
          <w:tcPr>
            <w:tcW w:w="151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A33D3A0">
            <w:pPr>
              <w:jc w:val="right"/>
              <w:rPr>
                <w:rFonts w:hint="eastAsia" w:ascii="宋体" w:hAnsi="宋体" w:eastAsia="宋体" w:cs="宋体"/>
                <w:i w:val="0"/>
                <w:iCs w:val="0"/>
                <w:color w:val="auto"/>
                <w:sz w:val="18"/>
                <w:szCs w:val="18"/>
                <w:highlight w:val="none"/>
                <w:u w:val="none"/>
              </w:rPr>
            </w:pPr>
          </w:p>
        </w:tc>
        <w:tc>
          <w:tcPr>
            <w:tcW w:w="10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928CF9D">
            <w:pPr>
              <w:jc w:val="left"/>
              <w:rPr>
                <w:rFonts w:hint="eastAsia" w:ascii="宋体" w:hAnsi="宋体" w:eastAsia="宋体" w:cs="宋体"/>
                <w:i w:val="0"/>
                <w:iCs w:val="0"/>
                <w:color w:val="auto"/>
                <w:sz w:val="18"/>
                <w:szCs w:val="18"/>
                <w:highlight w:val="none"/>
                <w:u w:val="none"/>
              </w:rPr>
            </w:pPr>
          </w:p>
        </w:tc>
      </w:tr>
      <w:tr w14:paraId="49E359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4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EF69DBA">
            <w:pPr>
              <w:jc w:val="center"/>
              <w:rPr>
                <w:rFonts w:hint="eastAsia" w:ascii="宋体" w:hAnsi="宋体" w:eastAsia="宋体" w:cs="宋体"/>
                <w:i w:val="0"/>
                <w:iCs w:val="0"/>
                <w:color w:val="auto"/>
                <w:sz w:val="18"/>
                <w:szCs w:val="18"/>
                <w:highlight w:val="none"/>
                <w:u w:val="none"/>
              </w:rPr>
            </w:pPr>
          </w:p>
        </w:tc>
        <w:tc>
          <w:tcPr>
            <w:tcW w:w="29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EAC558C">
            <w:pPr>
              <w:jc w:val="left"/>
              <w:rPr>
                <w:rFonts w:hint="eastAsia" w:ascii="宋体" w:hAnsi="宋体" w:eastAsia="宋体" w:cs="宋体"/>
                <w:i w:val="0"/>
                <w:iCs w:val="0"/>
                <w:color w:val="auto"/>
                <w:sz w:val="18"/>
                <w:szCs w:val="18"/>
                <w:highlight w:val="none"/>
                <w:u w:val="none"/>
              </w:rPr>
            </w:pPr>
          </w:p>
        </w:tc>
        <w:tc>
          <w:tcPr>
            <w:tcW w:w="262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23404DB">
            <w:pPr>
              <w:jc w:val="left"/>
              <w:rPr>
                <w:rFonts w:hint="eastAsia" w:ascii="宋体" w:hAnsi="宋体" w:eastAsia="宋体" w:cs="宋体"/>
                <w:i w:val="0"/>
                <w:iCs w:val="0"/>
                <w:color w:val="auto"/>
                <w:sz w:val="18"/>
                <w:szCs w:val="18"/>
                <w:highlight w:val="none"/>
                <w:u w:val="none"/>
              </w:rPr>
            </w:pPr>
          </w:p>
        </w:tc>
        <w:tc>
          <w:tcPr>
            <w:tcW w:w="151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A326B4D">
            <w:pPr>
              <w:jc w:val="right"/>
              <w:rPr>
                <w:rFonts w:hint="eastAsia" w:ascii="宋体" w:hAnsi="宋体" w:eastAsia="宋体" w:cs="宋体"/>
                <w:i w:val="0"/>
                <w:iCs w:val="0"/>
                <w:color w:val="auto"/>
                <w:sz w:val="18"/>
                <w:szCs w:val="18"/>
                <w:highlight w:val="none"/>
                <w:u w:val="none"/>
              </w:rPr>
            </w:pPr>
          </w:p>
        </w:tc>
        <w:tc>
          <w:tcPr>
            <w:tcW w:w="10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7306E172">
            <w:pPr>
              <w:jc w:val="left"/>
              <w:rPr>
                <w:rFonts w:hint="eastAsia" w:ascii="宋体" w:hAnsi="宋体" w:eastAsia="宋体" w:cs="宋体"/>
                <w:i w:val="0"/>
                <w:iCs w:val="0"/>
                <w:color w:val="auto"/>
                <w:sz w:val="18"/>
                <w:szCs w:val="18"/>
                <w:highlight w:val="none"/>
                <w:u w:val="none"/>
              </w:rPr>
            </w:pPr>
          </w:p>
        </w:tc>
      </w:tr>
      <w:tr w14:paraId="133C23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jc w:val="center"/>
        </w:trPr>
        <w:tc>
          <w:tcPr>
            <w:tcW w:w="94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7CC90A4">
            <w:pPr>
              <w:jc w:val="center"/>
              <w:rPr>
                <w:rFonts w:hint="eastAsia" w:ascii="宋体" w:hAnsi="宋体" w:eastAsia="宋体" w:cs="宋体"/>
                <w:i w:val="0"/>
                <w:iCs w:val="0"/>
                <w:color w:val="auto"/>
                <w:sz w:val="18"/>
                <w:szCs w:val="18"/>
                <w:highlight w:val="none"/>
                <w:u w:val="none"/>
              </w:rPr>
            </w:pPr>
          </w:p>
        </w:tc>
        <w:tc>
          <w:tcPr>
            <w:tcW w:w="29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B0E871E">
            <w:pPr>
              <w:jc w:val="left"/>
              <w:rPr>
                <w:rFonts w:hint="eastAsia" w:ascii="宋体" w:hAnsi="宋体" w:eastAsia="宋体" w:cs="宋体"/>
                <w:i w:val="0"/>
                <w:iCs w:val="0"/>
                <w:color w:val="auto"/>
                <w:sz w:val="18"/>
                <w:szCs w:val="18"/>
                <w:highlight w:val="none"/>
                <w:u w:val="none"/>
              </w:rPr>
            </w:pPr>
          </w:p>
        </w:tc>
        <w:tc>
          <w:tcPr>
            <w:tcW w:w="262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A5DAC53">
            <w:pPr>
              <w:jc w:val="left"/>
              <w:rPr>
                <w:rFonts w:hint="eastAsia" w:ascii="宋体" w:hAnsi="宋体" w:eastAsia="宋体" w:cs="宋体"/>
                <w:i w:val="0"/>
                <w:iCs w:val="0"/>
                <w:color w:val="auto"/>
                <w:sz w:val="18"/>
                <w:szCs w:val="18"/>
                <w:highlight w:val="none"/>
                <w:u w:val="none"/>
              </w:rPr>
            </w:pPr>
          </w:p>
        </w:tc>
        <w:tc>
          <w:tcPr>
            <w:tcW w:w="151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EB58242">
            <w:pPr>
              <w:jc w:val="right"/>
              <w:rPr>
                <w:rFonts w:hint="eastAsia" w:ascii="宋体" w:hAnsi="宋体" w:eastAsia="宋体" w:cs="宋体"/>
                <w:i w:val="0"/>
                <w:iCs w:val="0"/>
                <w:color w:val="auto"/>
                <w:sz w:val="18"/>
                <w:szCs w:val="18"/>
                <w:highlight w:val="none"/>
                <w:u w:val="none"/>
              </w:rPr>
            </w:pPr>
          </w:p>
        </w:tc>
        <w:tc>
          <w:tcPr>
            <w:tcW w:w="10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E2AA40D">
            <w:pPr>
              <w:jc w:val="left"/>
              <w:rPr>
                <w:rFonts w:hint="eastAsia" w:ascii="宋体" w:hAnsi="宋体" w:eastAsia="宋体" w:cs="宋体"/>
                <w:i w:val="0"/>
                <w:iCs w:val="0"/>
                <w:color w:val="auto"/>
                <w:sz w:val="18"/>
                <w:szCs w:val="18"/>
                <w:highlight w:val="none"/>
                <w:u w:val="none"/>
              </w:rPr>
            </w:pPr>
          </w:p>
        </w:tc>
      </w:tr>
      <w:tr w14:paraId="758999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4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06CE71E">
            <w:pPr>
              <w:jc w:val="center"/>
              <w:rPr>
                <w:rFonts w:hint="eastAsia" w:ascii="宋体" w:hAnsi="宋体" w:eastAsia="宋体" w:cs="宋体"/>
                <w:i w:val="0"/>
                <w:iCs w:val="0"/>
                <w:color w:val="auto"/>
                <w:sz w:val="18"/>
                <w:szCs w:val="18"/>
                <w:highlight w:val="none"/>
                <w:u w:val="none"/>
              </w:rPr>
            </w:pPr>
          </w:p>
        </w:tc>
        <w:tc>
          <w:tcPr>
            <w:tcW w:w="29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8D24D1D">
            <w:pPr>
              <w:jc w:val="left"/>
              <w:rPr>
                <w:rFonts w:hint="eastAsia" w:ascii="宋体" w:hAnsi="宋体" w:eastAsia="宋体" w:cs="宋体"/>
                <w:i w:val="0"/>
                <w:iCs w:val="0"/>
                <w:color w:val="auto"/>
                <w:sz w:val="18"/>
                <w:szCs w:val="18"/>
                <w:highlight w:val="none"/>
                <w:u w:val="none"/>
              </w:rPr>
            </w:pPr>
          </w:p>
        </w:tc>
        <w:tc>
          <w:tcPr>
            <w:tcW w:w="262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A231E0A">
            <w:pPr>
              <w:jc w:val="left"/>
              <w:rPr>
                <w:rFonts w:hint="eastAsia" w:ascii="宋体" w:hAnsi="宋体" w:eastAsia="宋体" w:cs="宋体"/>
                <w:i w:val="0"/>
                <w:iCs w:val="0"/>
                <w:color w:val="auto"/>
                <w:sz w:val="18"/>
                <w:szCs w:val="18"/>
                <w:highlight w:val="none"/>
                <w:u w:val="none"/>
              </w:rPr>
            </w:pPr>
          </w:p>
        </w:tc>
        <w:tc>
          <w:tcPr>
            <w:tcW w:w="151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3F81111">
            <w:pPr>
              <w:jc w:val="right"/>
              <w:rPr>
                <w:rFonts w:hint="eastAsia" w:ascii="宋体" w:hAnsi="宋体" w:eastAsia="宋体" w:cs="宋体"/>
                <w:i w:val="0"/>
                <w:iCs w:val="0"/>
                <w:color w:val="auto"/>
                <w:sz w:val="18"/>
                <w:szCs w:val="18"/>
                <w:highlight w:val="none"/>
                <w:u w:val="none"/>
              </w:rPr>
            </w:pPr>
          </w:p>
        </w:tc>
        <w:tc>
          <w:tcPr>
            <w:tcW w:w="108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28C9B67">
            <w:pPr>
              <w:jc w:val="left"/>
              <w:rPr>
                <w:rFonts w:hint="eastAsia" w:ascii="宋体" w:hAnsi="宋体" w:eastAsia="宋体" w:cs="宋体"/>
                <w:i w:val="0"/>
                <w:iCs w:val="0"/>
                <w:color w:val="auto"/>
                <w:sz w:val="18"/>
                <w:szCs w:val="18"/>
                <w:highlight w:val="none"/>
                <w:u w:val="none"/>
              </w:rPr>
            </w:pPr>
          </w:p>
        </w:tc>
      </w:tr>
      <w:tr w14:paraId="14F45C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3855" w:type="dxa"/>
            <w:gridSpan w:val="2"/>
            <w:tcBorders>
              <w:top w:val="single" w:color="000000" w:sz="4" w:space="0"/>
              <w:left w:val="single" w:color="000000" w:sz="8" w:space="0"/>
              <w:bottom w:val="single" w:color="000000" w:sz="8" w:space="0"/>
              <w:right w:val="single" w:color="000000" w:sz="4" w:space="0"/>
            </w:tcBorders>
            <w:shd w:val="clear" w:color="FFFFFF" w:fill="FFFFFF"/>
            <w:vAlign w:val="center"/>
          </w:tcPr>
          <w:p w14:paraId="42D4F04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招标控制价合计</w:t>
            </w:r>
          </w:p>
        </w:tc>
        <w:tc>
          <w:tcPr>
            <w:tcW w:w="2625"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2C2B97FF">
            <w:pPr>
              <w:jc w:val="left"/>
              <w:rPr>
                <w:rFonts w:hint="eastAsia" w:ascii="宋体" w:hAnsi="宋体" w:eastAsia="宋体" w:cs="宋体"/>
                <w:i w:val="0"/>
                <w:iCs w:val="0"/>
                <w:color w:val="auto"/>
                <w:sz w:val="18"/>
                <w:szCs w:val="18"/>
                <w:highlight w:val="none"/>
                <w:u w:val="none"/>
              </w:rPr>
            </w:pPr>
          </w:p>
        </w:tc>
        <w:tc>
          <w:tcPr>
            <w:tcW w:w="1515"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2924C68A">
            <w:pPr>
              <w:jc w:val="right"/>
              <w:rPr>
                <w:rFonts w:hint="eastAsia" w:ascii="宋体" w:hAnsi="宋体" w:eastAsia="宋体" w:cs="宋体"/>
                <w:i w:val="0"/>
                <w:iCs w:val="0"/>
                <w:color w:val="auto"/>
                <w:sz w:val="18"/>
                <w:szCs w:val="18"/>
                <w:highlight w:val="none"/>
                <w:u w:val="none"/>
              </w:rPr>
            </w:pPr>
          </w:p>
        </w:tc>
        <w:tc>
          <w:tcPr>
            <w:tcW w:w="1080"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6509D6A1">
            <w:pPr>
              <w:jc w:val="right"/>
              <w:rPr>
                <w:rFonts w:hint="eastAsia" w:ascii="宋体" w:hAnsi="宋体" w:eastAsia="宋体" w:cs="宋体"/>
                <w:i w:val="0"/>
                <w:iCs w:val="0"/>
                <w:color w:val="auto"/>
                <w:sz w:val="18"/>
                <w:szCs w:val="18"/>
                <w:highlight w:val="none"/>
                <w:u w:val="none"/>
              </w:rPr>
            </w:pPr>
          </w:p>
        </w:tc>
      </w:tr>
    </w:tbl>
    <w:p w14:paraId="47B77A00">
      <w:pPr>
        <w:bidi w:val="0"/>
        <w:rPr>
          <w:rFonts w:ascii="等线" w:hAnsi="等线" w:eastAsia="宋体" w:cs="Times New Roman"/>
          <w:color w:val="auto"/>
          <w:szCs w:val="24"/>
          <w:highlight w:val="none"/>
        </w:rPr>
      </w:pPr>
    </w:p>
    <w:p w14:paraId="6B62067F">
      <w:pPr>
        <w:bidi w:val="0"/>
        <w:rPr>
          <w:rFonts w:ascii="等线" w:hAnsi="等线" w:eastAsia="宋体" w:cs="Times New Roman"/>
          <w:color w:val="auto"/>
          <w:szCs w:val="24"/>
          <w:highlight w:val="none"/>
        </w:rPr>
      </w:pPr>
    </w:p>
    <w:p w14:paraId="5191C340">
      <w:pPr>
        <w:rPr>
          <w:rFonts w:ascii="等线" w:hAnsi="等线" w:eastAsia="宋体" w:cs="Times New Roman"/>
          <w:color w:val="auto"/>
          <w:szCs w:val="24"/>
          <w:highlight w:val="none"/>
        </w:rPr>
      </w:pPr>
      <w:r>
        <w:rPr>
          <w:rFonts w:ascii="等线" w:hAnsi="等线" w:eastAsia="宋体" w:cs="Times New Roman"/>
          <w:color w:val="auto"/>
          <w:szCs w:val="24"/>
          <w:highlight w:val="none"/>
        </w:rPr>
        <w:br w:type="page"/>
      </w:r>
    </w:p>
    <w:p w14:paraId="58F706F4">
      <w:pPr>
        <w:bidi w:val="0"/>
        <w:rPr>
          <w:color w:val="auto"/>
          <w:highlight w:val="none"/>
        </w:rPr>
        <w:sectPr>
          <w:pgSz w:w="11906" w:h="16838"/>
          <w:pgMar w:top="1440" w:right="1800" w:bottom="1440" w:left="1800" w:header="851" w:footer="992" w:gutter="0"/>
          <w:cols w:space="425" w:num="1"/>
          <w:docGrid w:type="lines" w:linePitch="312" w:charSpace="0"/>
        </w:sectPr>
      </w:pPr>
    </w:p>
    <w:tbl>
      <w:tblPr>
        <w:tblStyle w:val="23"/>
        <w:tblW w:w="1426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54"/>
        <w:gridCol w:w="1416"/>
        <w:gridCol w:w="1499"/>
        <w:gridCol w:w="3598"/>
        <w:gridCol w:w="615"/>
        <w:gridCol w:w="1109"/>
        <w:gridCol w:w="1229"/>
        <w:gridCol w:w="840"/>
        <w:gridCol w:w="885"/>
        <w:gridCol w:w="885"/>
        <w:gridCol w:w="885"/>
        <w:gridCol w:w="750"/>
      </w:tblGrid>
      <w:tr w14:paraId="424F14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 w:hRule="atLeast"/>
        </w:trPr>
        <w:tc>
          <w:tcPr>
            <w:tcW w:w="10860" w:type="dxa"/>
            <w:gridSpan w:val="8"/>
            <w:tcBorders>
              <w:top w:val="nil"/>
              <w:left w:val="nil"/>
              <w:bottom w:val="nil"/>
              <w:right w:val="nil"/>
            </w:tcBorders>
            <w:shd w:val="clear" w:color="FFFFFF" w:fill="FFFFFF"/>
            <w:vAlign w:val="center"/>
          </w:tcPr>
          <w:p w14:paraId="312B81C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【表10.2.2-16】</w:t>
            </w:r>
          </w:p>
        </w:tc>
        <w:tc>
          <w:tcPr>
            <w:tcW w:w="3405" w:type="dxa"/>
            <w:gridSpan w:val="4"/>
            <w:tcBorders>
              <w:top w:val="nil"/>
              <w:left w:val="nil"/>
              <w:bottom w:val="nil"/>
              <w:right w:val="nil"/>
            </w:tcBorders>
            <w:shd w:val="clear" w:color="FFFFFF" w:fill="FFFFFF"/>
            <w:vAlign w:val="center"/>
          </w:tcPr>
          <w:p w14:paraId="32A58D79">
            <w:pPr>
              <w:jc w:val="right"/>
              <w:rPr>
                <w:rFonts w:hint="eastAsia" w:ascii="宋体" w:hAnsi="宋体" w:eastAsia="宋体" w:cs="宋体"/>
                <w:i w:val="0"/>
                <w:iCs w:val="0"/>
                <w:color w:val="auto"/>
                <w:sz w:val="18"/>
                <w:szCs w:val="18"/>
                <w:highlight w:val="none"/>
                <w:u w:val="none"/>
              </w:rPr>
            </w:pPr>
          </w:p>
        </w:tc>
      </w:tr>
      <w:tr w14:paraId="7F81D7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4265" w:type="dxa"/>
            <w:gridSpan w:val="12"/>
            <w:tcBorders>
              <w:top w:val="nil"/>
              <w:left w:val="nil"/>
              <w:bottom w:val="nil"/>
              <w:right w:val="nil"/>
            </w:tcBorders>
            <w:shd w:val="clear" w:color="FFFFFF" w:fill="FFFFFF"/>
            <w:vAlign w:val="center"/>
          </w:tcPr>
          <w:p w14:paraId="7A0A0215">
            <w:pPr>
              <w:keepNext w:val="0"/>
              <w:keepLines w:val="0"/>
              <w:widowControl/>
              <w:suppressLineNumbers w:val="0"/>
              <w:jc w:val="center"/>
              <w:textAlignment w:val="center"/>
              <w:rPr>
                <w:rFonts w:hint="eastAsia" w:ascii="宋体" w:hAnsi="宋体" w:eastAsia="宋体" w:cs="宋体"/>
                <w:b/>
                <w:bCs/>
                <w:i w:val="0"/>
                <w:iCs w:val="0"/>
                <w:color w:val="auto"/>
                <w:sz w:val="40"/>
                <w:szCs w:val="40"/>
                <w:highlight w:val="none"/>
                <w:u w:val="none"/>
              </w:rPr>
            </w:pPr>
            <w:r>
              <w:rPr>
                <w:rFonts w:hint="eastAsia" w:ascii="宋体" w:hAnsi="宋体" w:eastAsia="宋体" w:cs="宋体"/>
                <w:b/>
                <w:bCs/>
                <w:i w:val="0"/>
                <w:iCs w:val="0"/>
                <w:color w:val="auto"/>
                <w:kern w:val="0"/>
                <w:sz w:val="40"/>
                <w:szCs w:val="40"/>
                <w:highlight w:val="none"/>
                <w:u w:val="none"/>
                <w:lang w:val="en-US" w:eastAsia="zh-CN" w:bidi="ar"/>
              </w:rPr>
              <w:t>分部分项工程清单与计价表</w:t>
            </w:r>
          </w:p>
        </w:tc>
      </w:tr>
      <w:tr w14:paraId="27D12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3465" w:type="dxa"/>
            <w:gridSpan w:val="3"/>
            <w:tcBorders>
              <w:top w:val="nil"/>
              <w:left w:val="nil"/>
              <w:bottom w:val="nil"/>
              <w:right w:val="nil"/>
            </w:tcBorders>
            <w:shd w:val="clear" w:color="FFFFFF" w:fill="FFFFFF"/>
            <w:vAlign w:val="bottom"/>
          </w:tcPr>
          <w:p w14:paraId="1E05F1CD">
            <w:pPr>
              <w:keepNext w:val="0"/>
              <w:keepLines w:val="0"/>
              <w:widowControl/>
              <w:suppressLineNumbers w:val="0"/>
              <w:jc w:val="lef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工程名称：单项工程-配套用房安装工程</w:t>
            </w:r>
          </w:p>
        </w:tc>
        <w:tc>
          <w:tcPr>
            <w:tcW w:w="7395" w:type="dxa"/>
            <w:gridSpan w:val="5"/>
            <w:tcBorders>
              <w:top w:val="nil"/>
              <w:left w:val="nil"/>
              <w:bottom w:val="nil"/>
              <w:right w:val="nil"/>
            </w:tcBorders>
            <w:shd w:val="clear" w:color="FFFFFF" w:fill="FFFFFF"/>
            <w:vAlign w:val="bottom"/>
          </w:tcPr>
          <w:p w14:paraId="68CDCE0D">
            <w:pPr>
              <w:keepNext w:val="0"/>
              <w:keepLines w:val="0"/>
              <w:widowControl/>
              <w:suppressLineNumbers w:val="0"/>
              <w:jc w:val="lef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标段：</w:t>
            </w:r>
          </w:p>
        </w:tc>
        <w:tc>
          <w:tcPr>
            <w:tcW w:w="3405" w:type="dxa"/>
            <w:gridSpan w:val="4"/>
            <w:tcBorders>
              <w:top w:val="nil"/>
              <w:left w:val="nil"/>
              <w:bottom w:val="nil"/>
              <w:right w:val="nil"/>
            </w:tcBorders>
            <w:shd w:val="clear" w:color="FFFFFF" w:fill="FFFFFF"/>
            <w:vAlign w:val="bottom"/>
          </w:tcPr>
          <w:p w14:paraId="2AB8FA62">
            <w:pPr>
              <w:keepNext w:val="0"/>
              <w:keepLines w:val="0"/>
              <w:widowControl/>
              <w:suppressLineNumbers w:val="0"/>
              <w:jc w:val="righ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第 1 页  共 7 页</w:t>
            </w:r>
          </w:p>
        </w:tc>
      </w:tr>
      <w:tr w14:paraId="52344B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555"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7865942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序号</w:t>
            </w:r>
          </w:p>
        </w:tc>
        <w:tc>
          <w:tcPr>
            <w:tcW w:w="141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4DCE4E1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项目编码</w:t>
            </w:r>
          </w:p>
        </w:tc>
        <w:tc>
          <w:tcPr>
            <w:tcW w:w="150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11A0A22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项目名称</w:t>
            </w:r>
          </w:p>
        </w:tc>
        <w:tc>
          <w:tcPr>
            <w:tcW w:w="360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1875845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项目特征</w:t>
            </w:r>
          </w:p>
        </w:tc>
        <w:tc>
          <w:tcPr>
            <w:tcW w:w="615"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3300325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计量单位</w:t>
            </w:r>
          </w:p>
        </w:tc>
        <w:tc>
          <w:tcPr>
            <w:tcW w:w="111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3E3E84E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工程量</w:t>
            </w:r>
          </w:p>
        </w:tc>
        <w:tc>
          <w:tcPr>
            <w:tcW w:w="4725" w:type="dxa"/>
            <w:gridSpan w:val="5"/>
            <w:tcBorders>
              <w:top w:val="single" w:color="000000" w:sz="8" w:space="0"/>
              <w:left w:val="single" w:color="000000" w:sz="4" w:space="0"/>
              <w:bottom w:val="single" w:color="000000" w:sz="4" w:space="0"/>
              <w:right w:val="single" w:color="000000" w:sz="4" w:space="0"/>
            </w:tcBorders>
            <w:shd w:val="clear" w:color="FFFFFF" w:fill="FFFFFF"/>
            <w:vAlign w:val="center"/>
          </w:tcPr>
          <w:p w14:paraId="4A00966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金额（元）</w:t>
            </w:r>
          </w:p>
        </w:tc>
        <w:tc>
          <w:tcPr>
            <w:tcW w:w="750" w:type="dxa"/>
            <w:vMerge w:val="restart"/>
            <w:tcBorders>
              <w:top w:val="single" w:color="000000" w:sz="8" w:space="0"/>
              <w:left w:val="single" w:color="000000" w:sz="4" w:space="0"/>
              <w:bottom w:val="single" w:color="000000" w:sz="4" w:space="0"/>
              <w:right w:val="single" w:color="000000" w:sz="8" w:space="0"/>
            </w:tcBorders>
            <w:shd w:val="clear" w:color="FFFFFF" w:fill="FFFFFF"/>
            <w:vAlign w:val="center"/>
          </w:tcPr>
          <w:p w14:paraId="3618275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备注</w:t>
            </w:r>
          </w:p>
        </w:tc>
      </w:tr>
      <w:tr w14:paraId="5126CF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555"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472E20F9">
            <w:pPr>
              <w:jc w:val="center"/>
              <w:rPr>
                <w:rFonts w:hint="eastAsia" w:ascii="宋体" w:hAnsi="宋体" w:eastAsia="宋体" w:cs="宋体"/>
                <w:i w:val="0"/>
                <w:iCs w:val="0"/>
                <w:color w:val="auto"/>
                <w:sz w:val="20"/>
                <w:szCs w:val="20"/>
                <w:highlight w:val="none"/>
                <w:u w:val="none"/>
              </w:rPr>
            </w:pPr>
          </w:p>
        </w:tc>
        <w:tc>
          <w:tcPr>
            <w:tcW w:w="141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A458D6E">
            <w:pPr>
              <w:jc w:val="center"/>
              <w:rPr>
                <w:rFonts w:hint="eastAsia" w:ascii="宋体" w:hAnsi="宋体" w:eastAsia="宋体" w:cs="宋体"/>
                <w:i w:val="0"/>
                <w:iCs w:val="0"/>
                <w:color w:val="auto"/>
                <w:sz w:val="20"/>
                <w:szCs w:val="20"/>
                <w:highlight w:val="none"/>
                <w:u w:val="none"/>
              </w:rPr>
            </w:pPr>
          </w:p>
        </w:tc>
        <w:tc>
          <w:tcPr>
            <w:tcW w:w="150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8B9121D">
            <w:pPr>
              <w:jc w:val="center"/>
              <w:rPr>
                <w:rFonts w:hint="eastAsia" w:ascii="宋体" w:hAnsi="宋体" w:eastAsia="宋体" w:cs="宋体"/>
                <w:i w:val="0"/>
                <w:iCs w:val="0"/>
                <w:color w:val="auto"/>
                <w:sz w:val="20"/>
                <w:szCs w:val="20"/>
                <w:highlight w:val="none"/>
                <w:u w:val="none"/>
              </w:rPr>
            </w:pPr>
          </w:p>
        </w:tc>
        <w:tc>
          <w:tcPr>
            <w:tcW w:w="360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DE2CFBA">
            <w:pPr>
              <w:jc w:val="center"/>
              <w:rPr>
                <w:rFonts w:hint="eastAsia" w:ascii="宋体" w:hAnsi="宋体" w:eastAsia="宋体" w:cs="宋体"/>
                <w:i w:val="0"/>
                <w:iCs w:val="0"/>
                <w:color w:val="auto"/>
                <w:sz w:val="20"/>
                <w:szCs w:val="20"/>
                <w:highlight w:val="none"/>
                <w:u w:val="none"/>
              </w:rPr>
            </w:pPr>
          </w:p>
        </w:tc>
        <w:tc>
          <w:tcPr>
            <w:tcW w:w="61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1542A0F">
            <w:pPr>
              <w:jc w:val="center"/>
              <w:rPr>
                <w:rFonts w:hint="eastAsia" w:ascii="宋体" w:hAnsi="宋体" w:eastAsia="宋体" w:cs="宋体"/>
                <w:i w:val="0"/>
                <w:iCs w:val="0"/>
                <w:color w:val="auto"/>
                <w:sz w:val="20"/>
                <w:szCs w:val="20"/>
                <w:highlight w:val="none"/>
                <w:u w:val="none"/>
              </w:rPr>
            </w:pPr>
          </w:p>
        </w:tc>
        <w:tc>
          <w:tcPr>
            <w:tcW w:w="111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D4C6E29">
            <w:pPr>
              <w:jc w:val="center"/>
              <w:rPr>
                <w:rFonts w:hint="eastAsia" w:ascii="宋体" w:hAnsi="宋体" w:eastAsia="宋体" w:cs="宋体"/>
                <w:i w:val="0"/>
                <w:iCs w:val="0"/>
                <w:color w:val="auto"/>
                <w:sz w:val="20"/>
                <w:szCs w:val="20"/>
                <w:highlight w:val="none"/>
                <w:u w:val="none"/>
              </w:rPr>
            </w:pPr>
          </w:p>
        </w:tc>
        <w:tc>
          <w:tcPr>
            <w:tcW w:w="1230"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4184B80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综合单价</w:t>
            </w:r>
          </w:p>
        </w:tc>
        <w:tc>
          <w:tcPr>
            <w:tcW w:w="840"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5783A06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合价</w:t>
            </w:r>
          </w:p>
        </w:tc>
        <w:tc>
          <w:tcPr>
            <w:tcW w:w="265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3633845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其中</w:t>
            </w:r>
          </w:p>
        </w:tc>
        <w:tc>
          <w:tcPr>
            <w:tcW w:w="750" w:type="dxa"/>
            <w:vMerge w:val="continue"/>
            <w:tcBorders>
              <w:top w:val="single" w:color="000000" w:sz="8" w:space="0"/>
              <w:left w:val="single" w:color="000000" w:sz="4" w:space="0"/>
              <w:bottom w:val="single" w:color="000000" w:sz="4" w:space="0"/>
              <w:right w:val="single" w:color="000000" w:sz="8" w:space="0"/>
            </w:tcBorders>
            <w:shd w:val="clear" w:color="FFFFFF" w:fill="FFFFFF"/>
            <w:vAlign w:val="center"/>
          </w:tcPr>
          <w:p w14:paraId="6CD2F461">
            <w:pPr>
              <w:jc w:val="center"/>
              <w:rPr>
                <w:rFonts w:hint="eastAsia" w:ascii="宋体" w:hAnsi="宋体" w:eastAsia="宋体" w:cs="宋体"/>
                <w:i w:val="0"/>
                <w:iCs w:val="0"/>
                <w:color w:val="auto"/>
                <w:sz w:val="20"/>
                <w:szCs w:val="20"/>
                <w:highlight w:val="none"/>
                <w:u w:val="none"/>
              </w:rPr>
            </w:pPr>
          </w:p>
        </w:tc>
      </w:tr>
      <w:tr w14:paraId="4F5D9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555"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0B6550FA">
            <w:pPr>
              <w:jc w:val="center"/>
              <w:rPr>
                <w:rFonts w:hint="eastAsia" w:ascii="宋体" w:hAnsi="宋体" w:eastAsia="宋体" w:cs="宋体"/>
                <w:i w:val="0"/>
                <w:iCs w:val="0"/>
                <w:color w:val="auto"/>
                <w:sz w:val="20"/>
                <w:szCs w:val="20"/>
                <w:highlight w:val="none"/>
                <w:u w:val="none"/>
              </w:rPr>
            </w:pPr>
          </w:p>
        </w:tc>
        <w:tc>
          <w:tcPr>
            <w:tcW w:w="141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606A4B5">
            <w:pPr>
              <w:jc w:val="center"/>
              <w:rPr>
                <w:rFonts w:hint="eastAsia" w:ascii="宋体" w:hAnsi="宋体" w:eastAsia="宋体" w:cs="宋体"/>
                <w:i w:val="0"/>
                <w:iCs w:val="0"/>
                <w:color w:val="auto"/>
                <w:sz w:val="20"/>
                <w:szCs w:val="20"/>
                <w:highlight w:val="none"/>
                <w:u w:val="none"/>
              </w:rPr>
            </w:pPr>
          </w:p>
        </w:tc>
        <w:tc>
          <w:tcPr>
            <w:tcW w:w="150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A91FEBE">
            <w:pPr>
              <w:jc w:val="center"/>
              <w:rPr>
                <w:rFonts w:hint="eastAsia" w:ascii="宋体" w:hAnsi="宋体" w:eastAsia="宋体" w:cs="宋体"/>
                <w:i w:val="0"/>
                <w:iCs w:val="0"/>
                <w:color w:val="auto"/>
                <w:sz w:val="20"/>
                <w:szCs w:val="20"/>
                <w:highlight w:val="none"/>
                <w:u w:val="none"/>
              </w:rPr>
            </w:pPr>
          </w:p>
        </w:tc>
        <w:tc>
          <w:tcPr>
            <w:tcW w:w="360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68292AB">
            <w:pPr>
              <w:jc w:val="center"/>
              <w:rPr>
                <w:rFonts w:hint="eastAsia" w:ascii="宋体" w:hAnsi="宋体" w:eastAsia="宋体" w:cs="宋体"/>
                <w:i w:val="0"/>
                <w:iCs w:val="0"/>
                <w:color w:val="auto"/>
                <w:sz w:val="20"/>
                <w:szCs w:val="20"/>
                <w:highlight w:val="none"/>
                <w:u w:val="none"/>
              </w:rPr>
            </w:pPr>
          </w:p>
        </w:tc>
        <w:tc>
          <w:tcPr>
            <w:tcW w:w="61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8BBA8AC">
            <w:pPr>
              <w:jc w:val="center"/>
              <w:rPr>
                <w:rFonts w:hint="eastAsia" w:ascii="宋体" w:hAnsi="宋体" w:eastAsia="宋体" w:cs="宋体"/>
                <w:i w:val="0"/>
                <w:iCs w:val="0"/>
                <w:color w:val="auto"/>
                <w:sz w:val="20"/>
                <w:szCs w:val="20"/>
                <w:highlight w:val="none"/>
                <w:u w:val="none"/>
              </w:rPr>
            </w:pPr>
          </w:p>
        </w:tc>
        <w:tc>
          <w:tcPr>
            <w:tcW w:w="111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600F7B4">
            <w:pPr>
              <w:jc w:val="center"/>
              <w:rPr>
                <w:rFonts w:hint="eastAsia" w:ascii="宋体" w:hAnsi="宋体" w:eastAsia="宋体" w:cs="宋体"/>
                <w:i w:val="0"/>
                <w:iCs w:val="0"/>
                <w:color w:val="auto"/>
                <w:sz w:val="20"/>
                <w:szCs w:val="20"/>
                <w:highlight w:val="none"/>
                <w:u w:val="none"/>
              </w:rPr>
            </w:pPr>
          </w:p>
        </w:tc>
        <w:tc>
          <w:tcPr>
            <w:tcW w:w="1230"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7CD2E521">
            <w:pPr>
              <w:jc w:val="center"/>
              <w:rPr>
                <w:rFonts w:hint="eastAsia" w:ascii="宋体" w:hAnsi="宋体" w:eastAsia="宋体" w:cs="宋体"/>
                <w:i w:val="0"/>
                <w:iCs w:val="0"/>
                <w:color w:val="auto"/>
                <w:sz w:val="20"/>
                <w:szCs w:val="20"/>
                <w:highlight w:val="none"/>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67C6618E">
            <w:pPr>
              <w:jc w:val="center"/>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F0E01E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人工费</w:t>
            </w: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7766F4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机械费</w:t>
            </w: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ED353F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暂估价</w:t>
            </w:r>
          </w:p>
        </w:tc>
        <w:tc>
          <w:tcPr>
            <w:tcW w:w="750" w:type="dxa"/>
            <w:vMerge w:val="continue"/>
            <w:tcBorders>
              <w:top w:val="single" w:color="000000" w:sz="8" w:space="0"/>
              <w:left w:val="single" w:color="000000" w:sz="4" w:space="0"/>
              <w:bottom w:val="single" w:color="000000" w:sz="4" w:space="0"/>
              <w:right w:val="single" w:color="000000" w:sz="8" w:space="0"/>
            </w:tcBorders>
            <w:shd w:val="clear" w:color="FFFFFF" w:fill="FFFFFF"/>
            <w:vAlign w:val="center"/>
          </w:tcPr>
          <w:p w14:paraId="172CD749">
            <w:pPr>
              <w:jc w:val="center"/>
              <w:rPr>
                <w:rFonts w:hint="eastAsia" w:ascii="宋体" w:hAnsi="宋体" w:eastAsia="宋体" w:cs="宋体"/>
                <w:i w:val="0"/>
                <w:iCs w:val="0"/>
                <w:color w:val="auto"/>
                <w:sz w:val="20"/>
                <w:szCs w:val="20"/>
                <w:highlight w:val="none"/>
                <w:u w:val="none"/>
              </w:rPr>
            </w:pPr>
          </w:p>
        </w:tc>
      </w:tr>
      <w:tr w14:paraId="50D7D2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4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9CDF1B0">
            <w:pPr>
              <w:jc w:val="right"/>
              <w:rPr>
                <w:rFonts w:hint="eastAsia" w:ascii="宋体" w:hAnsi="宋体" w:eastAsia="宋体" w:cs="宋体"/>
                <w:i w:val="0"/>
                <w:iCs w:val="0"/>
                <w:color w:val="auto"/>
                <w:sz w:val="20"/>
                <w:szCs w:val="20"/>
                <w:highlight w:val="none"/>
                <w:u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409D769">
            <w:pPr>
              <w:jc w:val="center"/>
              <w:rPr>
                <w:rFonts w:hint="eastAsia" w:ascii="宋体" w:hAnsi="宋体" w:eastAsia="宋体" w:cs="宋体"/>
                <w:i w:val="0"/>
                <w:iCs w:val="0"/>
                <w:color w:val="auto"/>
                <w:sz w:val="20"/>
                <w:szCs w:val="20"/>
                <w:highlight w:val="none"/>
                <w:u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C0D214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电气</w:t>
            </w:r>
          </w:p>
        </w:tc>
        <w:tc>
          <w:tcPr>
            <w:tcW w:w="36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6723BBA">
            <w:pPr>
              <w:jc w:val="left"/>
              <w:rPr>
                <w:rFonts w:hint="eastAsia" w:ascii="宋体" w:hAnsi="宋体" w:eastAsia="宋体" w:cs="宋体"/>
                <w:i w:val="0"/>
                <w:iCs w:val="0"/>
                <w:color w:val="auto"/>
                <w:sz w:val="20"/>
                <w:szCs w:val="20"/>
                <w:highlight w:val="none"/>
                <w:u w:val="none"/>
              </w:rPr>
            </w:pPr>
          </w:p>
        </w:tc>
        <w:tc>
          <w:tcPr>
            <w:tcW w:w="61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CF52414">
            <w:pPr>
              <w:jc w:val="left"/>
              <w:rPr>
                <w:rFonts w:hint="eastAsia" w:ascii="宋体" w:hAnsi="宋体" w:eastAsia="宋体" w:cs="宋体"/>
                <w:i w:val="0"/>
                <w:iCs w:val="0"/>
                <w:color w:val="auto"/>
                <w:sz w:val="20"/>
                <w:szCs w:val="20"/>
                <w:highlight w:val="none"/>
                <w:u w:val="none"/>
              </w:rPr>
            </w:pPr>
          </w:p>
        </w:tc>
        <w:tc>
          <w:tcPr>
            <w:tcW w:w="11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6E959F">
            <w:pPr>
              <w:jc w:val="left"/>
              <w:rPr>
                <w:rFonts w:hint="eastAsia" w:ascii="宋体" w:hAnsi="宋体" w:eastAsia="宋体" w:cs="宋体"/>
                <w:i w:val="0"/>
                <w:iCs w:val="0"/>
                <w:color w:val="auto"/>
                <w:sz w:val="20"/>
                <w:szCs w:val="20"/>
                <w:highlight w:val="none"/>
                <w:u w:val="none"/>
              </w:rPr>
            </w:pPr>
          </w:p>
        </w:tc>
        <w:tc>
          <w:tcPr>
            <w:tcW w:w="123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12DC747">
            <w:pPr>
              <w:jc w:val="lef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5CC1F0">
            <w:pPr>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A5B469D">
            <w:pPr>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E4418C3">
            <w:pPr>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98F3649">
            <w:pPr>
              <w:jc w:val="left"/>
              <w:rPr>
                <w:rFonts w:hint="eastAsia" w:ascii="宋体" w:hAnsi="宋体" w:eastAsia="宋体" w:cs="宋体"/>
                <w:i w:val="0"/>
                <w:iCs w:val="0"/>
                <w:color w:val="auto"/>
                <w:sz w:val="20"/>
                <w:szCs w:val="20"/>
                <w:highlight w:val="none"/>
                <w:u w:val="none"/>
              </w:rPr>
            </w:pP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EF76CA7">
            <w:pPr>
              <w:jc w:val="left"/>
              <w:rPr>
                <w:rFonts w:hint="eastAsia" w:ascii="宋体" w:hAnsi="宋体" w:eastAsia="宋体" w:cs="宋体"/>
                <w:i w:val="0"/>
                <w:iCs w:val="0"/>
                <w:color w:val="auto"/>
                <w:sz w:val="20"/>
                <w:szCs w:val="20"/>
                <w:highlight w:val="none"/>
                <w:u w:val="none"/>
              </w:rPr>
            </w:pPr>
          </w:p>
        </w:tc>
      </w:tr>
      <w:tr w14:paraId="4830E5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BD4F7E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E2936C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030404017001</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55CE77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配电箱</w:t>
            </w:r>
          </w:p>
        </w:tc>
        <w:tc>
          <w:tcPr>
            <w:tcW w:w="36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D7575C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1.名称:成套配电箱</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2.规格:1ATJK</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3.基础形式、材质、规格:包含但不限于电源接线、焊压铜接线端子、接地等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4.安装方式:壁挂式</w:t>
            </w:r>
          </w:p>
        </w:tc>
        <w:tc>
          <w:tcPr>
            <w:tcW w:w="61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65112A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1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26B20F0">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23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722C3E">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47DA12D">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DCF37FC">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2D818AD">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4553695">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5E4DDD4">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6A35CF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F57EAB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7CE5DB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030404017002</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0C0301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配电箱</w:t>
            </w:r>
          </w:p>
        </w:tc>
        <w:tc>
          <w:tcPr>
            <w:tcW w:w="36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9E6708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1.名称:成套配电箱</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2.规格:1ATFD</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3.基础形式、材质、规格:包含但不限于电源接线、焊压铜接线端子、接地等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4.安装方式:壁挂式</w:t>
            </w:r>
          </w:p>
        </w:tc>
        <w:tc>
          <w:tcPr>
            <w:tcW w:w="61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869322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1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920B6A">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23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1A0CCF2">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5820401">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1CC1E0E">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2DA17B7">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28FA6F7">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43409DD8">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2EE13B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113F44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423173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030404017003</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90D94D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配电箱</w:t>
            </w:r>
          </w:p>
        </w:tc>
        <w:tc>
          <w:tcPr>
            <w:tcW w:w="36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B32F77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1.名称:A型应急照明集中电源</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2.安装方式:明装</w:t>
            </w:r>
          </w:p>
        </w:tc>
        <w:tc>
          <w:tcPr>
            <w:tcW w:w="61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4E6CF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1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FEE620A">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23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898C02B">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BC45E85">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15AEEA5">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855F097">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B51B7B">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261F5B8">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30F239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7F0438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E0EF3A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030108003001</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7DA7F5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轴流通风机</w:t>
            </w:r>
          </w:p>
        </w:tc>
        <w:tc>
          <w:tcPr>
            <w:tcW w:w="36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E7B266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1.名称:轴流风机（防爆型）</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2.规格:风量:400m³/h,风压:40Pa,功率:0.025KW</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3.安装形式:吊装</w:t>
            </w:r>
          </w:p>
        </w:tc>
        <w:tc>
          <w:tcPr>
            <w:tcW w:w="61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5C8A34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1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F35C4CE">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23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CF027EE">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55C15CA">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ABD0D2E">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D655657">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4C37E63">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90092CF">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7097F0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3FC6B1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20E2A7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030406006001</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04DFA3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低压交流异步电动机</w:t>
            </w:r>
          </w:p>
        </w:tc>
        <w:tc>
          <w:tcPr>
            <w:tcW w:w="36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F240F4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1.名称:小型交流异步电动机检查接线 功率(kW)≤3</w:t>
            </w:r>
          </w:p>
        </w:tc>
        <w:tc>
          <w:tcPr>
            <w:tcW w:w="61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F11A93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1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4A2CDED">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23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CD6332D">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3F08ACA">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8926846">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B4763F4">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A4BDBB3">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F482460">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589BD0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820DD9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1B99F0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030412001001</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4EA9FC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普通灯具</w:t>
            </w:r>
          </w:p>
        </w:tc>
        <w:tc>
          <w:tcPr>
            <w:tcW w:w="36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A3B26A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1.名称:吸顶灯（含光源）</w:t>
            </w:r>
          </w:p>
        </w:tc>
        <w:tc>
          <w:tcPr>
            <w:tcW w:w="61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61839D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1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D2E80B4">
            <w:pPr>
              <w:keepNext w:val="0"/>
              <w:keepLines w:val="0"/>
              <w:widowControl/>
              <w:suppressLineNumbers w:val="0"/>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123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89A0A76">
            <w:pPr>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ADCB886">
            <w:pPr>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D44F0BE">
            <w:pPr>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85DA76A">
            <w:pPr>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7A0F94A">
            <w:pPr>
              <w:jc w:val="right"/>
              <w:rPr>
                <w:rFonts w:hint="eastAsia" w:ascii="宋体" w:hAnsi="宋体" w:eastAsia="宋体" w:cs="宋体"/>
                <w:i w:val="0"/>
                <w:iCs w:val="0"/>
                <w:color w:val="auto"/>
                <w:sz w:val="20"/>
                <w:szCs w:val="20"/>
                <w:highlight w:val="none"/>
                <w:u w:val="none"/>
              </w:rPr>
            </w:pP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765F5784">
            <w:pPr>
              <w:jc w:val="left"/>
              <w:rPr>
                <w:rFonts w:hint="eastAsia" w:ascii="宋体" w:hAnsi="宋体" w:eastAsia="宋体" w:cs="宋体"/>
                <w:i w:val="0"/>
                <w:iCs w:val="0"/>
                <w:color w:val="auto"/>
                <w:sz w:val="20"/>
                <w:szCs w:val="20"/>
                <w:highlight w:val="none"/>
                <w:u w:val="none"/>
              </w:rPr>
            </w:pPr>
          </w:p>
        </w:tc>
      </w:tr>
      <w:tr w14:paraId="0225CE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10020" w:type="dxa"/>
            <w:gridSpan w:val="7"/>
            <w:tcBorders>
              <w:top w:val="single" w:color="000000" w:sz="4" w:space="0"/>
              <w:left w:val="single" w:color="000000" w:sz="8" w:space="0"/>
              <w:bottom w:val="single" w:color="000000" w:sz="8" w:space="0"/>
              <w:right w:val="single" w:color="000000" w:sz="4" w:space="0"/>
            </w:tcBorders>
            <w:shd w:val="clear" w:color="FFFFFF" w:fill="FFFFFF"/>
            <w:vAlign w:val="center"/>
          </w:tcPr>
          <w:p w14:paraId="572FCD9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本页小计</w:t>
            </w:r>
          </w:p>
        </w:tc>
        <w:tc>
          <w:tcPr>
            <w:tcW w:w="840"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64692B72">
            <w:pPr>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00CA9E14">
            <w:pPr>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54931FF6">
            <w:pPr>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39A1E488">
            <w:pPr>
              <w:jc w:val="left"/>
              <w:rPr>
                <w:rFonts w:hint="eastAsia" w:ascii="宋体" w:hAnsi="宋体" w:eastAsia="宋体" w:cs="宋体"/>
                <w:i w:val="0"/>
                <w:iCs w:val="0"/>
                <w:color w:val="auto"/>
                <w:sz w:val="20"/>
                <w:szCs w:val="20"/>
                <w:highlight w:val="none"/>
                <w:u w:val="none"/>
              </w:rPr>
            </w:pPr>
          </w:p>
        </w:tc>
        <w:tc>
          <w:tcPr>
            <w:tcW w:w="750"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143D015D">
            <w:pPr>
              <w:jc w:val="left"/>
              <w:rPr>
                <w:rFonts w:hint="eastAsia" w:ascii="宋体" w:hAnsi="宋体" w:eastAsia="宋体" w:cs="宋体"/>
                <w:i w:val="0"/>
                <w:iCs w:val="0"/>
                <w:color w:val="auto"/>
                <w:sz w:val="20"/>
                <w:szCs w:val="20"/>
                <w:highlight w:val="none"/>
                <w:u w:val="none"/>
              </w:rPr>
            </w:pPr>
          </w:p>
        </w:tc>
      </w:tr>
    </w:tbl>
    <w:p w14:paraId="2111A32B">
      <w:pPr>
        <w:rPr>
          <w:rFonts w:ascii="等线" w:hAnsi="等线" w:eastAsia="宋体" w:cs="Times New Roman"/>
          <w:color w:val="auto"/>
          <w:szCs w:val="24"/>
          <w:highlight w:val="none"/>
        </w:rPr>
      </w:pPr>
      <w:r>
        <w:rPr>
          <w:rFonts w:ascii="等线" w:hAnsi="等线" w:eastAsia="宋体" w:cs="Times New Roman"/>
          <w:color w:val="auto"/>
          <w:szCs w:val="24"/>
          <w:highlight w:val="none"/>
        </w:rPr>
        <w:br w:type="page"/>
      </w:r>
    </w:p>
    <w:tbl>
      <w:tblPr>
        <w:tblStyle w:val="23"/>
        <w:tblW w:w="1426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54"/>
        <w:gridCol w:w="1416"/>
        <w:gridCol w:w="1499"/>
        <w:gridCol w:w="3598"/>
        <w:gridCol w:w="615"/>
        <w:gridCol w:w="1109"/>
        <w:gridCol w:w="1229"/>
        <w:gridCol w:w="840"/>
        <w:gridCol w:w="885"/>
        <w:gridCol w:w="885"/>
        <w:gridCol w:w="885"/>
        <w:gridCol w:w="750"/>
      </w:tblGrid>
      <w:tr w14:paraId="2D03B3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 w:hRule="atLeast"/>
        </w:trPr>
        <w:tc>
          <w:tcPr>
            <w:tcW w:w="10860" w:type="dxa"/>
            <w:gridSpan w:val="8"/>
            <w:tcBorders>
              <w:top w:val="nil"/>
              <w:left w:val="nil"/>
              <w:bottom w:val="nil"/>
              <w:right w:val="nil"/>
            </w:tcBorders>
            <w:shd w:val="clear" w:color="FFFFFF" w:fill="FFFFFF"/>
            <w:vAlign w:val="center"/>
          </w:tcPr>
          <w:p w14:paraId="0DE1ECD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【表10.2.2-16】</w:t>
            </w:r>
          </w:p>
        </w:tc>
        <w:tc>
          <w:tcPr>
            <w:tcW w:w="3405" w:type="dxa"/>
            <w:gridSpan w:val="4"/>
            <w:tcBorders>
              <w:top w:val="nil"/>
              <w:left w:val="nil"/>
              <w:bottom w:val="nil"/>
              <w:right w:val="nil"/>
            </w:tcBorders>
            <w:shd w:val="clear" w:color="FFFFFF" w:fill="FFFFFF"/>
            <w:vAlign w:val="center"/>
          </w:tcPr>
          <w:p w14:paraId="7AD5DEC9">
            <w:pPr>
              <w:jc w:val="right"/>
              <w:rPr>
                <w:rFonts w:hint="eastAsia" w:ascii="宋体" w:hAnsi="宋体" w:eastAsia="宋体" w:cs="宋体"/>
                <w:i w:val="0"/>
                <w:iCs w:val="0"/>
                <w:color w:val="auto"/>
                <w:sz w:val="18"/>
                <w:szCs w:val="18"/>
                <w:highlight w:val="none"/>
                <w:u w:val="none"/>
              </w:rPr>
            </w:pPr>
          </w:p>
        </w:tc>
      </w:tr>
      <w:tr w14:paraId="041455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14265" w:type="dxa"/>
            <w:gridSpan w:val="12"/>
            <w:tcBorders>
              <w:top w:val="nil"/>
              <w:left w:val="nil"/>
              <w:bottom w:val="nil"/>
              <w:right w:val="nil"/>
            </w:tcBorders>
            <w:shd w:val="clear" w:color="FFFFFF" w:fill="FFFFFF"/>
            <w:vAlign w:val="center"/>
          </w:tcPr>
          <w:p w14:paraId="30FB60A8">
            <w:pPr>
              <w:keepNext w:val="0"/>
              <w:keepLines w:val="0"/>
              <w:widowControl/>
              <w:suppressLineNumbers w:val="0"/>
              <w:jc w:val="center"/>
              <w:textAlignment w:val="center"/>
              <w:rPr>
                <w:rFonts w:hint="eastAsia" w:ascii="宋体" w:hAnsi="宋体" w:eastAsia="宋体" w:cs="宋体"/>
                <w:b/>
                <w:bCs/>
                <w:i w:val="0"/>
                <w:iCs w:val="0"/>
                <w:color w:val="auto"/>
                <w:sz w:val="40"/>
                <w:szCs w:val="40"/>
                <w:highlight w:val="none"/>
                <w:u w:val="none"/>
              </w:rPr>
            </w:pPr>
            <w:r>
              <w:rPr>
                <w:rFonts w:hint="eastAsia" w:ascii="宋体" w:hAnsi="宋体" w:eastAsia="宋体" w:cs="宋体"/>
                <w:b/>
                <w:bCs/>
                <w:i w:val="0"/>
                <w:iCs w:val="0"/>
                <w:color w:val="auto"/>
                <w:kern w:val="0"/>
                <w:sz w:val="40"/>
                <w:szCs w:val="40"/>
                <w:highlight w:val="none"/>
                <w:u w:val="none"/>
                <w:lang w:val="en-US" w:eastAsia="zh-CN" w:bidi="ar"/>
              </w:rPr>
              <w:t>分部分项工程清单与计价表</w:t>
            </w:r>
          </w:p>
        </w:tc>
      </w:tr>
      <w:tr w14:paraId="0858D1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3465" w:type="dxa"/>
            <w:gridSpan w:val="3"/>
            <w:tcBorders>
              <w:top w:val="nil"/>
              <w:left w:val="nil"/>
              <w:bottom w:val="nil"/>
              <w:right w:val="nil"/>
            </w:tcBorders>
            <w:shd w:val="clear" w:color="FFFFFF" w:fill="FFFFFF"/>
            <w:vAlign w:val="bottom"/>
          </w:tcPr>
          <w:p w14:paraId="0BEF4F7B">
            <w:pPr>
              <w:keepNext w:val="0"/>
              <w:keepLines w:val="0"/>
              <w:widowControl/>
              <w:suppressLineNumbers w:val="0"/>
              <w:jc w:val="lef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工程名称：单项工程-配套用房安装工程</w:t>
            </w:r>
          </w:p>
        </w:tc>
        <w:tc>
          <w:tcPr>
            <w:tcW w:w="7395" w:type="dxa"/>
            <w:gridSpan w:val="5"/>
            <w:tcBorders>
              <w:top w:val="nil"/>
              <w:left w:val="nil"/>
              <w:bottom w:val="nil"/>
              <w:right w:val="nil"/>
            </w:tcBorders>
            <w:shd w:val="clear" w:color="FFFFFF" w:fill="FFFFFF"/>
            <w:vAlign w:val="bottom"/>
          </w:tcPr>
          <w:p w14:paraId="4A2A0556">
            <w:pPr>
              <w:keepNext w:val="0"/>
              <w:keepLines w:val="0"/>
              <w:widowControl/>
              <w:suppressLineNumbers w:val="0"/>
              <w:jc w:val="lef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标段：</w:t>
            </w:r>
          </w:p>
        </w:tc>
        <w:tc>
          <w:tcPr>
            <w:tcW w:w="3405" w:type="dxa"/>
            <w:gridSpan w:val="4"/>
            <w:tcBorders>
              <w:top w:val="nil"/>
              <w:left w:val="nil"/>
              <w:bottom w:val="nil"/>
              <w:right w:val="nil"/>
            </w:tcBorders>
            <w:shd w:val="clear" w:color="FFFFFF" w:fill="FFFFFF"/>
            <w:vAlign w:val="bottom"/>
          </w:tcPr>
          <w:p w14:paraId="10AC2AD7">
            <w:pPr>
              <w:keepNext w:val="0"/>
              <w:keepLines w:val="0"/>
              <w:widowControl/>
              <w:suppressLineNumbers w:val="0"/>
              <w:jc w:val="righ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第 2 页  共 7 页</w:t>
            </w:r>
          </w:p>
        </w:tc>
      </w:tr>
      <w:tr w14:paraId="74CE66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555"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461F7B5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序号</w:t>
            </w:r>
          </w:p>
        </w:tc>
        <w:tc>
          <w:tcPr>
            <w:tcW w:w="141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42D91BA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项目编码</w:t>
            </w:r>
          </w:p>
        </w:tc>
        <w:tc>
          <w:tcPr>
            <w:tcW w:w="150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8B19A3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项目名称</w:t>
            </w:r>
          </w:p>
        </w:tc>
        <w:tc>
          <w:tcPr>
            <w:tcW w:w="360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39F5271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项目特征</w:t>
            </w:r>
          </w:p>
        </w:tc>
        <w:tc>
          <w:tcPr>
            <w:tcW w:w="615"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69B4C2D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计量单位</w:t>
            </w:r>
          </w:p>
        </w:tc>
        <w:tc>
          <w:tcPr>
            <w:tcW w:w="111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4911404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工程量</w:t>
            </w:r>
          </w:p>
        </w:tc>
        <w:tc>
          <w:tcPr>
            <w:tcW w:w="4725" w:type="dxa"/>
            <w:gridSpan w:val="5"/>
            <w:tcBorders>
              <w:top w:val="single" w:color="000000" w:sz="8" w:space="0"/>
              <w:left w:val="single" w:color="000000" w:sz="4" w:space="0"/>
              <w:bottom w:val="single" w:color="000000" w:sz="4" w:space="0"/>
              <w:right w:val="single" w:color="000000" w:sz="4" w:space="0"/>
            </w:tcBorders>
            <w:shd w:val="clear" w:color="FFFFFF" w:fill="FFFFFF"/>
            <w:vAlign w:val="center"/>
          </w:tcPr>
          <w:p w14:paraId="3F3AADC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金额（元）</w:t>
            </w:r>
          </w:p>
        </w:tc>
        <w:tc>
          <w:tcPr>
            <w:tcW w:w="750" w:type="dxa"/>
            <w:vMerge w:val="restart"/>
            <w:tcBorders>
              <w:top w:val="single" w:color="000000" w:sz="8" w:space="0"/>
              <w:left w:val="single" w:color="000000" w:sz="4" w:space="0"/>
              <w:bottom w:val="single" w:color="000000" w:sz="4" w:space="0"/>
              <w:right w:val="single" w:color="000000" w:sz="8" w:space="0"/>
            </w:tcBorders>
            <w:shd w:val="clear" w:color="FFFFFF" w:fill="FFFFFF"/>
            <w:vAlign w:val="center"/>
          </w:tcPr>
          <w:p w14:paraId="6934D6D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备注</w:t>
            </w:r>
          </w:p>
        </w:tc>
      </w:tr>
      <w:tr w14:paraId="73CE50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555"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0ACFF882">
            <w:pPr>
              <w:jc w:val="center"/>
              <w:rPr>
                <w:rFonts w:hint="eastAsia" w:ascii="宋体" w:hAnsi="宋体" w:eastAsia="宋体" w:cs="宋体"/>
                <w:i w:val="0"/>
                <w:iCs w:val="0"/>
                <w:color w:val="auto"/>
                <w:sz w:val="20"/>
                <w:szCs w:val="20"/>
                <w:highlight w:val="none"/>
                <w:u w:val="none"/>
              </w:rPr>
            </w:pPr>
          </w:p>
        </w:tc>
        <w:tc>
          <w:tcPr>
            <w:tcW w:w="141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5F6F225">
            <w:pPr>
              <w:jc w:val="center"/>
              <w:rPr>
                <w:rFonts w:hint="eastAsia" w:ascii="宋体" w:hAnsi="宋体" w:eastAsia="宋体" w:cs="宋体"/>
                <w:i w:val="0"/>
                <w:iCs w:val="0"/>
                <w:color w:val="auto"/>
                <w:sz w:val="20"/>
                <w:szCs w:val="20"/>
                <w:highlight w:val="none"/>
                <w:u w:val="none"/>
              </w:rPr>
            </w:pPr>
          </w:p>
        </w:tc>
        <w:tc>
          <w:tcPr>
            <w:tcW w:w="150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976DC72">
            <w:pPr>
              <w:jc w:val="center"/>
              <w:rPr>
                <w:rFonts w:hint="eastAsia" w:ascii="宋体" w:hAnsi="宋体" w:eastAsia="宋体" w:cs="宋体"/>
                <w:i w:val="0"/>
                <w:iCs w:val="0"/>
                <w:color w:val="auto"/>
                <w:sz w:val="20"/>
                <w:szCs w:val="20"/>
                <w:highlight w:val="none"/>
                <w:u w:val="none"/>
              </w:rPr>
            </w:pPr>
          </w:p>
        </w:tc>
        <w:tc>
          <w:tcPr>
            <w:tcW w:w="360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DAED46B">
            <w:pPr>
              <w:jc w:val="center"/>
              <w:rPr>
                <w:rFonts w:hint="eastAsia" w:ascii="宋体" w:hAnsi="宋体" w:eastAsia="宋体" w:cs="宋体"/>
                <w:i w:val="0"/>
                <w:iCs w:val="0"/>
                <w:color w:val="auto"/>
                <w:sz w:val="20"/>
                <w:szCs w:val="20"/>
                <w:highlight w:val="none"/>
                <w:u w:val="none"/>
              </w:rPr>
            </w:pPr>
          </w:p>
        </w:tc>
        <w:tc>
          <w:tcPr>
            <w:tcW w:w="61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A6C1181">
            <w:pPr>
              <w:jc w:val="center"/>
              <w:rPr>
                <w:rFonts w:hint="eastAsia" w:ascii="宋体" w:hAnsi="宋体" w:eastAsia="宋体" w:cs="宋体"/>
                <w:i w:val="0"/>
                <w:iCs w:val="0"/>
                <w:color w:val="auto"/>
                <w:sz w:val="20"/>
                <w:szCs w:val="20"/>
                <w:highlight w:val="none"/>
                <w:u w:val="none"/>
              </w:rPr>
            </w:pPr>
          </w:p>
        </w:tc>
        <w:tc>
          <w:tcPr>
            <w:tcW w:w="111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5F71EE6">
            <w:pPr>
              <w:jc w:val="center"/>
              <w:rPr>
                <w:rFonts w:hint="eastAsia" w:ascii="宋体" w:hAnsi="宋体" w:eastAsia="宋体" w:cs="宋体"/>
                <w:i w:val="0"/>
                <w:iCs w:val="0"/>
                <w:color w:val="auto"/>
                <w:sz w:val="20"/>
                <w:szCs w:val="20"/>
                <w:highlight w:val="none"/>
                <w:u w:val="none"/>
              </w:rPr>
            </w:pPr>
          </w:p>
        </w:tc>
        <w:tc>
          <w:tcPr>
            <w:tcW w:w="1230"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4D8D534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综合单价</w:t>
            </w:r>
          </w:p>
        </w:tc>
        <w:tc>
          <w:tcPr>
            <w:tcW w:w="840"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468EF84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合价</w:t>
            </w:r>
          </w:p>
        </w:tc>
        <w:tc>
          <w:tcPr>
            <w:tcW w:w="265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1FA6DA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其中</w:t>
            </w:r>
          </w:p>
        </w:tc>
        <w:tc>
          <w:tcPr>
            <w:tcW w:w="750" w:type="dxa"/>
            <w:vMerge w:val="continue"/>
            <w:tcBorders>
              <w:top w:val="single" w:color="000000" w:sz="8" w:space="0"/>
              <w:left w:val="single" w:color="000000" w:sz="4" w:space="0"/>
              <w:bottom w:val="single" w:color="000000" w:sz="4" w:space="0"/>
              <w:right w:val="single" w:color="000000" w:sz="8" w:space="0"/>
            </w:tcBorders>
            <w:shd w:val="clear" w:color="FFFFFF" w:fill="FFFFFF"/>
            <w:vAlign w:val="center"/>
          </w:tcPr>
          <w:p w14:paraId="5D77DF34">
            <w:pPr>
              <w:jc w:val="center"/>
              <w:rPr>
                <w:rFonts w:hint="eastAsia" w:ascii="宋体" w:hAnsi="宋体" w:eastAsia="宋体" w:cs="宋体"/>
                <w:i w:val="0"/>
                <w:iCs w:val="0"/>
                <w:color w:val="auto"/>
                <w:sz w:val="20"/>
                <w:szCs w:val="20"/>
                <w:highlight w:val="none"/>
                <w:u w:val="none"/>
              </w:rPr>
            </w:pPr>
          </w:p>
        </w:tc>
      </w:tr>
      <w:tr w14:paraId="73E31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555"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4D0C5BE3">
            <w:pPr>
              <w:jc w:val="center"/>
              <w:rPr>
                <w:rFonts w:hint="eastAsia" w:ascii="宋体" w:hAnsi="宋体" w:eastAsia="宋体" w:cs="宋体"/>
                <w:i w:val="0"/>
                <w:iCs w:val="0"/>
                <w:color w:val="auto"/>
                <w:sz w:val="20"/>
                <w:szCs w:val="20"/>
                <w:highlight w:val="none"/>
                <w:u w:val="none"/>
              </w:rPr>
            </w:pPr>
          </w:p>
        </w:tc>
        <w:tc>
          <w:tcPr>
            <w:tcW w:w="141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39DBBCF">
            <w:pPr>
              <w:jc w:val="center"/>
              <w:rPr>
                <w:rFonts w:hint="eastAsia" w:ascii="宋体" w:hAnsi="宋体" w:eastAsia="宋体" w:cs="宋体"/>
                <w:i w:val="0"/>
                <w:iCs w:val="0"/>
                <w:color w:val="auto"/>
                <w:sz w:val="20"/>
                <w:szCs w:val="20"/>
                <w:highlight w:val="none"/>
                <w:u w:val="none"/>
              </w:rPr>
            </w:pPr>
          </w:p>
        </w:tc>
        <w:tc>
          <w:tcPr>
            <w:tcW w:w="150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60A859C">
            <w:pPr>
              <w:jc w:val="center"/>
              <w:rPr>
                <w:rFonts w:hint="eastAsia" w:ascii="宋体" w:hAnsi="宋体" w:eastAsia="宋体" w:cs="宋体"/>
                <w:i w:val="0"/>
                <w:iCs w:val="0"/>
                <w:color w:val="auto"/>
                <w:sz w:val="20"/>
                <w:szCs w:val="20"/>
                <w:highlight w:val="none"/>
                <w:u w:val="none"/>
              </w:rPr>
            </w:pPr>
          </w:p>
        </w:tc>
        <w:tc>
          <w:tcPr>
            <w:tcW w:w="360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6D4101B">
            <w:pPr>
              <w:jc w:val="center"/>
              <w:rPr>
                <w:rFonts w:hint="eastAsia" w:ascii="宋体" w:hAnsi="宋体" w:eastAsia="宋体" w:cs="宋体"/>
                <w:i w:val="0"/>
                <w:iCs w:val="0"/>
                <w:color w:val="auto"/>
                <w:sz w:val="20"/>
                <w:szCs w:val="20"/>
                <w:highlight w:val="none"/>
                <w:u w:val="none"/>
              </w:rPr>
            </w:pPr>
          </w:p>
        </w:tc>
        <w:tc>
          <w:tcPr>
            <w:tcW w:w="61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753E5D1">
            <w:pPr>
              <w:jc w:val="center"/>
              <w:rPr>
                <w:rFonts w:hint="eastAsia" w:ascii="宋体" w:hAnsi="宋体" w:eastAsia="宋体" w:cs="宋体"/>
                <w:i w:val="0"/>
                <w:iCs w:val="0"/>
                <w:color w:val="auto"/>
                <w:sz w:val="20"/>
                <w:szCs w:val="20"/>
                <w:highlight w:val="none"/>
                <w:u w:val="none"/>
              </w:rPr>
            </w:pPr>
          </w:p>
        </w:tc>
        <w:tc>
          <w:tcPr>
            <w:tcW w:w="111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030BBB0">
            <w:pPr>
              <w:jc w:val="center"/>
              <w:rPr>
                <w:rFonts w:hint="eastAsia" w:ascii="宋体" w:hAnsi="宋体" w:eastAsia="宋体" w:cs="宋体"/>
                <w:i w:val="0"/>
                <w:iCs w:val="0"/>
                <w:color w:val="auto"/>
                <w:sz w:val="20"/>
                <w:szCs w:val="20"/>
                <w:highlight w:val="none"/>
                <w:u w:val="none"/>
              </w:rPr>
            </w:pPr>
          </w:p>
        </w:tc>
        <w:tc>
          <w:tcPr>
            <w:tcW w:w="1230"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02059578">
            <w:pPr>
              <w:jc w:val="center"/>
              <w:rPr>
                <w:rFonts w:hint="eastAsia" w:ascii="宋体" w:hAnsi="宋体" w:eastAsia="宋体" w:cs="宋体"/>
                <w:i w:val="0"/>
                <w:iCs w:val="0"/>
                <w:color w:val="auto"/>
                <w:sz w:val="20"/>
                <w:szCs w:val="20"/>
                <w:highlight w:val="none"/>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311D1594">
            <w:pPr>
              <w:jc w:val="center"/>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274317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人工费</w:t>
            </w: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47D62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机械费</w:t>
            </w: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28616F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暂估价</w:t>
            </w:r>
          </w:p>
        </w:tc>
        <w:tc>
          <w:tcPr>
            <w:tcW w:w="750" w:type="dxa"/>
            <w:vMerge w:val="continue"/>
            <w:tcBorders>
              <w:top w:val="single" w:color="000000" w:sz="8" w:space="0"/>
              <w:left w:val="single" w:color="000000" w:sz="4" w:space="0"/>
              <w:bottom w:val="single" w:color="000000" w:sz="4" w:space="0"/>
              <w:right w:val="single" w:color="000000" w:sz="8" w:space="0"/>
            </w:tcBorders>
            <w:shd w:val="clear" w:color="FFFFFF" w:fill="FFFFFF"/>
            <w:vAlign w:val="center"/>
          </w:tcPr>
          <w:p w14:paraId="64280F64">
            <w:pPr>
              <w:jc w:val="center"/>
              <w:rPr>
                <w:rFonts w:hint="eastAsia" w:ascii="宋体" w:hAnsi="宋体" w:eastAsia="宋体" w:cs="宋体"/>
                <w:i w:val="0"/>
                <w:iCs w:val="0"/>
                <w:color w:val="auto"/>
                <w:sz w:val="20"/>
                <w:szCs w:val="20"/>
                <w:highlight w:val="none"/>
                <w:u w:val="none"/>
              </w:rPr>
            </w:pPr>
          </w:p>
        </w:tc>
      </w:tr>
      <w:tr w14:paraId="2D247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7B3D8E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79BB13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030412005001</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E2EA10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荧光灯</w:t>
            </w:r>
          </w:p>
        </w:tc>
        <w:tc>
          <w:tcPr>
            <w:tcW w:w="36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3FA92C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1.名称:单管荧光灯（含光源）</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2.安装形式:吸顶式</w:t>
            </w:r>
          </w:p>
        </w:tc>
        <w:tc>
          <w:tcPr>
            <w:tcW w:w="61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E9686E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1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B387054">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w:t>
            </w:r>
          </w:p>
        </w:tc>
        <w:tc>
          <w:tcPr>
            <w:tcW w:w="123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AD10001">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B68887A">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25BE19C">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74764EA">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8D4EB53">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7690606A">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260F22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A8C9D8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2EEC36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030412005002</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706D7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荧光灯</w:t>
            </w:r>
          </w:p>
        </w:tc>
        <w:tc>
          <w:tcPr>
            <w:tcW w:w="36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CA7555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1.名称:双管荧光灯（含光源）</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2.安装形式:吸顶式</w:t>
            </w:r>
          </w:p>
        </w:tc>
        <w:tc>
          <w:tcPr>
            <w:tcW w:w="61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7EC7DF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1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22D366B">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123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43F97E4">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AB0405E">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AB2AF73">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A6166E2">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55AAF2B">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843E06C">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001F3C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50C3C2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6548EB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030412001002</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81B215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普通灯具</w:t>
            </w:r>
          </w:p>
        </w:tc>
        <w:tc>
          <w:tcPr>
            <w:tcW w:w="36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4F9DC5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1.名称:防爆灯（含光源）</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2.规格:12W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3.安装形式:吸顶式</w:t>
            </w:r>
          </w:p>
        </w:tc>
        <w:tc>
          <w:tcPr>
            <w:tcW w:w="61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44B862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1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3DC3893">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23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338E322">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B1F374F">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50E258E">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02DDC52">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BEB8309">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71D3ABF">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6E7A8E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9DB706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894767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030412004001</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7503EF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装饰灯</w:t>
            </w:r>
          </w:p>
        </w:tc>
        <w:tc>
          <w:tcPr>
            <w:tcW w:w="36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352C56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1.名称:A型安全出口标志灯</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2.规格:1W</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3.安装形式:壁装</w:t>
            </w:r>
          </w:p>
        </w:tc>
        <w:tc>
          <w:tcPr>
            <w:tcW w:w="61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F36419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1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2C21B6A">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23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85D72A8">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DC53DB8">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0A9863E">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8D7921D">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6BFAF69">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499B14C3">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72E7E0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AF82AA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44479A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030412004002</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1B26C5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装饰灯</w:t>
            </w:r>
          </w:p>
        </w:tc>
        <w:tc>
          <w:tcPr>
            <w:tcW w:w="36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ECB442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1.名称:A型疏散出口标志灯</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2.规格:1W</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3.安装形式:壁装</w:t>
            </w:r>
          </w:p>
        </w:tc>
        <w:tc>
          <w:tcPr>
            <w:tcW w:w="61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12411B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1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F4CD14C">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123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C8EF08B">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B520346">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5F40AC9">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C7A0348">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CF2EEA">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D6EEA52">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56888F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BA5B82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12F58F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030412004003</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089908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装饰灯</w:t>
            </w:r>
          </w:p>
        </w:tc>
        <w:tc>
          <w:tcPr>
            <w:tcW w:w="36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B75796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1.名称:A型疏散指示灯</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2.规格:1W</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3.安装形式:壁装</w:t>
            </w:r>
          </w:p>
        </w:tc>
        <w:tc>
          <w:tcPr>
            <w:tcW w:w="61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C39D53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1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A491F23">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23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E4BA82B">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A3E4BF">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EDF8719">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3EC8F63">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9DD3C49">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9509A35">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0FF8B2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8848C9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D11DD4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030412004004</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1D6321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装饰灯</w:t>
            </w:r>
          </w:p>
        </w:tc>
        <w:tc>
          <w:tcPr>
            <w:tcW w:w="36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0FDE34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1.名称:A型消防应急照明灯具</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2.规格:6W</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3.安装形式:壁装</w:t>
            </w:r>
          </w:p>
        </w:tc>
        <w:tc>
          <w:tcPr>
            <w:tcW w:w="61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D3BF15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1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030CC1C">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w:t>
            </w:r>
          </w:p>
        </w:tc>
        <w:tc>
          <w:tcPr>
            <w:tcW w:w="123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BCEB159">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AE43F50">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F0E974D">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766DCA9">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36A4291">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2934167">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6976BF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10020" w:type="dxa"/>
            <w:gridSpan w:val="7"/>
            <w:tcBorders>
              <w:top w:val="single" w:color="000000" w:sz="4" w:space="0"/>
              <w:left w:val="single" w:color="000000" w:sz="8" w:space="0"/>
              <w:bottom w:val="single" w:color="000000" w:sz="8" w:space="0"/>
              <w:right w:val="single" w:color="000000" w:sz="4" w:space="0"/>
            </w:tcBorders>
            <w:shd w:val="clear" w:color="FFFFFF" w:fill="FFFFFF"/>
            <w:vAlign w:val="center"/>
          </w:tcPr>
          <w:p w14:paraId="354299C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本页小计</w:t>
            </w:r>
          </w:p>
        </w:tc>
        <w:tc>
          <w:tcPr>
            <w:tcW w:w="840"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083C3CDA">
            <w:pPr>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1E4C6065">
            <w:pPr>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654E610F">
            <w:pPr>
              <w:jc w:val="left"/>
              <w:rPr>
                <w:rFonts w:hint="eastAsia" w:ascii="宋体" w:hAnsi="宋体" w:eastAsia="宋体" w:cs="宋体"/>
                <w:i w:val="0"/>
                <w:iCs w:val="0"/>
                <w:color w:val="auto"/>
                <w:sz w:val="20"/>
                <w:szCs w:val="20"/>
                <w:highlight w:val="none"/>
                <w:u w:val="none"/>
              </w:rPr>
            </w:pPr>
          </w:p>
        </w:tc>
        <w:tc>
          <w:tcPr>
            <w:tcW w:w="885"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5229FF22">
            <w:pPr>
              <w:jc w:val="left"/>
              <w:rPr>
                <w:rFonts w:hint="eastAsia" w:ascii="宋体" w:hAnsi="宋体" w:eastAsia="宋体" w:cs="宋体"/>
                <w:i w:val="0"/>
                <w:iCs w:val="0"/>
                <w:color w:val="auto"/>
                <w:sz w:val="20"/>
                <w:szCs w:val="20"/>
                <w:highlight w:val="none"/>
                <w:u w:val="none"/>
              </w:rPr>
            </w:pPr>
          </w:p>
        </w:tc>
        <w:tc>
          <w:tcPr>
            <w:tcW w:w="750"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4D858FF3">
            <w:pPr>
              <w:jc w:val="left"/>
              <w:rPr>
                <w:rFonts w:hint="eastAsia" w:ascii="宋体" w:hAnsi="宋体" w:eastAsia="宋体" w:cs="宋体"/>
                <w:i w:val="0"/>
                <w:iCs w:val="0"/>
                <w:color w:val="auto"/>
                <w:sz w:val="20"/>
                <w:szCs w:val="20"/>
                <w:highlight w:val="none"/>
                <w:u w:val="none"/>
              </w:rPr>
            </w:pPr>
          </w:p>
        </w:tc>
      </w:tr>
    </w:tbl>
    <w:p w14:paraId="4555197B">
      <w:pPr>
        <w:widowControl w:val="0"/>
        <w:spacing w:after="120" w:afterLines="0" w:afterAutospacing="0"/>
        <w:ind w:firstLine="210" w:firstLineChars="100"/>
        <w:jc w:val="both"/>
        <w:rPr>
          <w:rFonts w:ascii="等线" w:hAnsi="等线" w:eastAsia="宋体" w:cs="Times New Roman"/>
          <w:color w:val="auto"/>
          <w:kern w:val="2"/>
          <w:sz w:val="21"/>
          <w:szCs w:val="24"/>
          <w:highlight w:val="none"/>
          <w:lang w:val="en-US" w:eastAsia="zh-CN" w:bidi="ar-SA"/>
        </w:rPr>
      </w:pPr>
    </w:p>
    <w:p w14:paraId="408D0E4E">
      <w:pPr>
        <w:rPr>
          <w:rFonts w:ascii="等线" w:hAnsi="等线" w:eastAsia="宋体" w:cs="Times New Roman"/>
          <w:color w:val="auto"/>
          <w:szCs w:val="24"/>
          <w:highlight w:val="none"/>
        </w:rPr>
      </w:pPr>
      <w:r>
        <w:rPr>
          <w:rFonts w:ascii="等线" w:hAnsi="等线" w:eastAsia="宋体" w:cs="Times New Roman"/>
          <w:color w:val="auto"/>
          <w:szCs w:val="24"/>
          <w:highlight w:val="none"/>
        </w:rPr>
        <w:br w:type="page"/>
      </w:r>
    </w:p>
    <w:tbl>
      <w:tblPr>
        <w:tblStyle w:val="23"/>
        <w:tblW w:w="1456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54"/>
        <w:gridCol w:w="1416"/>
        <w:gridCol w:w="10"/>
        <w:gridCol w:w="1487"/>
        <w:gridCol w:w="7"/>
        <w:gridCol w:w="3591"/>
        <w:gridCol w:w="3"/>
        <w:gridCol w:w="747"/>
        <w:gridCol w:w="166"/>
        <w:gridCol w:w="944"/>
        <w:gridCol w:w="165"/>
        <w:gridCol w:w="1064"/>
        <w:gridCol w:w="163"/>
        <w:gridCol w:w="542"/>
        <w:gridCol w:w="136"/>
        <w:gridCol w:w="163"/>
        <w:gridCol w:w="722"/>
        <w:gridCol w:w="163"/>
        <w:gridCol w:w="722"/>
        <w:gridCol w:w="163"/>
        <w:gridCol w:w="722"/>
        <w:gridCol w:w="163"/>
        <w:gridCol w:w="587"/>
        <w:gridCol w:w="163"/>
      </w:tblGrid>
      <w:tr w14:paraId="71D58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 w:hRule="atLeast"/>
        </w:trPr>
        <w:tc>
          <w:tcPr>
            <w:tcW w:w="10859" w:type="dxa"/>
            <w:gridSpan w:val="14"/>
            <w:tcBorders>
              <w:top w:val="nil"/>
              <w:left w:val="nil"/>
              <w:bottom w:val="nil"/>
              <w:right w:val="nil"/>
            </w:tcBorders>
            <w:shd w:val="clear" w:color="FFFFFF" w:fill="FFFFFF"/>
            <w:vAlign w:val="center"/>
          </w:tcPr>
          <w:p w14:paraId="683DDAA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【表10.2.2-16】</w:t>
            </w:r>
          </w:p>
        </w:tc>
        <w:tc>
          <w:tcPr>
            <w:tcW w:w="3704" w:type="dxa"/>
            <w:gridSpan w:val="10"/>
            <w:tcBorders>
              <w:top w:val="nil"/>
              <w:left w:val="nil"/>
              <w:bottom w:val="nil"/>
              <w:right w:val="nil"/>
            </w:tcBorders>
            <w:shd w:val="clear" w:color="FFFFFF" w:fill="FFFFFF"/>
            <w:vAlign w:val="center"/>
          </w:tcPr>
          <w:p w14:paraId="0E87B500">
            <w:pPr>
              <w:jc w:val="right"/>
              <w:rPr>
                <w:rFonts w:hint="eastAsia" w:ascii="宋体" w:hAnsi="宋体" w:eastAsia="宋体" w:cs="宋体"/>
                <w:i w:val="0"/>
                <w:iCs w:val="0"/>
                <w:color w:val="auto"/>
                <w:sz w:val="18"/>
                <w:szCs w:val="18"/>
                <w:highlight w:val="none"/>
                <w:u w:val="none"/>
              </w:rPr>
            </w:pPr>
          </w:p>
        </w:tc>
      </w:tr>
      <w:tr w14:paraId="70C0E3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4563" w:type="dxa"/>
            <w:gridSpan w:val="24"/>
            <w:tcBorders>
              <w:top w:val="nil"/>
              <w:left w:val="nil"/>
              <w:bottom w:val="nil"/>
              <w:right w:val="nil"/>
            </w:tcBorders>
            <w:shd w:val="clear" w:color="FFFFFF" w:fill="FFFFFF"/>
            <w:vAlign w:val="center"/>
          </w:tcPr>
          <w:p w14:paraId="50D54516">
            <w:pPr>
              <w:keepNext w:val="0"/>
              <w:keepLines w:val="0"/>
              <w:widowControl/>
              <w:suppressLineNumbers w:val="0"/>
              <w:jc w:val="center"/>
              <w:textAlignment w:val="center"/>
              <w:rPr>
                <w:rFonts w:hint="eastAsia" w:ascii="宋体" w:hAnsi="宋体" w:eastAsia="宋体" w:cs="宋体"/>
                <w:b/>
                <w:bCs/>
                <w:i w:val="0"/>
                <w:iCs w:val="0"/>
                <w:color w:val="auto"/>
                <w:sz w:val="40"/>
                <w:szCs w:val="40"/>
                <w:highlight w:val="none"/>
                <w:u w:val="none"/>
              </w:rPr>
            </w:pPr>
            <w:r>
              <w:rPr>
                <w:rFonts w:hint="eastAsia" w:ascii="宋体" w:hAnsi="宋体" w:eastAsia="宋体" w:cs="宋体"/>
                <w:b/>
                <w:bCs/>
                <w:i w:val="0"/>
                <w:iCs w:val="0"/>
                <w:color w:val="auto"/>
                <w:kern w:val="0"/>
                <w:sz w:val="40"/>
                <w:szCs w:val="40"/>
                <w:highlight w:val="none"/>
                <w:u w:val="none"/>
                <w:lang w:val="en-US" w:eastAsia="zh-CN" w:bidi="ar"/>
              </w:rPr>
              <w:t>分部分项工程清单与计价表</w:t>
            </w:r>
          </w:p>
        </w:tc>
      </w:tr>
      <w:tr w14:paraId="08B8DA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3471" w:type="dxa"/>
            <w:gridSpan w:val="5"/>
            <w:tcBorders>
              <w:top w:val="nil"/>
              <w:left w:val="nil"/>
              <w:bottom w:val="nil"/>
              <w:right w:val="nil"/>
            </w:tcBorders>
            <w:shd w:val="clear" w:color="FFFFFF" w:fill="FFFFFF"/>
            <w:vAlign w:val="bottom"/>
          </w:tcPr>
          <w:p w14:paraId="3E95F2B3">
            <w:pPr>
              <w:keepNext w:val="0"/>
              <w:keepLines w:val="0"/>
              <w:widowControl/>
              <w:suppressLineNumbers w:val="0"/>
              <w:jc w:val="lef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工程名称：单项工程-配套用房安装工程</w:t>
            </w:r>
          </w:p>
        </w:tc>
        <w:tc>
          <w:tcPr>
            <w:tcW w:w="7388" w:type="dxa"/>
            <w:gridSpan w:val="9"/>
            <w:tcBorders>
              <w:top w:val="nil"/>
              <w:left w:val="nil"/>
              <w:bottom w:val="nil"/>
              <w:right w:val="nil"/>
            </w:tcBorders>
            <w:shd w:val="clear" w:color="FFFFFF" w:fill="FFFFFF"/>
            <w:vAlign w:val="bottom"/>
          </w:tcPr>
          <w:p w14:paraId="2C231E88">
            <w:pPr>
              <w:keepNext w:val="0"/>
              <w:keepLines w:val="0"/>
              <w:widowControl/>
              <w:suppressLineNumbers w:val="0"/>
              <w:jc w:val="lef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标段：</w:t>
            </w:r>
          </w:p>
        </w:tc>
        <w:tc>
          <w:tcPr>
            <w:tcW w:w="3704" w:type="dxa"/>
            <w:gridSpan w:val="10"/>
            <w:tcBorders>
              <w:top w:val="nil"/>
              <w:left w:val="nil"/>
              <w:bottom w:val="nil"/>
              <w:right w:val="nil"/>
            </w:tcBorders>
            <w:shd w:val="clear" w:color="FFFFFF" w:fill="FFFFFF"/>
            <w:vAlign w:val="bottom"/>
          </w:tcPr>
          <w:p w14:paraId="708F3482">
            <w:pPr>
              <w:keepNext w:val="0"/>
              <w:keepLines w:val="0"/>
              <w:widowControl/>
              <w:suppressLineNumbers w:val="0"/>
              <w:jc w:val="righ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第 3 页  共 7 页</w:t>
            </w:r>
          </w:p>
        </w:tc>
      </w:tr>
      <w:tr w14:paraId="5B2B23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554"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363AE3E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序号</w:t>
            </w:r>
          </w:p>
        </w:tc>
        <w:tc>
          <w:tcPr>
            <w:tcW w:w="1421"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505F8C4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项目编码</w:t>
            </w:r>
          </w:p>
        </w:tc>
        <w:tc>
          <w:tcPr>
            <w:tcW w:w="1496"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6C1127C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项目名称</w:t>
            </w:r>
          </w:p>
        </w:tc>
        <w:tc>
          <w:tcPr>
            <w:tcW w:w="3596"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6B81554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项目特征</w:t>
            </w:r>
          </w:p>
        </w:tc>
        <w:tc>
          <w:tcPr>
            <w:tcW w:w="913"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6AE9B31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计量单位</w:t>
            </w:r>
          </w:p>
        </w:tc>
        <w:tc>
          <w:tcPr>
            <w:tcW w:w="1109"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41E1AD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工程量</w:t>
            </w:r>
          </w:p>
        </w:tc>
        <w:tc>
          <w:tcPr>
            <w:tcW w:w="4724" w:type="dxa"/>
            <w:gridSpan w:val="11"/>
            <w:tcBorders>
              <w:top w:val="single" w:color="000000" w:sz="8" w:space="0"/>
              <w:left w:val="single" w:color="000000" w:sz="4" w:space="0"/>
              <w:bottom w:val="single" w:color="000000" w:sz="4" w:space="0"/>
              <w:right w:val="single" w:color="000000" w:sz="4" w:space="0"/>
            </w:tcBorders>
            <w:shd w:val="clear" w:color="FFFFFF" w:fill="FFFFFF"/>
            <w:vAlign w:val="center"/>
          </w:tcPr>
          <w:p w14:paraId="63F3AB2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金额（元）</w:t>
            </w:r>
          </w:p>
        </w:tc>
        <w:tc>
          <w:tcPr>
            <w:tcW w:w="750" w:type="dxa"/>
            <w:gridSpan w:val="2"/>
            <w:vMerge w:val="restart"/>
            <w:tcBorders>
              <w:top w:val="single" w:color="000000" w:sz="8" w:space="0"/>
              <w:left w:val="single" w:color="000000" w:sz="4" w:space="0"/>
              <w:bottom w:val="single" w:color="000000" w:sz="4" w:space="0"/>
              <w:right w:val="single" w:color="000000" w:sz="8" w:space="0"/>
            </w:tcBorders>
            <w:shd w:val="clear" w:color="FFFFFF" w:fill="FFFFFF"/>
            <w:vAlign w:val="center"/>
          </w:tcPr>
          <w:p w14:paraId="7AEAE57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备注</w:t>
            </w:r>
          </w:p>
        </w:tc>
      </w:tr>
      <w:tr w14:paraId="2F2C2E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554"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44CB6FD5">
            <w:pPr>
              <w:jc w:val="center"/>
              <w:rPr>
                <w:rFonts w:hint="eastAsia" w:ascii="宋体" w:hAnsi="宋体" w:eastAsia="宋体" w:cs="宋体"/>
                <w:i w:val="0"/>
                <w:iCs w:val="0"/>
                <w:color w:val="auto"/>
                <w:sz w:val="20"/>
                <w:szCs w:val="20"/>
                <w:highlight w:val="none"/>
                <w:u w:val="none"/>
              </w:rPr>
            </w:pPr>
          </w:p>
        </w:tc>
        <w:tc>
          <w:tcPr>
            <w:tcW w:w="1421"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3C93E13">
            <w:pPr>
              <w:jc w:val="center"/>
              <w:rPr>
                <w:rFonts w:hint="eastAsia" w:ascii="宋体" w:hAnsi="宋体" w:eastAsia="宋体" w:cs="宋体"/>
                <w:i w:val="0"/>
                <w:iCs w:val="0"/>
                <w:color w:val="auto"/>
                <w:sz w:val="20"/>
                <w:szCs w:val="20"/>
                <w:highlight w:val="none"/>
                <w:u w:val="none"/>
              </w:rPr>
            </w:pPr>
          </w:p>
        </w:tc>
        <w:tc>
          <w:tcPr>
            <w:tcW w:w="1496"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D9F23C6">
            <w:pPr>
              <w:jc w:val="center"/>
              <w:rPr>
                <w:rFonts w:hint="eastAsia" w:ascii="宋体" w:hAnsi="宋体" w:eastAsia="宋体" w:cs="宋体"/>
                <w:i w:val="0"/>
                <w:iCs w:val="0"/>
                <w:color w:val="auto"/>
                <w:sz w:val="20"/>
                <w:szCs w:val="20"/>
                <w:highlight w:val="none"/>
                <w:u w:val="none"/>
              </w:rPr>
            </w:pPr>
          </w:p>
        </w:tc>
        <w:tc>
          <w:tcPr>
            <w:tcW w:w="3596"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0D5BE82">
            <w:pPr>
              <w:jc w:val="center"/>
              <w:rPr>
                <w:rFonts w:hint="eastAsia" w:ascii="宋体" w:hAnsi="宋体" w:eastAsia="宋体" w:cs="宋体"/>
                <w:i w:val="0"/>
                <w:iCs w:val="0"/>
                <w:color w:val="auto"/>
                <w:sz w:val="20"/>
                <w:szCs w:val="20"/>
                <w:highlight w:val="none"/>
                <w:u w:val="none"/>
              </w:rPr>
            </w:pPr>
          </w:p>
        </w:tc>
        <w:tc>
          <w:tcPr>
            <w:tcW w:w="913"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12B1D03">
            <w:pPr>
              <w:jc w:val="center"/>
              <w:rPr>
                <w:rFonts w:hint="eastAsia" w:ascii="宋体" w:hAnsi="宋体" w:eastAsia="宋体" w:cs="宋体"/>
                <w:i w:val="0"/>
                <w:iCs w:val="0"/>
                <w:color w:val="auto"/>
                <w:sz w:val="20"/>
                <w:szCs w:val="20"/>
                <w:highlight w:val="none"/>
                <w:u w:val="none"/>
              </w:rPr>
            </w:pPr>
          </w:p>
        </w:tc>
        <w:tc>
          <w:tcPr>
            <w:tcW w:w="1109"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6954466">
            <w:pPr>
              <w:jc w:val="center"/>
              <w:rPr>
                <w:rFonts w:hint="eastAsia" w:ascii="宋体" w:hAnsi="宋体" w:eastAsia="宋体" w:cs="宋体"/>
                <w:i w:val="0"/>
                <w:iCs w:val="0"/>
                <w:color w:val="auto"/>
                <w:sz w:val="20"/>
                <w:szCs w:val="20"/>
                <w:highlight w:val="none"/>
                <w:u w:val="none"/>
              </w:rPr>
            </w:pPr>
          </w:p>
        </w:tc>
        <w:tc>
          <w:tcPr>
            <w:tcW w:w="1228" w:type="dxa"/>
            <w:gridSpan w:val="2"/>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3595F16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综合单价</w:t>
            </w:r>
          </w:p>
        </w:tc>
        <w:tc>
          <w:tcPr>
            <w:tcW w:w="841" w:type="dxa"/>
            <w:gridSpan w:val="3"/>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05EE777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合价</w:t>
            </w:r>
          </w:p>
        </w:tc>
        <w:tc>
          <w:tcPr>
            <w:tcW w:w="2655" w:type="dxa"/>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493DDF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其中</w:t>
            </w:r>
          </w:p>
        </w:tc>
        <w:tc>
          <w:tcPr>
            <w:tcW w:w="750" w:type="dxa"/>
            <w:gridSpan w:val="2"/>
            <w:vMerge w:val="continue"/>
            <w:tcBorders>
              <w:top w:val="single" w:color="000000" w:sz="8" w:space="0"/>
              <w:left w:val="single" w:color="000000" w:sz="4" w:space="0"/>
              <w:bottom w:val="single" w:color="000000" w:sz="4" w:space="0"/>
              <w:right w:val="single" w:color="000000" w:sz="8" w:space="0"/>
            </w:tcBorders>
            <w:shd w:val="clear" w:color="FFFFFF" w:fill="FFFFFF"/>
            <w:vAlign w:val="center"/>
          </w:tcPr>
          <w:p w14:paraId="750063F1">
            <w:pPr>
              <w:jc w:val="center"/>
              <w:rPr>
                <w:rFonts w:hint="eastAsia" w:ascii="宋体" w:hAnsi="宋体" w:eastAsia="宋体" w:cs="宋体"/>
                <w:i w:val="0"/>
                <w:iCs w:val="0"/>
                <w:color w:val="auto"/>
                <w:sz w:val="20"/>
                <w:szCs w:val="20"/>
                <w:highlight w:val="none"/>
                <w:u w:val="none"/>
              </w:rPr>
            </w:pPr>
          </w:p>
        </w:tc>
      </w:tr>
      <w:tr w14:paraId="34244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554"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4DD3896D">
            <w:pPr>
              <w:jc w:val="center"/>
              <w:rPr>
                <w:rFonts w:hint="eastAsia" w:ascii="宋体" w:hAnsi="宋体" w:eastAsia="宋体" w:cs="宋体"/>
                <w:i w:val="0"/>
                <w:iCs w:val="0"/>
                <w:color w:val="auto"/>
                <w:sz w:val="20"/>
                <w:szCs w:val="20"/>
                <w:highlight w:val="none"/>
                <w:u w:val="none"/>
              </w:rPr>
            </w:pPr>
          </w:p>
        </w:tc>
        <w:tc>
          <w:tcPr>
            <w:tcW w:w="1421"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56EFFA3">
            <w:pPr>
              <w:jc w:val="center"/>
              <w:rPr>
                <w:rFonts w:hint="eastAsia" w:ascii="宋体" w:hAnsi="宋体" w:eastAsia="宋体" w:cs="宋体"/>
                <w:i w:val="0"/>
                <w:iCs w:val="0"/>
                <w:color w:val="auto"/>
                <w:sz w:val="20"/>
                <w:szCs w:val="20"/>
                <w:highlight w:val="none"/>
                <w:u w:val="none"/>
              </w:rPr>
            </w:pPr>
          </w:p>
        </w:tc>
        <w:tc>
          <w:tcPr>
            <w:tcW w:w="1496"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C23B1FD">
            <w:pPr>
              <w:jc w:val="center"/>
              <w:rPr>
                <w:rFonts w:hint="eastAsia" w:ascii="宋体" w:hAnsi="宋体" w:eastAsia="宋体" w:cs="宋体"/>
                <w:i w:val="0"/>
                <w:iCs w:val="0"/>
                <w:color w:val="auto"/>
                <w:sz w:val="20"/>
                <w:szCs w:val="20"/>
                <w:highlight w:val="none"/>
                <w:u w:val="none"/>
              </w:rPr>
            </w:pPr>
          </w:p>
        </w:tc>
        <w:tc>
          <w:tcPr>
            <w:tcW w:w="3596"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0B4422E">
            <w:pPr>
              <w:jc w:val="center"/>
              <w:rPr>
                <w:rFonts w:hint="eastAsia" w:ascii="宋体" w:hAnsi="宋体" w:eastAsia="宋体" w:cs="宋体"/>
                <w:i w:val="0"/>
                <w:iCs w:val="0"/>
                <w:color w:val="auto"/>
                <w:sz w:val="20"/>
                <w:szCs w:val="20"/>
                <w:highlight w:val="none"/>
                <w:u w:val="none"/>
              </w:rPr>
            </w:pPr>
          </w:p>
        </w:tc>
        <w:tc>
          <w:tcPr>
            <w:tcW w:w="913"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72017E1">
            <w:pPr>
              <w:jc w:val="center"/>
              <w:rPr>
                <w:rFonts w:hint="eastAsia" w:ascii="宋体" w:hAnsi="宋体" w:eastAsia="宋体" w:cs="宋体"/>
                <w:i w:val="0"/>
                <w:iCs w:val="0"/>
                <w:color w:val="auto"/>
                <w:sz w:val="20"/>
                <w:szCs w:val="20"/>
                <w:highlight w:val="none"/>
                <w:u w:val="none"/>
              </w:rPr>
            </w:pPr>
          </w:p>
        </w:tc>
        <w:tc>
          <w:tcPr>
            <w:tcW w:w="1109"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AB61BF2">
            <w:pPr>
              <w:jc w:val="center"/>
              <w:rPr>
                <w:rFonts w:hint="eastAsia" w:ascii="宋体" w:hAnsi="宋体" w:eastAsia="宋体" w:cs="宋体"/>
                <w:i w:val="0"/>
                <w:iCs w:val="0"/>
                <w:color w:val="auto"/>
                <w:sz w:val="20"/>
                <w:szCs w:val="20"/>
                <w:highlight w:val="none"/>
                <w:u w:val="none"/>
              </w:rPr>
            </w:pPr>
          </w:p>
        </w:tc>
        <w:tc>
          <w:tcPr>
            <w:tcW w:w="1228" w:type="dxa"/>
            <w:gridSpan w:val="2"/>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7D7215D2">
            <w:pPr>
              <w:jc w:val="center"/>
              <w:rPr>
                <w:rFonts w:hint="eastAsia" w:ascii="宋体" w:hAnsi="宋体" w:eastAsia="宋体" w:cs="宋体"/>
                <w:i w:val="0"/>
                <w:iCs w:val="0"/>
                <w:color w:val="auto"/>
                <w:sz w:val="20"/>
                <w:szCs w:val="20"/>
                <w:highlight w:val="none"/>
                <w:u w:val="none"/>
              </w:rPr>
            </w:pPr>
          </w:p>
        </w:tc>
        <w:tc>
          <w:tcPr>
            <w:tcW w:w="841" w:type="dxa"/>
            <w:gridSpan w:val="3"/>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03DE0146">
            <w:pPr>
              <w:jc w:val="center"/>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21FCF6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人工费</w:t>
            </w: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74D2B9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机械费</w:t>
            </w: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6CB250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暂估价</w:t>
            </w:r>
          </w:p>
        </w:tc>
        <w:tc>
          <w:tcPr>
            <w:tcW w:w="750" w:type="dxa"/>
            <w:gridSpan w:val="2"/>
            <w:vMerge w:val="continue"/>
            <w:tcBorders>
              <w:top w:val="single" w:color="000000" w:sz="8" w:space="0"/>
              <w:left w:val="single" w:color="000000" w:sz="4" w:space="0"/>
              <w:bottom w:val="single" w:color="000000" w:sz="4" w:space="0"/>
              <w:right w:val="single" w:color="000000" w:sz="8" w:space="0"/>
            </w:tcBorders>
            <w:shd w:val="clear" w:color="FFFFFF" w:fill="FFFFFF"/>
            <w:vAlign w:val="center"/>
          </w:tcPr>
          <w:p w14:paraId="118B3080">
            <w:pPr>
              <w:jc w:val="center"/>
              <w:rPr>
                <w:rFonts w:hint="eastAsia" w:ascii="宋体" w:hAnsi="宋体" w:eastAsia="宋体" w:cs="宋体"/>
                <w:i w:val="0"/>
                <w:iCs w:val="0"/>
                <w:color w:val="auto"/>
                <w:sz w:val="20"/>
                <w:szCs w:val="20"/>
                <w:highlight w:val="none"/>
                <w:u w:val="none"/>
              </w:rPr>
            </w:pPr>
          </w:p>
        </w:tc>
      </w:tr>
      <w:tr w14:paraId="692838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554"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CF17D4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w:t>
            </w:r>
          </w:p>
        </w:tc>
        <w:tc>
          <w:tcPr>
            <w:tcW w:w="142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A0884B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030412004005</w:t>
            </w:r>
          </w:p>
        </w:tc>
        <w:tc>
          <w:tcPr>
            <w:tcW w:w="149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88FAD7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装饰灯</w:t>
            </w:r>
          </w:p>
        </w:tc>
        <w:tc>
          <w:tcPr>
            <w:tcW w:w="359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7FD251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1.名称:A型消防应急照明灯具</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2.规格:6W,IP67</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3.安装形式:壁装</w:t>
            </w:r>
          </w:p>
        </w:tc>
        <w:tc>
          <w:tcPr>
            <w:tcW w:w="91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324DE1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10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E928FA9">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22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D882D2F">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1"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B7E5494">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E4DFDC9">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96284CD">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D1DD1FA">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5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32799442">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490086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54"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CFD56E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p>
        </w:tc>
        <w:tc>
          <w:tcPr>
            <w:tcW w:w="142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390B73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030404034001</w:t>
            </w:r>
          </w:p>
        </w:tc>
        <w:tc>
          <w:tcPr>
            <w:tcW w:w="149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131C7B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照明开关</w:t>
            </w:r>
          </w:p>
        </w:tc>
        <w:tc>
          <w:tcPr>
            <w:tcW w:w="359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D2AC4C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1.名称:单联单控开关</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2.安装方式:暗装</w:t>
            </w:r>
          </w:p>
        </w:tc>
        <w:tc>
          <w:tcPr>
            <w:tcW w:w="91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1CF0E5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10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A8096DC">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122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27EDC86">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1"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4C711A2D">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931552A">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547401A">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94B5B25">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5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0913AA1D">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4F8BF2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54"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0F01C2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p>
        </w:tc>
        <w:tc>
          <w:tcPr>
            <w:tcW w:w="142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A7D576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030404034002</w:t>
            </w:r>
          </w:p>
        </w:tc>
        <w:tc>
          <w:tcPr>
            <w:tcW w:w="149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506798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照明开关</w:t>
            </w:r>
          </w:p>
        </w:tc>
        <w:tc>
          <w:tcPr>
            <w:tcW w:w="359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04A80D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1.名称:双联单控开关</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2.安装方式:暗装</w:t>
            </w:r>
          </w:p>
        </w:tc>
        <w:tc>
          <w:tcPr>
            <w:tcW w:w="91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630D26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10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8F8E5EE">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22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D08D494">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1"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343ECC1B">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0E058F2">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7438127">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EAB1296">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5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35D46865">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140C78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54"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F49984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w:t>
            </w:r>
          </w:p>
        </w:tc>
        <w:tc>
          <w:tcPr>
            <w:tcW w:w="142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230F57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030404034003</w:t>
            </w:r>
          </w:p>
        </w:tc>
        <w:tc>
          <w:tcPr>
            <w:tcW w:w="149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9C7A6A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照明开关</w:t>
            </w:r>
          </w:p>
        </w:tc>
        <w:tc>
          <w:tcPr>
            <w:tcW w:w="359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0C0280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1.名称:三联单控开关</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2.安装方式:暗装</w:t>
            </w:r>
          </w:p>
        </w:tc>
        <w:tc>
          <w:tcPr>
            <w:tcW w:w="91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AD0027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10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4AC2D5F">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22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2723A16">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1"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060B413C">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B0F6EA7">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05EAF7D">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67195C2">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5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7D75A454">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5EB55C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554"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811DD3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w:t>
            </w:r>
          </w:p>
        </w:tc>
        <w:tc>
          <w:tcPr>
            <w:tcW w:w="142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8154D1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030404035001</w:t>
            </w:r>
          </w:p>
        </w:tc>
        <w:tc>
          <w:tcPr>
            <w:tcW w:w="149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90503D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插座</w:t>
            </w:r>
          </w:p>
        </w:tc>
        <w:tc>
          <w:tcPr>
            <w:tcW w:w="359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694E57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1.名称:安全型单相五孔插座</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2.规格:10A</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3.安装方式:暗装</w:t>
            </w:r>
          </w:p>
        </w:tc>
        <w:tc>
          <w:tcPr>
            <w:tcW w:w="91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BCBA6A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10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287D30D">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p>
        </w:tc>
        <w:tc>
          <w:tcPr>
            <w:tcW w:w="122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E0FE288">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1"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3568AEDD">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8B006D2">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D21F1FF">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87F6F6D">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5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6BFBDFA8">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70E56C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554"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2BBD81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w:t>
            </w:r>
          </w:p>
        </w:tc>
        <w:tc>
          <w:tcPr>
            <w:tcW w:w="142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E33931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030404035002</w:t>
            </w:r>
          </w:p>
        </w:tc>
        <w:tc>
          <w:tcPr>
            <w:tcW w:w="149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136D97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插座</w:t>
            </w:r>
          </w:p>
        </w:tc>
        <w:tc>
          <w:tcPr>
            <w:tcW w:w="359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3BFE1C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1.名称:壁挂空调插座</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2.规格:10A</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3.安装方式:暗装</w:t>
            </w:r>
          </w:p>
        </w:tc>
        <w:tc>
          <w:tcPr>
            <w:tcW w:w="91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A675B7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10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339DCE6">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22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805EA66">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1"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6328B493">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1529831">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12A372E">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51B01D1">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5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72098E97">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296C22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554"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4DDE9C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w:t>
            </w:r>
          </w:p>
        </w:tc>
        <w:tc>
          <w:tcPr>
            <w:tcW w:w="142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77EAF2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030404035004</w:t>
            </w:r>
          </w:p>
        </w:tc>
        <w:tc>
          <w:tcPr>
            <w:tcW w:w="149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FE6F16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插座</w:t>
            </w:r>
          </w:p>
        </w:tc>
        <w:tc>
          <w:tcPr>
            <w:tcW w:w="359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1B2B28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1.名称:柜式空调插座</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2.规格:16A</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3.安装方式:暗装</w:t>
            </w:r>
          </w:p>
        </w:tc>
        <w:tc>
          <w:tcPr>
            <w:tcW w:w="91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DD4B5F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10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5A5A9F8">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22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B1C315E">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1"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36DFCED">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82BBD4C">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71C249F">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E8270B4">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5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5C3C4F72">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30F134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554"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0A4EEE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w:t>
            </w:r>
          </w:p>
        </w:tc>
        <w:tc>
          <w:tcPr>
            <w:tcW w:w="142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8AEF6D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030404035003</w:t>
            </w:r>
          </w:p>
        </w:tc>
        <w:tc>
          <w:tcPr>
            <w:tcW w:w="149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1B98BB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插座</w:t>
            </w:r>
          </w:p>
        </w:tc>
        <w:tc>
          <w:tcPr>
            <w:tcW w:w="359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BBABE7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1.名称:三极插座</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2.规格:16A</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3.安装方式:暗装</w:t>
            </w:r>
          </w:p>
        </w:tc>
        <w:tc>
          <w:tcPr>
            <w:tcW w:w="91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C0891E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10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D11C619">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22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0003220">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1"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5C88817E">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CE25084">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F8E7FA5">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8062898">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5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50DA6D69">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15E8CD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10317" w:type="dxa"/>
            <w:gridSpan w:val="13"/>
            <w:tcBorders>
              <w:top w:val="single" w:color="000000" w:sz="4" w:space="0"/>
              <w:left w:val="single" w:color="000000" w:sz="8" w:space="0"/>
              <w:bottom w:val="single" w:color="000000" w:sz="8" w:space="0"/>
              <w:right w:val="single" w:color="000000" w:sz="4" w:space="0"/>
            </w:tcBorders>
            <w:shd w:val="clear" w:color="FFFFFF" w:fill="FFFFFF"/>
            <w:vAlign w:val="center"/>
          </w:tcPr>
          <w:p w14:paraId="7B7F4EF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本页小计</w:t>
            </w:r>
          </w:p>
        </w:tc>
        <w:tc>
          <w:tcPr>
            <w:tcW w:w="841" w:type="dxa"/>
            <w:gridSpan w:val="3"/>
            <w:tcBorders>
              <w:top w:val="single" w:color="000000" w:sz="4" w:space="0"/>
              <w:left w:val="single" w:color="000000" w:sz="4" w:space="0"/>
              <w:bottom w:val="single" w:color="000000" w:sz="8" w:space="0"/>
              <w:right w:val="single" w:color="000000" w:sz="4" w:space="0"/>
            </w:tcBorders>
            <w:shd w:val="clear" w:color="FFFFFF" w:fill="FFFFFF"/>
            <w:vAlign w:val="center"/>
          </w:tcPr>
          <w:p w14:paraId="32BF87E9">
            <w:pPr>
              <w:jc w:val="left"/>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14:paraId="35759DC1">
            <w:pPr>
              <w:jc w:val="left"/>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14:paraId="6AD0D573">
            <w:pPr>
              <w:jc w:val="left"/>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14:paraId="630385F4">
            <w:pPr>
              <w:jc w:val="left"/>
              <w:rPr>
                <w:rFonts w:hint="eastAsia" w:ascii="宋体" w:hAnsi="宋体" w:eastAsia="宋体" w:cs="宋体"/>
                <w:i w:val="0"/>
                <w:iCs w:val="0"/>
                <w:color w:val="auto"/>
                <w:sz w:val="20"/>
                <w:szCs w:val="20"/>
                <w:highlight w:val="none"/>
                <w:u w:val="none"/>
              </w:rPr>
            </w:pPr>
          </w:p>
        </w:tc>
        <w:tc>
          <w:tcPr>
            <w:tcW w:w="750" w:type="dxa"/>
            <w:gridSpan w:val="2"/>
            <w:tcBorders>
              <w:top w:val="single" w:color="000000" w:sz="4" w:space="0"/>
              <w:left w:val="single" w:color="000000" w:sz="4" w:space="0"/>
              <w:bottom w:val="single" w:color="000000" w:sz="8" w:space="0"/>
              <w:right w:val="single" w:color="000000" w:sz="8" w:space="0"/>
            </w:tcBorders>
            <w:shd w:val="clear" w:color="FFFFFF" w:fill="FFFFFF"/>
            <w:vAlign w:val="center"/>
          </w:tcPr>
          <w:p w14:paraId="177FF02F">
            <w:pPr>
              <w:jc w:val="left"/>
              <w:rPr>
                <w:rFonts w:hint="eastAsia" w:ascii="宋体" w:hAnsi="宋体" w:eastAsia="宋体" w:cs="宋体"/>
                <w:i w:val="0"/>
                <w:iCs w:val="0"/>
                <w:color w:val="auto"/>
                <w:sz w:val="20"/>
                <w:szCs w:val="20"/>
                <w:highlight w:val="none"/>
                <w:u w:val="none"/>
              </w:rPr>
            </w:pPr>
          </w:p>
        </w:tc>
      </w:tr>
      <w:tr w14:paraId="2CE891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63" w:type="dxa"/>
          <w:trHeight w:val="225" w:hRule="atLeast"/>
        </w:trPr>
        <w:tc>
          <w:tcPr>
            <w:tcW w:w="10995" w:type="dxa"/>
            <w:gridSpan w:val="15"/>
            <w:tcBorders>
              <w:top w:val="nil"/>
              <w:left w:val="nil"/>
              <w:bottom w:val="nil"/>
              <w:right w:val="nil"/>
            </w:tcBorders>
            <w:shd w:val="clear" w:color="FFFFFF" w:fill="FFFFFF"/>
            <w:vAlign w:val="center"/>
          </w:tcPr>
          <w:p w14:paraId="06D597C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【表10.2.2-16】</w:t>
            </w:r>
          </w:p>
        </w:tc>
        <w:tc>
          <w:tcPr>
            <w:tcW w:w="3405" w:type="dxa"/>
            <w:gridSpan w:val="8"/>
            <w:tcBorders>
              <w:top w:val="nil"/>
              <w:left w:val="nil"/>
              <w:bottom w:val="nil"/>
              <w:right w:val="nil"/>
            </w:tcBorders>
            <w:shd w:val="clear" w:color="FFFFFF" w:fill="FFFFFF"/>
            <w:vAlign w:val="center"/>
          </w:tcPr>
          <w:p w14:paraId="21ECF92D">
            <w:pPr>
              <w:jc w:val="right"/>
              <w:rPr>
                <w:rFonts w:hint="eastAsia" w:ascii="宋体" w:hAnsi="宋体" w:eastAsia="宋体" w:cs="宋体"/>
                <w:i w:val="0"/>
                <w:iCs w:val="0"/>
                <w:color w:val="auto"/>
                <w:sz w:val="18"/>
                <w:szCs w:val="18"/>
                <w:highlight w:val="none"/>
                <w:u w:val="none"/>
              </w:rPr>
            </w:pPr>
          </w:p>
        </w:tc>
      </w:tr>
      <w:tr w14:paraId="7BF043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63" w:type="dxa"/>
          <w:trHeight w:val="510" w:hRule="atLeast"/>
        </w:trPr>
        <w:tc>
          <w:tcPr>
            <w:tcW w:w="14400" w:type="dxa"/>
            <w:gridSpan w:val="23"/>
            <w:tcBorders>
              <w:top w:val="nil"/>
              <w:left w:val="nil"/>
              <w:bottom w:val="nil"/>
              <w:right w:val="nil"/>
            </w:tcBorders>
            <w:shd w:val="clear" w:color="FFFFFF" w:fill="FFFFFF"/>
            <w:vAlign w:val="center"/>
          </w:tcPr>
          <w:p w14:paraId="0D11AED2">
            <w:pPr>
              <w:keepNext w:val="0"/>
              <w:keepLines w:val="0"/>
              <w:widowControl/>
              <w:suppressLineNumbers w:val="0"/>
              <w:jc w:val="center"/>
              <w:textAlignment w:val="center"/>
              <w:rPr>
                <w:rFonts w:hint="eastAsia" w:ascii="宋体" w:hAnsi="宋体" w:eastAsia="宋体" w:cs="宋体"/>
                <w:b/>
                <w:bCs/>
                <w:i w:val="0"/>
                <w:iCs w:val="0"/>
                <w:color w:val="auto"/>
                <w:sz w:val="40"/>
                <w:szCs w:val="40"/>
                <w:highlight w:val="none"/>
                <w:u w:val="none"/>
              </w:rPr>
            </w:pPr>
            <w:r>
              <w:rPr>
                <w:rFonts w:hint="eastAsia" w:ascii="宋体" w:hAnsi="宋体" w:eastAsia="宋体" w:cs="宋体"/>
                <w:b/>
                <w:bCs/>
                <w:i w:val="0"/>
                <w:iCs w:val="0"/>
                <w:color w:val="auto"/>
                <w:kern w:val="0"/>
                <w:sz w:val="40"/>
                <w:szCs w:val="40"/>
                <w:highlight w:val="none"/>
                <w:u w:val="none"/>
                <w:lang w:val="en-US" w:eastAsia="zh-CN" w:bidi="ar"/>
              </w:rPr>
              <w:t>分部分项工程清单与计价表</w:t>
            </w:r>
          </w:p>
        </w:tc>
      </w:tr>
      <w:tr w14:paraId="26E771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63" w:type="dxa"/>
          <w:trHeight w:val="255" w:hRule="atLeast"/>
        </w:trPr>
        <w:tc>
          <w:tcPr>
            <w:tcW w:w="3465" w:type="dxa"/>
            <w:gridSpan w:val="4"/>
            <w:tcBorders>
              <w:top w:val="nil"/>
              <w:left w:val="nil"/>
              <w:bottom w:val="nil"/>
              <w:right w:val="nil"/>
            </w:tcBorders>
            <w:shd w:val="clear" w:color="FFFFFF" w:fill="FFFFFF"/>
            <w:vAlign w:val="bottom"/>
          </w:tcPr>
          <w:p w14:paraId="55FAB4D0">
            <w:pPr>
              <w:keepNext w:val="0"/>
              <w:keepLines w:val="0"/>
              <w:widowControl/>
              <w:suppressLineNumbers w:val="0"/>
              <w:jc w:val="lef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工程名称：单项工程-配套用房安装工程</w:t>
            </w:r>
          </w:p>
        </w:tc>
        <w:tc>
          <w:tcPr>
            <w:tcW w:w="7530" w:type="dxa"/>
            <w:gridSpan w:val="11"/>
            <w:tcBorders>
              <w:top w:val="nil"/>
              <w:left w:val="nil"/>
              <w:bottom w:val="nil"/>
              <w:right w:val="nil"/>
            </w:tcBorders>
            <w:shd w:val="clear" w:color="FFFFFF" w:fill="FFFFFF"/>
            <w:vAlign w:val="bottom"/>
          </w:tcPr>
          <w:p w14:paraId="50044F5B">
            <w:pPr>
              <w:keepNext w:val="0"/>
              <w:keepLines w:val="0"/>
              <w:widowControl/>
              <w:suppressLineNumbers w:val="0"/>
              <w:jc w:val="lef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标段：</w:t>
            </w:r>
          </w:p>
        </w:tc>
        <w:tc>
          <w:tcPr>
            <w:tcW w:w="3405" w:type="dxa"/>
            <w:gridSpan w:val="8"/>
            <w:tcBorders>
              <w:top w:val="nil"/>
              <w:left w:val="nil"/>
              <w:bottom w:val="nil"/>
              <w:right w:val="nil"/>
            </w:tcBorders>
            <w:shd w:val="clear" w:color="FFFFFF" w:fill="FFFFFF"/>
            <w:vAlign w:val="bottom"/>
          </w:tcPr>
          <w:p w14:paraId="49F0CED8">
            <w:pPr>
              <w:keepNext w:val="0"/>
              <w:keepLines w:val="0"/>
              <w:widowControl/>
              <w:suppressLineNumbers w:val="0"/>
              <w:jc w:val="righ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第 4 页  共 7 页</w:t>
            </w:r>
          </w:p>
        </w:tc>
      </w:tr>
      <w:tr w14:paraId="2007C1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63" w:type="dxa"/>
          <w:trHeight w:val="240" w:hRule="atLeast"/>
        </w:trPr>
        <w:tc>
          <w:tcPr>
            <w:tcW w:w="555"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4DD92FC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序号</w:t>
            </w:r>
          </w:p>
        </w:tc>
        <w:tc>
          <w:tcPr>
            <w:tcW w:w="141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1E2EA55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项目编码</w:t>
            </w:r>
          </w:p>
        </w:tc>
        <w:tc>
          <w:tcPr>
            <w:tcW w:w="1500"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C7F782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项目名称</w:t>
            </w:r>
          </w:p>
        </w:tc>
        <w:tc>
          <w:tcPr>
            <w:tcW w:w="3600"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758DC3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项目特征</w:t>
            </w:r>
          </w:p>
        </w:tc>
        <w:tc>
          <w:tcPr>
            <w:tcW w:w="750"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ED3292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计量单位</w:t>
            </w:r>
          </w:p>
        </w:tc>
        <w:tc>
          <w:tcPr>
            <w:tcW w:w="1110"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49A196D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工程量</w:t>
            </w:r>
          </w:p>
        </w:tc>
        <w:tc>
          <w:tcPr>
            <w:tcW w:w="4725" w:type="dxa"/>
            <w:gridSpan w:val="11"/>
            <w:tcBorders>
              <w:top w:val="single" w:color="000000" w:sz="8" w:space="0"/>
              <w:left w:val="single" w:color="000000" w:sz="4" w:space="0"/>
              <w:bottom w:val="single" w:color="000000" w:sz="4" w:space="0"/>
              <w:right w:val="single" w:color="000000" w:sz="4" w:space="0"/>
            </w:tcBorders>
            <w:shd w:val="clear" w:color="FFFFFF" w:fill="FFFFFF"/>
            <w:vAlign w:val="center"/>
          </w:tcPr>
          <w:p w14:paraId="3D70E67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金额（元）</w:t>
            </w:r>
          </w:p>
        </w:tc>
        <w:tc>
          <w:tcPr>
            <w:tcW w:w="750" w:type="dxa"/>
            <w:gridSpan w:val="2"/>
            <w:vMerge w:val="restart"/>
            <w:tcBorders>
              <w:top w:val="single" w:color="000000" w:sz="8" w:space="0"/>
              <w:left w:val="single" w:color="000000" w:sz="4" w:space="0"/>
              <w:bottom w:val="single" w:color="000000" w:sz="4" w:space="0"/>
              <w:right w:val="single" w:color="000000" w:sz="8" w:space="0"/>
            </w:tcBorders>
            <w:shd w:val="clear" w:color="FFFFFF" w:fill="FFFFFF"/>
            <w:vAlign w:val="center"/>
          </w:tcPr>
          <w:p w14:paraId="2A2A4A4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备注</w:t>
            </w:r>
          </w:p>
        </w:tc>
      </w:tr>
      <w:tr w14:paraId="4DF8C0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63" w:type="dxa"/>
          <w:trHeight w:val="240" w:hRule="atLeast"/>
        </w:trPr>
        <w:tc>
          <w:tcPr>
            <w:tcW w:w="555"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1E59C4A4">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141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5413878">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1500"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CFD21B4">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3600"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D665C6B">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750"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42DE6C8">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1110"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F7CEB72">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1230" w:type="dxa"/>
            <w:gridSpan w:val="2"/>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5B3A84B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综合单价</w:t>
            </w:r>
          </w:p>
        </w:tc>
        <w:tc>
          <w:tcPr>
            <w:tcW w:w="840" w:type="dxa"/>
            <w:gridSpan w:val="3"/>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7FD23D8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合价</w:t>
            </w:r>
          </w:p>
        </w:tc>
        <w:tc>
          <w:tcPr>
            <w:tcW w:w="2655" w:type="dxa"/>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1C696D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其中</w:t>
            </w:r>
          </w:p>
        </w:tc>
        <w:tc>
          <w:tcPr>
            <w:tcW w:w="750" w:type="dxa"/>
            <w:gridSpan w:val="2"/>
            <w:vMerge w:val="continue"/>
            <w:tcBorders>
              <w:top w:val="single" w:color="000000" w:sz="8" w:space="0"/>
              <w:left w:val="single" w:color="000000" w:sz="4" w:space="0"/>
              <w:bottom w:val="single" w:color="000000" w:sz="4" w:space="0"/>
              <w:right w:val="single" w:color="000000" w:sz="8" w:space="0"/>
            </w:tcBorders>
            <w:shd w:val="clear" w:color="FFFFFF" w:fill="FFFFFF"/>
            <w:vAlign w:val="center"/>
          </w:tcPr>
          <w:p w14:paraId="791682CC">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r>
      <w:tr w14:paraId="319BFD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63" w:type="dxa"/>
          <w:trHeight w:val="240" w:hRule="atLeast"/>
        </w:trPr>
        <w:tc>
          <w:tcPr>
            <w:tcW w:w="555"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07B5E064">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141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CFDA201">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1500"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D864960">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3600"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DB7E5EB">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750"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56DA53E">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1110"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531499A">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1230" w:type="dxa"/>
            <w:gridSpan w:val="2"/>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5F61A1B8">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840" w:type="dxa"/>
            <w:gridSpan w:val="3"/>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35D2412F">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73CAA5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人工费</w:t>
            </w: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3B942B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机械费</w:t>
            </w: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2B9E99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暂估价</w:t>
            </w:r>
          </w:p>
        </w:tc>
        <w:tc>
          <w:tcPr>
            <w:tcW w:w="750" w:type="dxa"/>
            <w:gridSpan w:val="2"/>
            <w:vMerge w:val="continue"/>
            <w:tcBorders>
              <w:top w:val="single" w:color="000000" w:sz="8" w:space="0"/>
              <w:left w:val="single" w:color="000000" w:sz="4" w:space="0"/>
              <w:bottom w:val="single" w:color="000000" w:sz="4" w:space="0"/>
              <w:right w:val="single" w:color="000000" w:sz="8" w:space="0"/>
            </w:tcBorders>
            <w:shd w:val="clear" w:color="FFFFFF" w:fill="FFFFFF"/>
            <w:vAlign w:val="center"/>
          </w:tcPr>
          <w:p w14:paraId="73DD1239">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iCs w:val="0"/>
                <w:color w:val="auto"/>
                <w:sz w:val="20"/>
                <w:szCs w:val="20"/>
                <w:highlight w:val="none"/>
                <w:u w:val="none"/>
              </w:rPr>
            </w:pPr>
          </w:p>
        </w:tc>
      </w:tr>
      <w:tr w14:paraId="48D1A5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63" w:type="dxa"/>
          <w:trHeight w:val="48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FCED3A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FFD8A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030404034004</w:t>
            </w:r>
          </w:p>
        </w:tc>
        <w:tc>
          <w:tcPr>
            <w:tcW w:w="15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D40304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照明开关</w:t>
            </w:r>
          </w:p>
        </w:tc>
        <w:tc>
          <w:tcPr>
            <w:tcW w:w="36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734B4C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1.名称:风机控制按钮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2.安装方式:暗装</w:t>
            </w:r>
          </w:p>
        </w:tc>
        <w:tc>
          <w:tcPr>
            <w:tcW w:w="7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10067E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1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146715C">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2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066D250">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3213CA52">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F73AF91">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69218F3">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6D00C3D">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5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3A63E527">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4900ED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63" w:type="dxa"/>
          <w:trHeight w:val="96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BD8FE0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B87126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030408002001</w:t>
            </w:r>
          </w:p>
        </w:tc>
        <w:tc>
          <w:tcPr>
            <w:tcW w:w="15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199540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控制电缆</w:t>
            </w:r>
          </w:p>
        </w:tc>
        <w:tc>
          <w:tcPr>
            <w:tcW w:w="36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C011F7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1.名称:控制电缆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2.规格:NH-KVV5*2.5</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3.材质:铜芯</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4.敷设方式、部位:管内敷设</w:t>
            </w:r>
          </w:p>
        </w:tc>
        <w:tc>
          <w:tcPr>
            <w:tcW w:w="7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AD25F9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1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DD34528">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5.5</w:t>
            </w:r>
          </w:p>
        </w:tc>
        <w:tc>
          <w:tcPr>
            <w:tcW w:w="12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375385A">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474EBE28">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2669DCF">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092D7B9">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6E04F34">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5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09F0AD21">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39F324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63" w:type="dxa"/>
          <w:trHeight w:val="120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13D77F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C4DEAE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030411001001</w:t>
            </w:r>
          </w:p>
        </w:tc>
        <w:tc>
          <w:tcPr>
            <w:tcW w:w="15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6F426C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配管</w:t>
            </w:r>
          </w:p>
        </w:tc>
        <w:tc>
          <w:tcPr>
            <w:tcW w:w="36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C3CADD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1.名称:配管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2.材质:镀锌钢管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3.厚度:国标</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4.规格:DN20</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5.配置形式:砖、混凝土结构明配</w:t>
            </w:r>
          </w:p>
        </w:tc>
        <w:tc>
          <w:tcPr>
            <w:tcW w:w="7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149C53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1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3E07E0A">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297</w:t>
            </w:r>
          </w:p>
        </w:tc>
        <w:tc>
          <w:tcPr>
            <w:tcW w:w="12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F44F0CC">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407F7566">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9C05F2B">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6E6E111">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F5FA76E">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5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7C42FFA8">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4032AA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63" w:type="dxa"/>
          <w:trHeight w:val="120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30C5B9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758EDB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030411001002</w:t>
            </w:r>
          </w:p>
        </w:tc>
        <w:tc>
          <w:tcPr>
            <w:tcW w:w="15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D51682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配管</w:t>
            </w:r>
          </w:p>
        </w:tc>
        <w:tc>
          <w:tcPr>
            <w:tcW w:w="36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6978FB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1.名称:配管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2.材质:镀锌钢管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3.厚度:国标</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4.规格:DN25</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5.配置形式:砖、混凝土结构暗配</w:t>
            </w:r>
          </w:p>
        </w:tc>
        <w:tc>
          <w:tcPr>
            <w:tcW w:w="7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F1AF23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1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92C6404">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58</w:t>
            </w:r>
          </w:p>
        </w:tc>
        <w:tc>
          <w:tcPr>
            <w:tcW w:w="12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AA7DED2">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EBCB2D1">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FA73735">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5FA2F97">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47E6068">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5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1E02E032">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6ADDA6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63" w:type="dxa"/>
          <w:trHeight w:val="120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FF9EDC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B1CAF4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030411001003</w:t>
            </w:r>
          </w:p>
        </w:tc>
        <w:tc>
          <w:tcPr>
            <w:tcW w:w="15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D0CED0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配管</w:t>
            </w:r>
          </w:p>
        </w:tc>
        <w:tc>
          <w:tcPr>
            <w:tcW w:w="36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41F269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1.名称:配管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2.材质:镀锌钢管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3.厚度:国标</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4.规格:DN40</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5.配置形式:埋地敷设</w:t>
            </w:r>
          </w:p>
        </w:tc>
        <w:tc>
          <w:tcPr>
            <w:tcW w:w="7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375764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1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CB0A071">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50</w:t>
            </w:r>
          </w:p>
        </w:tc>
        <w:tc>
          <w:tcPr>
            <w:tcW w:w="12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90B8777">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4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6D58D9DB">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B1F400C">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B0A73AD">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4138831">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50"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38194128">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5950DE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63" w:type="dxa"/>
          <w:trHeight w:val="255" w:hRule="atLeast"/>
        </w:trPr>
        <w:tc>
          <w:tcPr>
            <w:tcW w:w="10155" w:type="dxa"/>
            <w:gridSpan w:val="12"/>
            <w:tcBorders>
              <w:top w:val="single" w:color="000000" w:sz="4" w:space="0"/>
              <w:left w:val="single" w:color="000000" w:sz="8" w:space="0"/>
              <w:bottom w:val="single" w:color="000000" w:sz="8" w:space="0"/>
              <w:right w:val="single" w:color="000000" w:sz="4" w:space="0"/>
            </w:tcBorders>
            <w:shd w:val="clear" w:color="FFFFFF" w:fill="FFFFFF"/>
            <w:vAlign w:val="center"/>
          </w:tcPr>
          <w:p w14:paraId="5E44AD0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本页小计</w:t>
            </w:r>
          </w:p>
        </w:tc>
        <w:tc>
          <w:tcPr>
            <w:tcW w:w="840" w:type="dxa"/>
            <w:gridSpan w:val="3"/>
            <w:tcBorders>
              <w:top w:val="single" w:color="000000" w:sz="4" w:space="0"/>
              <w:left w:val="single" w:color="000000" w:sz="4" w:space="0"/>
              <w:bottom w:val="single" w:color="000000" w:sz="8" w:space="0"/>
              <w:right w:val="single" w:color="000000" w:sz="4" w:space="0"/>
            </w:tcBorders>
            <w:shd w:val="clear" w:color="FFFFFF" w:fill="FFFFFF"/>
            <w:vAlign w:val="center"/>
          </w:tcPr>
          <w:p w14:paraId="6E856ED4">
            <w:pPr>
              <w:jc w:val="left"/>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14:paraId="5A6B13F9">
            <w:pPr>
              <w:jc w:val="left"/>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14:paraId="3DC4570B">
            <w:pPr>
              <w:jc w:val="left"/>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14:paraId="3BC93E64">
            <w:pPr>
              <w:jc w:val="left"/>
              <w:rPr>
                <w:rFonts w:hint="eastAsia" w:ascii="宋体" w:hAnsi="宋体" w:eastAsia="宋体" w:cs="宋体"/>
                <w:i w:val="0"/>
                <w:iCs w:val="0"/>
                <w:color w:val="auto"/>
                <w:sz w:val="20"/>
                <w:szCs w:val="20"/>
                <w:highlight w:val="none"/>
                <w:u w:val="none"/>
              </w:rPr>
            </w:pPr>
          </w:p>
        </w:tc>
        <w:tc>
          <w:tcPr>
            <w:tcW w:w="750" w:type="dxa"/>
            <w:gridSpan w:val="2"/>
            <w:tcBorders>
              <w:top w:val="single" w:color="000000" w:sz="4" w:space="0"/>
              <w:left w:val="single" w:color="000000" w:sz="4" w:space="0"/>
              <w:bottom w:val="single" w:color="000000" w:sz="8" w:space="0"/>
              <w:right w:val="single" w:color="000000" w:sz="8" w:space="0"/>
            </w:tcBorders>
            <w:shd w:val="clear" w:color="FFFFFF" w:fill="FFFFFF"/>
            <w:vAlign w:val="center"/>
          </w:tcPr>
          <w:p w14:paraId="5DA02B35">
            <w:pPr>
              <w:jc w:val="left"/>
              <w:rPr>
                <w:rFonts w:hint="eastAsia" w:ascii="宋体" w:hAnsi="宋体" w:eastAsia="宋体" w:cs="宋体"/>
                <w:i w:val="0"/>
                <w:iCs w:val="0"/>
                <w:color w:val="auto"/>
                <w:sz w:val="20"/>
                <w:szCs w:val="20"/>
                <w:highlight w:val="none"/>
                <w:u w:val="none"/>
              </w:rPr>
            </w:pPr>
          </w:p>
        </w:tc>
      </w:tr>
    </w:tbl>
    <w:p w14:paraId="6C6AB5E1">
      <w:pPr>
        <w:widowControl w:val="0"/>
        <w:spacing w:after="120" w:afterLines="0" w:afterAutospacing="0"/>
        <w:ind w:left="0" w:leftChars="0" w:firstLine="0" w:firstLineChars="0"/>
        <w:jc w:val="both"/>
        <w:rPr>
          <w:rFonts w:ascii="等线" w:hAnsi="等线" w:eastAsia="宋体" w:cs="Times New Roman"/>
          <w:color w:val="auto"/>
          <w:kern w:val="2"/>
          <w:sz w:val="21"/>
          <w:szCs w:val="24"/>
          <w:highlight w:val="none"/>
          <w:lang w:val="en-US" w:eastAsia="zh-CN" w:bidi="ar-SA"/>
        </w:rPr>
      </w:pPr>
    </w:p>
    <w:tbl>
      <w:tblPr>
        <w:tblStyle w:val="23"/>
        <w:tblW w:w="144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55"/>
        <w:gridCol w:w="1416"/>
        <w:gridCol w:w="6"/>
        <w:gridCol w:w="6"/>
        <w:gridCol w:w="1487"/>
        <w:gridCol w:w="5"/>
        <w:gridCol w:w="4"/>
        <w:gridCol w:w="3589"/>
        <w:gridCol w:w="3"/>
        <w:gridCol w:w="3"/>
        <w:gridCol w:w="744"/>
        <w:gridCol w:w="3"/>
        <w:gridCol w:w="3"/>
        <w:gridCol w:w="1103"/>
        <w:gridCol w:w="4"/>
        <w:gridCol w:w="1225"/>
        <w:gridCol w:w="3"/>
        <w:gridCol w:w="836"/>
        <w:gridCol w:w="2"/>
        <w:gridCol w:w="883"/>
        <w:gridCol w:w="884"/>
        <w:gridCol w:w="884"/>
        <w:gridCol w:w="752"/>
      </w:tblGrid>
      <w:tr w14:paraId="4FAECA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 w:hRule="atLeast"/>
        </w:trPr>
        <w:tc>
          <w:tcPr>
            <w:tcW w:w="10997" w:type="dxa"/>
            <w:gridSpan w:val="19"/>
            <w:tcBorders>
              <w:top w:val="nil"/>
              <w:left w:val="nil"/>
              <w:bottom w:val="nil"/>
              <w:right w:val="nil"/>
            </w:tcBorders>
            <w:shd w:val="clear" w:color="FFFFFF" w:fill="FFFFFF"/>
            <w:vAlign w:val="center"/>
          </w:tcPr>
          <w:p w14:paraId="6D048FF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【表10.2.2-16】</w:t>
            </w:r>
          </w:p>
        </w:tc>
        <w:tc>
          <w:tcPr>
            <w:tcW w:w="3403" w:type="dxa"/>
            <w:gridSpan w:val="4"/>
            <w:tcBorders>
              <w:top w:val="nil"/>
              <w:left w:val="nil"/>
              <w:bottom w:val="nil"/>
              <w:right w:val="nil"/>
            </w:tcBorders>
            <w:shd w:val="clear" w:color="FFFFFF" w:fill="FFFFFF"/>
            <w:vAlign w:val="center"/>
          </w:tcPr>
          <w:p w14:paraId="1353DA22">
            <w:pPr>
              <w:jc w:val="right"/>
              <w:rPr>
                <w:rFonts w:hint="eastAsia" w:ascii="宋体" w:hAnsi="宋体" w:eastAsia="宋体" w:cs="宋体"/>
                <w:i w:val="0"/>
                <w:iCs w:val="0"/>
                <w:color w:val="auto"/>
                <w:sz w:val="18"/>
                <w:szCs w:val="18"/>
                <w:highlight w:val="none"/>
                <w:u w:val="none"/>
              </w:rPr>
            </w:pPr>
          </w:p>
        </w:tc>
      </w:tr>
      <w:tr w14:paraId="2D8FFA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14400" w:type="dxa"/>
            <w:gridSpan w:val="23"/>
            <w:tcBorders>
              <w:top w:val="nil"/>
              <w:left w:val="nil"/>
              <w:bottom w:val="nil"/>
              <w:right w:val="nil"/>
            </w:tcBorders>
            <w:shd w:val="clear" w:color="FFFFFF" w:fill="FFFFFF"/>
            <w:vAlign w:val="center"/>
          </w:tcPr>
          <w:p w14:paraId="1E1F7675">
            <w:pPr>
              <w:keepNext w:val="0"/>
              <w:keepLines w:val="0"/>
              <w:widowControl/>
              <w:suppressLineNumbers w:val="0"/>
              <w:jc w:val="center"/>
              <w:textAlignment w:val="center"/>
              <w:rPr>
                <w:rFonts w:hint="eastAsia" w:ascii="宋体" w:hAnsi="宋体" w:eastAsia="宋体" w:cs="宋体"/>
                <w:b/>
                <w:bCs/>
                <w:i w:val="0"/>
                <w:iCs w:val="0"/>
                <w:color w:val="auto"/>
                <w:sz w:val="40"/>
                <w:szCs w:val="40"/>
                <w:highlight w:val="none"/>
                <w:u w:val="none"/>
              </w:rPr>
            </w:pPr>
            <w:r>
              <w:rPr>
                <w:rFonts w:hint="eastAsia" w:ascii="宋体" w:hAnsi="宋体" w:eastAsia="宋体" w:cs="宋体"/>
                <w:b/>
                <w:bCs/>
                <w:i w:val="0"/>
                <w:iCs w:val="0"/>
                <w:color w:val="auto"/>
                <w:kern w:val="0"/>
                <w:sz w:val="40"/>
                <w:szCs w:val="40"/>
                <w:highlight w:val="none"/>
                <w:u w:val="none"/>
                <w:lang w:val="en-US" w:eastAsia="zh-CN" w:bidi="ar"/>
              </w:rPr>
              <w:t>分部分项工程清单与计价表</w:t>
            </w:r>
          </w:p>
        </w:tc>
      </w:tr>
      <w:tr w14:paraId="0305D8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3479" w:type="dxa"/>
            <w:gridSpan w:val="7"/>
            <w:tcBorders>
              <w:top w:val="nil"/>
              <w:left w:val="nil"/>
              <w:bottom w:val="nil"/>
              <w:right w:val="nil"/>
            </w:tcBorders>
            <w:shd w:val="clear" w:color="FFFFFF" w:fill="FFFFFF"/>
            <w:vAlign w:val="bottom"/>
          </w:tcPr>
          <w:p w14:paraId="4D018650">
            <w:pPr>
              <w:keepNext w:val="0"/>
              <w:keepLines w:val="0"/>
              <w:widowControl/>
              <w:suppressLineNumbers w:val="0"/>
              <w:jc w:val="lef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工程名称：单项工程-配套用房安装工程</w:t>
            </w:r>
          </w:p>
        </w:tc>
        <w:tc>
          <w:tcPr>
            <w:tcW w:w="7518" w:type="dxa"/>
            <w:gridSpan w:val="12"/>
            <w:tcBorders>
              <w:top w:val="nil"/>
              <w:left w:val="nil"/>
              <w:bottom w:val="nil"/>
              <w:right w:val="nil"/>
            </w:tcBorders>
            <w:shd w:val="clear" w:color="FFFFFF" w:fill="FFFFFF"/>
            <w:vAlign w:val="bottom"/>
          </w:tcPr>
          <w:p w14:paraId="09EFDF93">
            <w:pPr>
              <w:keepNext w:val="0"/>
              <w:keepLines w:val="0"/>
              <w:widowControl/>
              <w:suppressLineNumbers w:val="0"/>
              <w:jc w:val="lef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标段：</w:t>
            </w:r>
          </w:p>
        </w:tc>
        <w:tc>
          <w:tcPr>
            <w:tcW w:w="3403" w:type="dxa"/>
            <w:gridSpan w:val="4"/>
            <w:tcBorders>
              <w:top w:val="nil"/>
              <w:left w:val="nil"/>
              <w:bottom w:val="nil"/>
              <w:right w:val="nil"/>
            </w:tcBorders>
            <w:shd w:val="clear" w:color="FFFFFF" w:fill="FFFFFF"/>
            <w:vAlign w:val="bottom"/>
          </w:tcPr>
          <w:p w14:paraId="037BC437">
            <w:pPr>
              <w:keepNext w:val="0"/>
              <w:keepLines w:val="0"/>
              <w:widowControl/>
              <w:suppressLineNumbers w:val="0"/>
              <w:jc w:val="righ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第 5 页  共 7 页</w:t>
            </w:r>
          </w:p>
        </w:tc>
      </w:tr>
      <w:tr w14:paraId="3EC115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555"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17E1E89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序号</w:t>
            </w:r>
          </w:p>
        </w:tc>
        <w:tc>
          <w:tcPr>
            <w:tcW w:w="1428" w:type="dxa"/>
            <w:gridSpan w:val="3"/>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32A0464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项目编码</w:t>
            </w:r>
          </w:p>
        </w:tc>
        <w:tc>
          <w:tcPr>
            <w:tcW w:w="1496" w:type="dxa"/>
            <w:gridSpan w:val="3"/>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574F870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项目名称</w:t>
            </w:r>
          </w:p>
        </w:tc>
        <w:tc>
          <w:tcPr>
            <w:tcW w:w="3595" w:type="dxa"/>
            <w:gridSpan w:val="3"/>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23EA71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项目特征</w:t>
            </w:r>
          </w:p>
        </w:tc>
        <w:tc>
          <w:tcPr>
            <w:tcW w:w="750" w:type="dxa"/>
            <w:gridSpan w:val="3"/>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4FA6C2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计量单位</w:t>
            </w:r>
          </w:p>
        </w:tc>
        <w:tc>
          <w:tcPr>
            <w:tcW w:w="1107"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64E9DDF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工程量</w:t>
            </w:r>
          </w:p>
        </w:tc>
        <w:tc>
          <w:tcPr>
            <w:tcW w:w="4717" w:type="dxa"/>
            <w:gridSpan w:val="7"/>
            <w:tcBorders>
              <w:top w:val="single" w:color="000000" w:sz="8" w:space="0"/>
              <w:left w:val="single" w:color="000000" w:sz="4" w:space="0"/>
              <w:bottom w:val="single" w:color="000000" w:sz="4" w:space="0"/>
              <w:right w:val="single" w:color="000000" w:sz="4" w:space="0"/>
            </w:tcBorders>
            <w:shd w:val="clear" w:color="FFFFFF" w:fill="FFFFFF"/>
            <w:vAlign w:val="center"/>
          </w:tcPr>
          <w:p w14:paraId="5AD21AD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金额（元）</w:t>
            </w:r>
          </w:p>
        </w:tc>
        <w:tc>
          <w:tcPr>
            <w:tcW w:w="752" w:type="dxa"/>
            <w:vMerge w:val="restart"/>
            <w:tcBorders>
              <w:top w:val="single" w:color="000000" w:sz="8" w:space="0"/>
              <w:left w:val="single" w:color="000000" w:sz="4" w:space="0"/>
              <w:bottom w:val="single" w:color="000000" w:sz="4" w:space="0"/>
              <w:right w:val="single" w:color="000000" w:sz="8" w:space="0"/>
            </w:tcBorders>
            <w:shd w:val="clear" w:color="FFFFFF" w:fill="FFFFFF"/>
            <w:vAlign w:val="center"/>
          </w:tcPr>
          <w:p w14:paraId="5F9AC57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备注</w:t>
            </w:r>
          </w:p>
        </w:tc>
      </w:tr>
      <w:tr w14:paraId="4D3FB2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555"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2881B244">
            <w:pPr>
              <w:jc w:val="center"/>
              <w:rPr>
                <w:rFonts w:hint="eastAsia" w:ascii="宋体" w:hAnsi="宋体" w:eastAsia="宋体" w:cs="宋体"/>
                <w:i w:val="0"/>
                <w:iCs w:val="0"/>
                <w:color w:val="auto"/>
                <w:sz w:val="20"/>
                <w:szCs w:val="20"/>
                <w:highlight w:val="none"/>
                <w:u w:val="none"/>
              </w:rPr>
            </w:pPr>
          </w:p>
        </w:tc>
        <w:tc>
          <w:tcPr>
            <w:tcW w:w="1428" w:type="dxa"/>
            <w:gridSpan w:val="3"/>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7B19751">
            <w:pPr>
              <w:jc w:val="center"/>
              <w:rPr>
                <w:rFonts w:hint="eastAsia" w:ascii="宋体" w:hAnsi="宋体" w:eastAsia="宋体" w:cs="宋体"/>
                <w:i w:val="0"/>
                <w:iCs w:val="0"/>
                <w:color w:val="auto"/>
                <w:sz w:val="20"/>
                <w:szCs w:val="20"/>
                <w:highlight w:val="none"/>
                <w:u w:val="none"/>
              </w:rPr>
            </w:pPr>
          </w:p>
        </w:tc>
        <w:tc>
          <w:tcPr>
            <w:tcW w:w="1496" w:type="dxa"/>
            <w:gridSpan w:val="3"/>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274A24C">
            <w:pPr>
              <w:jc w:val="center"/>
              <w:rPr>
                <w:rFonts w:hint="eastAsia" w:ascii="宋体" w:hAnsi="宋体" w:eastAsia="宋体" w:cs="宋体"/>
                <w:i w:val="0"/>
                <w:iCs w:val="0"/>
                <w:color w:val="auto"/>
                <w:sz w:val="20"/>
                <w:szCs w:val="20"/>
                <w:highlight w:val="none"/>
                <w:u w:val="none"/>
              </w:rPr>
            </w:pPr>
          </w:p>
        </w:tc>
        <w:tc>
          <w:tcPr>
            <w:tcW w:w="3595" w:type="dxa"/>
            <w:gridSpan w:val="3"/>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24FB444">
            <w:pPr>
              <w:jc w:val="center"/>
              <w:rPr>
                <w:rFonts w:hint="eastAsia" w:ascii="宋体" w:hAnsi="宋体" w:eastAsia="宋体" w:cs="宋体"/>
                <w:i w:val="0"/>
                <w:iCs w:val="0"/>
                <w:color w:val="auto"/>
                <w:sz w:val="20"/>
                <w:szCs w:val="20"/>
                <w:highlight w:val="none"/>
                <w:u w:val="none"/>
              </w:rPr>
            </w:pPr>
          </w:p>
        </w:tc>
        <w:tc>
          <w:tcPr>
            <w:tcW w:w="750" w:type="dxa"/>
            <w:gridSpan w:val="3"/>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A032A82">
            <w:pPr>
              <w:jc w:val="center"/>
              <w:rPr>
                <w:rFonts w:hint="eastAsia" w:ascii="宋体" w:hAnsi="宋体" w:eastAsia="宋体" w:cs="宋体"/>
                <w:i w:val="0"/>
                <w:iCs w:val="0"/>
                <w:color w:val="auto"/>
                <w:sz w:val="20"/>
                <w:szCs w:val="20"/>
                <w:highlight w:val="none"/>
                <w:u w:val="none"/>
              </w:rPr>
            </w:pPr>
          </w:p>
        </w:tc>
        <w:tc>
          <w:tcPr>
            <w:tcW w:w="1107"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C5916C0">
            <w:pPr>
              <w:jc w:val="center"/>
              <w:rPr>
                <w:rFonts w:hint="eastAsia" w:ascii="宋体" w:hAnsi="宋体" w:eastAsia="宋体" w:cs="宋体"/>
                <w:i w:val="0"/>
                <w:iCs w:val="0"/>
                <w:color w:val="auto"/>
                <w:sz w:val="20"/>
                <w:szCs w:val="20"/>
                <w:highlight w:val="none"/>
                <w:u w:val="none"/>
              </w:rPr>
            </w:pPr>
          </w:p>
        </w:tc>
        <w:tc>
          <w:tcPr>
            <w:tcW w:w="1228" w:type="dxa"/>
            <w:gridSpan w:val="2"/>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77AB887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综合单价</w:t>
            </w:r>
          </w:p>
        </w:tc>
        <w:tc>
          <w:tcPr>
            <w:tcW w:w="838" w:type="dxa"/>
            <w:gridSpan w:val="2"/>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0CF31B4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合价</w:t>
            </w:r>
          </w:p>
        </w:tc>
        <w:tc>
          <w:tcPr>
            <w:tcW w:w="2651"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5DFCD13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其中</w:t>
            </w:r>
          </w:p>
        </w:tc>
        <w:tc>
          <w:tcPr>
            <w:tcW w:w="752" w:type="dxa"/>
            <w:vMerge w:val="continue"/>
            <w:tcBorders>
              <w:top w:val="single" w:color="000000" w:sz="8" w:space="0"/>
              <w:left w:val="single" w:color="000000" w:sz="4" w:space="0"/>
              <w:bottom w:val="single" w:color="000000" w:sz="4" w:space="0"/>
              <w:right w:val="single" w:color="000000" w:sz="8" w:space="0"/>
            </w:tcBorders>
            <w:shd w:val="clear" w:color="FFFFFF" w:fill="FFFFFF"/>
            <w:vAlign w:val="center"/>
          </w:tcPr>
          <w:p w14:paraId="697A5154">
            <w:pPr>
              <w:jc w:val="center"/>
              <w:rPr>
                <w:rFonts w:hint="eastAsia" w:ascii="宋体" w:hAnsi="宋体" w:eastAsia="宋体" w:cs="宋体"/>
                <w:i w:val="0"/>
                <w:iCs w:val="0"/>
                <w:color w:val="auto"/>
                <w:sz w:val="20"/>
                <w:szCs w:val="20"/>
                <w:highlight w:val="none"/>
                <w:u w:val="none"/>
              </w:rPr>
            </w:pPr>
          </w:p>
        </w:tc>
      </w:tr>
      <w:tr w14:paraId="57063F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555"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77236AC1">
            <w:pPr>
              <w:jc w:val="center"/>
              <w:rPr>
                <w:rFonts w:hint="eastAsia" w:ascii="宋体" w:hAnsi="宋体" w:eastAsia="宋体" w:cs="宋体"/>
                <w:i w:val="0"/>
                <w:iCs w:val="0"/>
                <w:color w:val="auto"/>
                <w:sz w:val="20"/>
                <w:szCs w:val="20"/>
                <w:highlight w:val="none"/>
                <w:u w:val="none"/>
              </w:rPr>
            </w:pPr>
          </w:p>
        </w:tc>
        <w:tc>
          <w:tcPr>
            <w:tcW w:w="1428" w:type="dxa"/>
            <w:gridSpan w:val="3"/>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6C690E0">
            <w:pPr>
              <w:jc w:val="center"/>
              <w:rPr>
                <w:rFonts w:hint="eastAsia" w:ascii="宋体" w:hAnsi="宋体" w:eastAsia="宋体" w:cs="宋体"/>
                <w:i w:val="0"/>
                <w:iCs w:val="0"/>
                <w:color w:val="auto"/>
                <w:sz w:val="20"/>
                <w:szCs w:val="20"/>
                <w:highlight w:val="none"/>
                <w:u w:val="none"/>
              </w:rPr>
            </w:pPr>
          </w:p>
        </w:tc>
        <w:tc>
          <w:tcPr>
            <w:tcW w:w="1496" w:type="dxa"/>
            <w:gridSpan w:val="3"/>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6F3259F">
            <w:pPr>
              <w:jc w:val="center"/>
              <w:rPr>
                <w:rFonts w:hint="eastAsia" w:ascii="宋体" w:hAnsi="宋体" w:eastAsia="宋体" w:cs="宋体"/>
                <w:i w:val="0"/>
                <w:iCs w:val="0"/>
                <w:color w:val="auto"/>
                <w:sz w:val="20"/>
                <w:szCs w:val="20"/>
                <w:highlight w:val="none"/>
                <w:u w:val="none"/>
              </w:rPr>
            </w:pPr>
          </w:p>
        </w:tc>
        <w:tc>
          <w:tcPr>
            <w:tcW w:w="3595" w:type="dxa"/>
            <w:gridSpan w:val="3"/>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64E517A">
            <w:pPr>
              <w:jc w:val="center"/>
              <w:rPr>
                <w:rFonts w:hint="eastAsia" w:ascii="宋体" w:hAnsi="宋体" w:eastAsia="宋体" w:cs="宋体"/>
                <w:i w:val="0"/>
                <w:iCs w:val="0"/>
                <w:color w:val="auto"/>
                <w:sz w:val="20"/>
                <w:szCs w:val="20"/>
                <w:highlight w:val="none"/>
                <w:u w:val="none"/>
              </w:rPr>
            </w:pPr>
          </w:p>
        </w:tc>
        <w:tc>
          <w:tcPr>
            <w:tcW w:w="750" w:type="dxa"/>
            <w:gridSpan w:val="3"/>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7F8FFD2">
            <w:pPr>
              <w:jc w:val="center"/>
              <w:rPr>
                <w:rFonts w:hint="eastAsia" w:ascii="宋体" w:hAnsi="宋体" w:eastAsia="宋体" w:cs="宋体"/>
                <w:i w:val="0"/>
                <w:iCs w:val="0"/>
                <w:color w:val="auto"/>
                <w:sz w:val="20"/>
                <w:szCs w:val="20"/>
                <w:highlight w:val="none"/>
                <w:u w:val="none"/>
              </w:rPr>
            </w:pPr>
          </w:p>
        </w:tc>
        <w:tc>
          <w:tcPr>
            <w:tcW w:w="1107"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164A3AD">
            <w:pPr>
              <w:jc w:val="center"/>
              <w:rPr>
                <w:rFonts w:hint="eastAsia" w:ascii="宋体" w:hAnsi="宋体" w:eastAsia="宋体" w:cs="宋体"/>
                <w:i w:val="0"/>
                <w:iCs w:val="0"/>
                <w:color w:val="auto"/>
                <w:sz w:val="20"/>
                <w:szCs w:val="20"/>
                <w:highlight w:val="none"/>
                <w:u w:val="none"/>
              </w:rPr>
            </w:pPr>
          </w:p>
        </w:tc>
        <w:tc>
          <w:tcPr>
            <w:tcW w:w="1228" w:type="dxa"/>
            <w:gridSpan w:val="2"/>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1BF2F237">
            <w:pPr>
              <w:jc w:val="center"/>
              <w:rPr>
                <w:rFonts w:hint="eastAsia" w:ascii="宋体" w:hAnsi="宋体" w:eastAsia="宋体" w:cs="宋体"/>
                <w:i w:val="0"/>
                <w:iCs w:val="0"/>
                <w:color w:val="auto"/>
                <w:sz w:val="20"/>
                <w:szCs w:val="20"/>
                <w:highlight w:val="none"/>
                <w:u w:val="none"/>
              </w:rPr>
            </w:pPr>
          </w:p>
        </w:tc>
        <w:tc>
          <w:tcPr>
            <w:tcW w:w="838" w:type="dxa"/>
            <w:gridSpan w:val="2"/>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63936C3C">
            <w:pPr>
              <w:jc w:val="center"/>
              <w:rPr>
                <w:rFonts w:hint="eastAsia" w:ascii="宋体" w:hAnsi="宋体" w:eastAsia="宋体" w:cs="宋体"/>
                <w:i w:val="0"/>
                <w:iCs w:val="0"/>
                <w:color w:val="auto"/>
                <w:sz w:val="20"/>
                <w:szCs w:val="20"/>
                <w:highlight w:val="none"/>
                <w:u w:val="none"/>
              </w:rPr>
            </w:pPr>
          </w:p>
        </w:tc>
        <w:tc>
          <w:tcPr>
            <w:tcW w:w="88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B72F13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人工费</w:t>
            </w:r>
          </w:p>
        </w:tc>
        <w:tc>
          <w:tcPr>
            <w:tcW w:w="8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F8D64D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机械费</w:t>
            </w:r>
          </w:p>
        </w:tc>
        <w:tc>
          <w:tcPr>
            <w:tcW w:w="8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DB4F39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暂估价</w:t>
            </w:r>
          </w:p>
        </w:tc>
        <w:tc>
          <w:tcPr>
            <w:tcW w:w="752" w:type="dxa"/>
            <w:vMerge w:val="continue"/>
            <w:tcBorders>
              <w:top w:val="single" w:color="000000" w:sz="8" w:space="0"/>
              <w:left w:val="single" w:color="000000" w:sz="4" w:space="0"/>
              <w:bottom w:val="single" w:color="000000" w:sz="4" w:space="0"/>
              <w:right w:val="single" w:color="000000" w:sz="8" w:space="0"/>
            </w:tcBorders>
            <w:shd w:val="clear" w:color="FFFFFF" w:fill="FFFFFF"/>
            <w:vAlign w:val="center"/>
          </w:tcPr>
          <w:p w14:paraId="6ED78A5B">
            <w:pPr>
              <w:jc w:val="center"/>
              <w:rPr>
                <w:rFonts w:hint="eastAsia" w:ascii="宋体" w:hAnsi="宋体" w:eastAsia="宋体" w:cs="宋体"/>
                <w:i w:val="0"/>
                <w:iCs w:val="0"/>
                <w:color w:val="auto"/>
                <w:sz w:val="20"/>
                <w:szCs w:val="20"/>
                <w:highlight w:val="none"/>
                <w:u w:val="none"/>
              </w:rPr>
            </w:pPr>
          </w:p>
        </w:tc>
      </w:tr>
      <w:tr w14:paraId="1A5D37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8DF8BE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w:t>
            </w:r>
          </w:p>
        </w:tc>
        <w:tc>
          <w:tcPr>
            <w:tcW w:w="1428"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4BFB75F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030411001004</w:t>
            </w:r>
          </w:p>
        </w:tc>
        <w:tc>
          <w:tcPr>
            <w:tcW w:w="1496"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166338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配管</w:t>
            </w:r>
          </w:p>
        </w:tc>
        <w:tc>
          <w:tcPr>
            <w:tcW w:w="359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441E7A5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1.名称:配管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2.材质:镀锌钢管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3.厚度:国标</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4.规格:DN80</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5.配置形式:埋地敷设</w:t>
            </w:r>
          </w:p>
        </w:tc>
        <w:tc>
          <w:tcPr>
            <w:tcW w:w="75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0A84672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10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FF5FB1F">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50</w:t>
            </w:r>
          </w:p>
        </w:tc>
        <w:tc>
          <w:tcPr>
            <w:tcW w:w="122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8823BBB">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3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3B1A155">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0BD2C47">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8693F8C">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65C4163">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5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7DA460DA">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6A071E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854CB5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w:t>
            </w:r>
          </w:p>
        </w:tc>
        <w:tc>
          <w:tcPr>
            <w:tcW w:w="1428"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783800A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030411004001</w:t>
            </w:r>
          </w:p>
        </w:tc>
        <w:tc>
          <w:tcPr>
            <w:tcW w:w="1496"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65C01B2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配线</w:t>
            </w:r>
          </w:p>
        </w:tc>
        <w:tc>
          <w:tcPr>
            <w:tcW w:w="359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1BED394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1.名称:配线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2.配线形式:管内穿线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3.规格:NH-BV2.5</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4.材质:铜芯</w:t>
            </w:r>
          </w:p>
        </w:tc>
        <w:tc>
          <w:tcPr>
            <w:tcW w:w="75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38CFFC6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10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A3C5C5D">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722</w:t>
            </w:r>
          </w:p>
        </w:tc>
        <w:tc>
          <w:tcPr>
            <w:tcW w:w="122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60C2BD7">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3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C904AD6">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9F39A91">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BC33C11">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F185799">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5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50AA599F">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23262C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306539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w:t>
            </w:r>
          </w:p>
        </w:tc>
        <w:tc>
          <w:tcPr>
            <w:tcW w:w="1428"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CCAC5E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030408001001</w:t>
            </w:r>
          </w:p>
        </w:tc>
        <w:tc>
          <w:tcPr>
            <w:tcW w:w="1496"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6FCFC23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电力电缆</w:t>
            </w:r>
          </w:p>
        </w:tc>
        <w:tc>
          <w:tcPr>
            <w:tcW w:w="359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753DF55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1.名称:电力电缆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2.规格:NH-YJV-5*10</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3.材质:铜芯</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4.敷设方式、部位:穿管敷设</w:t>
            </w:r>
          </w:p>
        </w:tc>
        <w:tc>
          <w:tcPr>
            <w:tcW w:w="75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3239F26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10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FF21FB1">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50</w:t>
            </w:r>
          </w:p>
        </w:tc>
        <w:tc>
          <w:tcPr>
            <w:tcW w:w="122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5679E45">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3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1A1BD7F">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9CCD80">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28BC99">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3A3C533">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5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0B3377DE">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30DD4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8DFB5D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w:t>
            </w:r>
          </w:p>
        </w:tc>
        <w:tc>
          <w:tcPr>
            <w:tcW w:w="1428"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62E84E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030408001002</w:t>
            </w:r>
          </w:p>
        </w:tc>
        <w:tc>
          <w:tcPr>
            <w:tcW w:w="1496"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D6E1B8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电力电缆</w:t>
            </w:r>
          </w:p>
        </w:tc>
        <w:tc>
          <w:tcPr>
            <w:tcW w:w="359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D96613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1.名称:电力电缆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2.规格:ZR-YJV-4*35+1*16</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3.材质:铜芯</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4.敷设方式、部位:穿管敷设</w:t>
            </w:r>
          </w:p>
        </w:tc>
        <w:tc>
          <w:tcPr>
            <w:tcW w:w="75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56213A6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10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3D840DA">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50</w:t>
            </w:r>
          </w:p>
        </w:tc>
        <w:tc>
          <w:tcPr>
            <w:tcW w:w="122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C4DD933">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3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D1724AB">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1FB218E">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999E013">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DE2B8C3">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5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22C07C4">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608915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47FF7F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31</w:t>
            </w:r>
          </w:p>
        </w:tc>
        <w:tc>
          <w:tcPr>
            <w:tcW w:w="1428"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4563F21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030411004002</w:t>
            </w:r>
          </w:p>
        </w:tc>
        <w:tc>
          <w:tcPr>
            <w:tcW w:w="1496"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1F0413E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配线</w:t>
            </w:r>
          </w:p>
        </w:tc>
        <w:tc>
          <w:tcPr>
            <w:tcW w:w="3595"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ABCE88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1.名称:配线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2.配线形式:管内穿线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3.规格:NH-BVR2.5</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4.材质:铜芯</w:t>
            </w:r>
          </w:p>
        </w:tc>
        <w:tc>
          <w:tcPr>
            <w:tcW w:w="75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398535B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10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694505A">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303</w:t>
            </w:r>
          </w:p>
        </w:tc>
        <w:tc>
          <w:tcPr>
            <w:tcW w:w="122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3D3EB32">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3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2C0DCE5">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5F88500">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A7C093A">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ED3A50">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5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8E1816B">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7481EE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10159" w:type="dxa"/>
            <w:gridSpan w:val="17"/>
            <w:tcBorders>
              <w:top w:val="single" w:color="000000" w:sz="4" w:space="0"/>
              <w:left w:val="single" w:color="000000" w:sz="8" w:space="0"/>
              <w:bottom w:val="single" w:color="000000" w:sz="8" w:space="0"/>
              <w:right w:val="single" w:color="000000" w:sz="4" w:space="0"/>
            </w:tcBorders>
            <w:shd w:val="clear" w:color="FFFFFF" w:fill="FFFFFF"/>
            <w:vAlign w:val="center"/>
          </w:tcPr>
          <w:p w14:paraId="26809D1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本页小计</w:t>
            </w:r>
          </w:p>
        </w:tc>
        <w:tc>
          <w:tcPr>
            <w:tcW w:w="838"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14:paraId="43ABAF5B">
            <w:pPr>
              <w:jc w:val="left"/>
              <w:rPr>
                <w:rFonts w:hint="eastAsia" w:ascii="宋体" w:hAnsi="宋体" w:eastAsia="宋体" w:cs="宋体"/>
                <w:i w:val="0"/>
                <w:iCs w:val="0"/>
                <w:color w:val="auto"/>
                <w:sz w:val="20"/>
                <w:szCs w:val="20"/>
                <w:highlight w:val="none"/>
                <w:u w:val="none"/>
              </w:rPr>
            </w:pPr>
          </w:p>
        </w:tc>
        <w:tc>
          <w:tcPr>
            <w:tcW w:w="883"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17364748">
            <w:pPr>
              <w:jc w:val="left"/>
              <w:rPr>
                <w:rFonts w:hint="eastAsia" w:ascii="宋体" w:hAnsi="宋体" w:eastAsia="宋体" w:cs="宋体"/>
                <w:i w:val="0"/>
                <w:iCs w:val="0"/>
                <w:color w:val="auto"/>
                <w:sz w:val="20"/>
                <w:szCs w:val="20"/>
                <w:highlight w:val="none"/>
                <w:u w:val="none"/>
              </w:rPr>
            </w:pPr>
          </w:p>
        </w:tc>
        <w:tc>
          <w:tcPr>
            <w:tcW w:w="884"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41D044AE">
            <w:pPr>
              <w:jc w:val="left"/>
              <w:rPr>
                <w:rFonts w:hint="eastAsia" w:ascii="宋体" w:hAnsi="宋体" w:eastAsia="宋体" w:cs="宋体"/>
                <w:i w:val="0"/>
                <w:iCs w:val="0"/>
                <w:color w:val="auto"/>
                <w:sz w:val="20"/>
                <w:szCs w:val="20"/>
                <w:highlight w:val="none"/>
                <w:u w:val="none"/>
              </w:rPr>
            </w:pPr>
          </w:p>
        </w:tc>
        <w:tc>
          <w:tcPr>
            <w:tcW w:w="884"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46DA3C40">
            <w:pPr>
              <w:jc w:val="left"/>
              <w:rPr>
                <w:rFonts w:hint="eastAsia" w:ascii="宋体" w:hAnsi="宋体" w:eastAsia="宋体" w:cs="宋体"/>
                <w:i w:val="0"/>
                <w:iCs w:val="0"/>
                <w:color w:val="auto"/>
                <w:sz w:val="20"/>
                <w:szCs w:val="20"/>
                <w:highlight w:val="none"/>
                <w:u w:val="none"/>
              </w:rPr>
            </w:pPr>
          </w:p>
        </w:tc>
        <w:tc>
          <w:tcPr>
            <w:tcW w:w="752"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50DAF3C9">
            <w:pPr>
              <w:jc w:val="left"/>
              <w:rPr>
                <w:rFonts w:hint="eastAsia" w:ascii="宋体" w:hAnsi="宋体" w:eastAsia="宋体" w:cs="宋体"/>
                <w:i w:val="0"/>
                <w:iCs w:val="0"/>
                <w:color w:val="auto"/>
                <w:sz w:val="20"/>
                <w:szCs w:val="20"/>
                <w:highlight w:val="none"/>
                <w:u w:val="none"/>
              </w:rPr>
            </w:pPr>
          </w:p>
        </w:tc>
      </w:tr>
      <w:tr w14:paraId="5E99A5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rPr>
        <w:tc>
          <w:tcPr>
            <w:tcW w:w="10997" w:type="dxa"/>
            <w:gridSpan w:val="19"/>
            <w:tcBorders>
              <w:top w:val="nil"/>
              <w:left w:val="nil"/>
              <w:bottom w:val="nil"/>
              <w:right w:val="nil"/>
            </w:tcBorders>
            <w:shd w:val="clear" w:color="FFFFFF" w:fill="FFFFFF"/>
            <w:vAlign w:val="center"/>
          </w:tcPr>
          <w:p w14:paraId="23D35EC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【表10.2.2-16】</w:t>
            </w:r>
          </w:p>
        </w:tc>
        <w:tc>
          <w:tcPr>
            <w:tcW w:w="3403" w:type="dxa"/>
            <w:gridSpan w:val="4"/>
            <w:tcBorders>
              <w:top w:val="nil"/>
              <w:left w:val="nil"/>
              <w:bottom w:val="nil"/>
              <w:right w:val="nil"/>
            </w:tcBorders>
            <w:shd w:val="clear" w:color="FFFFFF" w:fill="FFFFFF"/>
            <w:vAlign w:val="center"/>
          </w:tcPr>
          <w:p w14:paraId="70A521B1">
            <w:pPr>
              <w:jc w:val="right"/>
              <w:rPr>
                <w:rFonts w:hint="eastAsia" w:ascii="宋体" w:hAnsi="宋体" w:eastAsia="宋体" w:cs="宋体"/>
                <w:i w:val="0"/>
                <w:iCs w:val="0"/>
                <w:color w:val="auto"/>
                <w:sz w:val="18"/>
                <w:szCs w:val="18"/>
                <w:highlight w:val="none"/>
                <w:u w:val="none"/>
              </w:rPr>
            </w:pPr>
          </w:p>
        </w:tc>
      </w:tr>
      <w:tr w14:paraId="04F039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14400" w:type="dxa"/>
            <w:gridSpan w:val="23"/>
            <w:tcBorders>
              <w:top w:val="nil"/>
              <w:left w:val="nil"/>
              <w:bottom w:val="nil"/>
              <w:right w:val="nil"/>
            </w:tcBorders>
            <w:shd w:val="clear" w:color="FFFFFF" w:fill="FFFFFF"/>
            <w:vAlign w:val="center"/>
          </w:tcPr>
          <w:p w14:paraId="02A823F9">
            <w:pPr>
              <w:keepNext w:val="0"/>
              <w:keepLines w:val="0"/>
              <w:widowControl/>
              <w:suppressLineNumbers w:val="0"/>
              <w:jc w:val="center"/>
              <w:textAlignment w:val="center"/>
              <w:rPr>
                <w:rFonts w:hint="eastAsia" w:ascii="宋体" w:hAnsi="宋体" w:eastAsia="宋体" w:cs="宋体"/>
                <w:b/>
                <w:bCs/>
                <w:i w:val="0"/>
                <w:iCs w:val="0"/>
                <w:color w:val="auto"/>
                <w:sz w:val="40"/>
                <w:szCs w:val="40"/>
                <w:highlight w:val="none"/>
                <w:u w:val="none"/>
              </w:rPr>
            </w:pPr>
            <w:r>
              <w:rPr>
                <w:rFonts w:hint="eastAsia" w:ascii="宋体" w:hAnsi="宋体" w:eastAsia="宋体" w:cs="宋体"/>
                <w:b/>
                <w:bCs/>
                <w:i w:val="0"/>
                <w:iCs w:val="0"/>
                <w:color w:val="auto"/>
                <w:kern w:val="0"/>
                <w:sz w:val="40"/>
                <w:szCs w:val="40"/>
                <w:highlight w:val="none"/>
                <w:u w:val="none"/>
                <w:lang w:val="en-US" w:eastAsia="zh-CN" w:bidi="ar"/>
              </w:rPr>
              <w:t>分部分项工程清单与计价表</w:t>
            </w:r>
          </w:p>
        </w:tc>
      </w:tr>
      <w:tr w14:paraId="1C0959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3475" w:type="dxa"/>
            <w:gridSpan w:val="6"/>
            <w:tcBorders>
              <w:top w:val="nil"/>
              <w:left w:val="nil"/>
              <w:bottom w:val="nil"/>
              <w:right w:val="nil"/>
            </w:tcBorders>
            <w:shd w:val="clear" w:color="FFFFFF" w:fill="FFFFFF"/>
            <w:vAlign w:val="bottom"/>
          </w:tcPr>
          <w:p w14:paraId="04FDAEAF">
            <w:pPr>
              <w:keepNext w:val="0"/>
              <w:keepLines w:val="0"/>
              <w:widowControl/>
              <w:suppressLineNumbers w:val="0"/>
              <w:jc w:val="lef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工程名称：单项工程-配套用房安装工程</w:t>
            </w:r>
          </w:p>
        </w:tc>
        <w:tc>
          <w:tcPr>
            <w:tcW w:w="7522" w:type="dxa"/>
            <w:gridSpan w:val="13"/>
            <w:tcBorders>
              <w:top w:val="nil"/>
              <w:left w:val="nil"/>
              <w:bottom w:val="nil"/>
              <w:right w:val="nil"/>
            </w:tcBorders>
            <w:shd w:val="clear" w:color="FFFFFF" w:fill="FFFFFF"/>
            <w:vAlign w:val="bottom"/>
          </w:tcPr>
          <w:p w14:paraId="0A568B22">
            <w:pPr>
              <w:keepNext w:val="0"/>
              <w:keepLines w:val="0"/>
              <w:widowControl/>
              <w:suppressLineNumbers w:val="0"/>
              <w:jc w:val="lef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标段：</w:t>
            </w:r>
          </w:p>
        </w:tc>
        <w:tc>
          <w:tcPr>
            <w:tcW w:w="3403" w:type="dxa"/>
            <w:gridSpan w:val="4"/>
            <w:tcBorders>
              <w:top w:val="nil"/>
              <w:left w:val="nil"/>
              <w:bottom w:val="nil"/>
              <w:right w:val="nil"/>
            </w:tcBorders>
            <w:shd w:val="clear" w:color="FFFFFF" w:fill="FFFFFF"/>
            <w:vAlign w:val="bottom"/>
          </w:tcPr>
          <w:p w14:paraId="68321F61">
            <w:pPr>
              <w:keepNext w:val="0"/>
              <w:keepLines w:val="0"/>
              <w:widowControl/>
              <w:suppressLineNumbers w:val="0"/>
              <w:jc w:val="righ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第 6 页  共 7 页</w:t>
            </w:r>
          </w:p>
        </w:tc>
      </w:tr>
      <w:tr w14:paraId="01A3D5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555"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3799EC6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序号</w:t>
            </w:r>
          </w:p>
        </w:tc>
        <w:tc>
          <w:tcPr>
            <w:tcW w:w="1422"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4742FC2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项目编码</w:t>
            </w:r>
          </w:p>
        </w:tc>
        <w:tc>
          <w:tcPr>
            <w:tcW w:w="1498" w:type="dxa"/>
            <w:gridSpan w:val="3"/>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1D0CBC0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项目名称</w:t>
            </w:r>
          </w:p>
        </w:tc>
        <w:tc>
          <w:tcPr>
            <w:tcW w:w="3596" w:type="dxa"/>
            <w:gridSpan w:val="3"/>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69D5C5E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项目特征</w:t>
            </w:r>
          </w:p>
        </w:tc>
        <w:tc>
          <w:tcPr>
            <w:tcW w:w="750" w:type="dxa"/>
            <w:gridSpan w:val="3"/>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5D51D88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计量单位</w:t>
            </w:r>
          </w:p>
        </w:tc>
        <w:tc>
          <w:tcPr>
            <w:tcW w:w="1110" w:type="dxa"/>
            <w:gridSpan w:val="3"/>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6D353AA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工程量</w:t>
            </w:r>
          </w:p>
        </w:tc>
        <w:tc>
          <w:tcPr>
            <w:tcW w:w="4717" w:type="dxa"/>
            <w:gridSpan w:val="7"/>
            <w:tcBorders>
              <w:top w:val="single" w:color="000000" w:sz="8" w:space="0"/>
              <w:left w:val="single" w:color="000000" w:sz="4" w:space="0"/>
              <w:bottom w:val="single" w:color="000000" w:sz="4" w:space="0"/>
              <w:right w:val="single" w:color="000000" w:sz="4" w:space="0"/>
            </w:tcBorders>
            <w:shd w:val="clear" w:color="FFFFFF" w:fill="FFFFFF"/>
            <w:vAlign w:val="center"/>
          </w:tcPr>
          <w:p w14:paraId="5D0DBD0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金额（元）</w:t>
            </w:r>
          </w:p>
        </w:tc>
        <w:tc>
          <w:tcPr>
            <w:tcW w:w="752" w:type="dxa"/>
            <w:vMerge w:val="restart"/>
            <w:tcBorders>
              <w:top w:val="single" w:color="000000" w:sz="8" w:space="0"/>
              <w:left w:val="single" w:color="000000" w:sz="4" w:space="0"/>
              <w:bottom w:val="single" w:color="000000" w:sz="4" w:space="0"/>
              <w:right w:val="single" w:color="000000" w:sz="8" w:space="0"/>
            </w:tcBorders>
            <w:shd w:val="clear" w:color="FFFFFF" w:fill="FFFFFF"/>
            <w:vAlign w:val="center"/>
          </w:tcPr>
          <w:p w14:paraId="4F571EA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备注</w:t>
            </w:r>
          </w:p>
        </w:tc>
      </w:tr>
      <w:tr w14:paraId="085E60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555"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241E719E">
            <w:pPr>
              <w:jc w:val="center"/>
              <w:rPr>
                <w:rFonts w:hint="eastAsia" w:ascii="宋体" w:hAnsi="宋体" w:eastAsia="宋体" w:cs="宋体"/>
                <w:i w:val="0"/>
                <w:iCs w:val="0"/>
                <w:color w:val="auto"/>
                <w:sz w:val="20"/>
                <w:szCs w:val="20"/>
                <w:highlight w:val="none"/>
                <w:u w:val="none"/>
              </w:rPr>
            </w:pPr>
          </w:p>
        </w:tc>
        <w:tc>
          <w:tcPr>
            <w:tcW w:w="1422"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22032B1">
            <w:pPr>
              <w:jc w:val="center"/>
              <w:rPr>
                <w:rFonts w:hint="eastAsia" w:ascii="宋体" w:hAnsi="宋体" w:eastAsia="宋体" w:cs="宋体"/>
                <w:i w:val="0"/>
                <w:iCs w:val="0"/>
                <w:color w:val="auto"/>
                <w:sz w:val="20"/>
                <w:szCs w:val="20"/>
                <w:highlight w:val="none"/>
                <w:u w:val="none"/>
              </w:rPr>
            </w:pPr>
          </w:p>
        </w:tc>
        <w:tc>
          <w:tcPr>
            <w:tcW w:w="1498" w:type="dxa"/>
            <w:gridSpan w:val="3"/>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BCAEB75">
            <w:pPr>
              <w:jc w:val="center"/>
              <w:rPr>
                <w:rFonts w:hint="eastAsia" w:ascii="宋体" w:hAnsi="宋体" w:eastAsia="宋体" w:cs="宋体"/>
                <w:i w:val="0"/>
                <w:iCs w:val="0"/>
                <w:color w:val="auto"/>
                <w:sz w:val="20"/>
                <w:szCs w:val="20"/>
                <w:highlight w:val="none"/>
                <w:u w:val="none"/>
              </w:rPr>
            </w:pPr>
          </w:p>
        </w:tc>
        <w:tc>
          <w:tcPr>
            <w:tcW w:w="3596" w:type="dxa"/>
            <w:gridSpan w:val="3"/>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CDC21FB">
            <w:pPr>
              <w:jc w:val="center"/>
              <w:rPr>
                <w:rFonts w:hint="eastAsia" w:ascii="宋体" w:hAnsi="宋体" w:eastAsia="宋体" w:cs="宋体"/>
                <w:i w:val="0"/>
                <w:iCs w:val="0"/>
                <w:color w:val="auto"/>
                <w:sz w:val="20"/>
                <w:szCs w:val="20"/>
                <w:highlight w:val="none"/>
                <w:u w:val="none"/>
              </w:rPr>
            </w:pPr>
          </w:p>
        </w:tc>
        <w:tc>
          <w:tcPr>
            <w:tcW w:w="750" w:type="dxa"/>
            <w:gridSpan w:val="3"/>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DDA7BCD">
            <w:pPr>
              <w:jc w:val="center"/>
              <w:rPr>
                <w:rFonts w:hint="eastAsia" w:ascii="宋体" w:hAnsi="宋体" w:eastAsia="宋体" w:cs="宋体"/>
                <w:i w:val="0"/>
                <w:iCs w:val="0"/>
                <w:color w:val="auto"/>
                <w:sz w:val="20"/>
                <w:szCs w:val="20"/>
                <w:highlight w:val="none"/>
                <w:u w:val="none"/>
              </w:rPr>
            </w:pPr>
          </w:p>
        </w:tc>
        <w:tc>
          <w:tcPr>
            <w:tcW w:w="1110" w:type="dxa"/>
            <w:gridSpan w:val="3"/>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2C2259F">
            <w:pPr>
              <w:jc w:val="center"/>
              <w:rPr>
                <w:rFonts w:hint="eastAsia" w:ascii="宋体" w:hAnsi="宋体" w:eastAsia="宋体" w:cs="宋体"/>
                <w:i w:val="0"/>
                <w:iCs w:val="0"/>
                <w:color w:val="auto"/>
                <w:sz w:val="20"/>
                <w:szCs w:val="20"/>
                <w:highlight w:val="none"/>
                <w:u w:val="none"/>
              </w:rPr>
            </w:pPr>
          </w:p>
        </w:tc>
        <w:tc>
          <w:tcPr>
            <w:tcW w:w="1228" w:type="dxa"/>
            <w:gridSpan w:val="2"/>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31482DA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综合单价</w:t>
            </w:r>
          </w:p>
        </w:tc>
        <w:tc>
          <w:tcPr>
            <w:tcW w:w="838" w:type="dxa"/>
            <w:gridSpan w:val="2"/>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185DB01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合价</w:t>
            </w:r>
          </w:p>
        </w:tc>
        <w:tc>
          <w:tcPr>
            <w:tcW w:w="2651"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0ED4441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其中</w:t>
            </w:r>
          </w:p>
        </w:tc>
        <w:tc>
          <w:tcPr>
            <w:tcW w:w="752" w:type="dxa"/>
            <w:vMerge w:val="continue"/>
            <w:tcBorders>
              <w:top w:val="single" w:color="000000" w:sz="8" w:space="0"/>
              <w:left w:val="single" w:color="000000" w:sz="4" w:space="0"/>
              <w:bottom w:val="single" w:color="000000" w:sz="4" w:space="0"/>
              <w:right w:val="single" w:color="000000" w:sz="8" w:space="0"/>
            </w:tcBorders>
            <w:shd w:val="clear" w:color="FFFFFF" w:fill="FFFFFF"/>
            <w:vAlign w:val="center"/>
          </w:tcPr>
          <w:p w14:paraId="74542A02">
            <w:pPr>
              <w:jc w:val="center"/>
              <w:rPr>
                <w:rFonts w:hint="eastAsia" w:ascii="宋体" w:hAnsi="宋体" w:eastAsia="宋体" w:cs="宋体"/>
                <w:i w:val="0"/>
                <w:iCs w:val="0"/>
                <w:color w:val="auto"/>
                <w:sz w:val="20"/>
                <w:szCs w:val="20"/>
                <w:highlight w:val="none"/>
                <w:u w:val="none"/>
              </w:rPr>
            </w:pPr>
          </w:p>
        </w:tc>
      </w:tr>
      <w:tr w14:paraId="53F941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555"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38BCB455">
            <w:pPr>
              <w:jc w:val="center"/>
              <w:rPr>
                <w:rFonts w:hint="eastAsia" w:ascii="宋体" w:hAnsi="宋体" w:eastAsia="宋体" w:cs="宋体"/>
                <w:i w:val="0"/>
                <w:iCs w:val="0"/>
                <w:color w:val="auto"/>
                <w:sz w:val="20"/>
                <w:szCs w:val="20"/>
                <w:highlight w:val="none"/>
                <w:u w:val="none"/>
              </w:rPr>
            </w:pPr>
          </w:p>
        </w:tc>
        <w:tc>
          <w:tcPr>
            <w:tcW w:w="1422"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C16ECB7">
            <w:pPr>
              <w:jc w:val="center"/>
              <w:rPr>
                <w:rFonts w:hint="eastAsia" w:ascii="宋体" w:hAnsi="宋体" w:eastAsia="宋体" w:cs="宋体"/>
                <w:i w:val="0"/>
                <w:iCs w:val="0"/>
                <w:color w:val="auto"/>
                <w:sz w:val="20"/>
                <w:szCs w:val="20"/>
                <w:highlight w:val="none"/>
                <w:u w:val="none"/>
              </w:rPr>
            </w:pPr>
          </w:p>
        </w:tc>
        <w:tc>
          <w:tcPr>
            <w:tcW w:w="1498" w:type="dxa"/>
            <w:gridSpan w:val="3"/>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4D3D424">
            <w:pPr>
              <w:jc w:val="center"/>
              <w:rPr>
                <w:rFonts w:hint="eastAsia" w:ascii="宋体" w:hAnsi="宋体" w:eastAsia="宋体" w:cs="宋体"/>
                <w:i w:val="0"/>
                <w:iCs w:val="0"/>
                <w:color w:val="auto"/>
                <w:sz w:val="20"/>
                <w:szCs w:val="20"/>
                <w:highlight w:val="none"/>
                <w:u w:val="none"/>
              </w:rPr>
            </w:pPr>
          </w:p>
        </w:tc>
        <w:tc>
          <w:tcPr>
            <w:tcW w:w="3596" w:type="dxa"/>
            <w:gridSpan w:val="3"/>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D8CC87D">
            <w:pPr>
              <w:jc w:val="center"/>
              <w:rPr>
                <w:rFonts w:hint="eastAsia" w:ascii="宋体" w:hAnsi="宋体" w:eastAsia="宋体" w:cs="宋体"/>
                <w:i w:val="0"/>
                <w:iCs w:val="0"/>
                <w:color w:val="auto"/>
                <w:sz w:val="20"/>
                <w:szCs w:val="20"/>
                <w:highlight w:val="none"/>
                <w:u w:val="none"/>
              </w:rPr>
            </w:pPr>
          </w:p>
        </w:tc>
        <w:tc>
          <w:tcPr>
            <w:tcW w:w="750" w:type="dxa"/>
            <w:gridSpan w:val="3"/>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68CBD82">
            <w:pPr>
              <w:jc w:val="center"/>
              <w:rPr>
                <w:rFonts w:hint="eastAsia" w:ascii="宋体" w:hAnsi="宋体" w:eastAsia="宋体" w:cs="宋体"/>
                <w:i w:val="0"/>
                <w:iCs w:val="0"/>
                <w:color w:val="auto"/>
                <w:sz w:val="20"/>
                <w:szCs w:val="20"/>
                <w:highlight w:val="none"/>
                <w:u w:val="none"/>
              </w:rPr>
            </w:pPr>
          </w:p>
        </w:tc>
        <w:tc>
          <w:tcPr>
            <w:tcW w:w="1110" w:type="dxa"/>
            <w:gridSpan w:val="3"/>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9EEABD6">
            <w:pPr>
              <w:jc w:val="center"/>
              <w:rPr>
                <w:rFonts w:hint="eastAsia" w:ascii="宋体" w:hAnsi="宋体" w:eastAsia="宋体" w:cs="宋体"/>
                <w:i w:val="0"/>
                <w:iCs w:val="0"/>
                <w:color w:val="auto"/>
                <w:sz w:val="20"/>
                <w:szCs w:val="20"/>
                <w:highlight w:val="none"/>
                <w:u w:val="none"/>
              </w:rPr>
            </w:pPr>
          </w:p>
        </w:tc>
        <w:tc>
          <w:tcPr>
            <w:tcW w:w="1228" w:type="dxa"/>
            <w:gridSpan w:val="2"/>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6A91F355">
            <w:pPr>
              <w:jc w:val="center"/>
              <w:rPr>
                <w:rFonts w:hint="eastAsia" w:ascii="宋体" w:hAnsi="宋体" w:eastAsia="宋体" w:cs="宋体"/>
                <w:i w:val="0"/>
                <w:iCs w:val="0"/>
                <w:color w:val="auto"/>
                <w:sz w:val="20"/>
                <w:szCs w:val="20"/>
                <w:highlight w:val="none"/>
                <w:u w:val="none"/>
              </w:rPr>
            </w:pPr>
          </w:p>
        </w:tc>
        <w:tc>
          <w:tcPr>
            <w:tcW w:w="838" w:type="dxa"/>
            <w:gridSpan w:val="2"/>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6BE1D1FD">
            <w:pPr>
              <w:jc w:val="center"/>
              <w:rPr>
                <w:rFonts w:hint="eastAsia" w:ascii="宋体" w:hAnsi="宋体" w:eastAsia="宋体" w:cs="宋体"/>
                <w:i w:val="0"/>
                <w:iCs w:val="0"/>
                <w:color w:val="auto"/>
                <w:sz w:val="20"/>
                <w:szCs w:val="20"/>
                <w:highlight w:val="none"/>
                <w:u w:val="none"/>
              </w:rPr>
            </w:pPr>
          </w:p>
        </w:tc>
        <w:tc>
          <w:tcPr>
            <w:tcW w:w="88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465A24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人工费</w:t>
            </w:r>
          </w:p>
        </w:tc>
        <w:tc>
          <w:tcPr>
            <w:tcW w:w="8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F852B8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机械费</w:t>
            </w:r>
          </w:p>
        </w:tc>
        <w:tc>
          <w:tcPr>
            <w:tcW w:w="8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7681D8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暂估价</w:t>
            </w:r>
          </w:p>
        </w:tc>
        <w:tc>
          <w:tcPr>
            <w:tcW w:w="752" w:type="dxa"/>
            <w:vMerge w:val="continue"/>
            <w:tcBorders>
              <w:top w:val="single" w:color="000000" w:sz="8" w:space="0"/>
              <w:left w:val="single" w:color="000000" w:sz="4" w:space="0"/>
              <w:bottom w:val="single" w:color="000000" w:sz="4" w:space="0"/>
              <w:right w:val="single" w:color="000000" w:sz="8" w:space="0"/>
            </w:tcBorders>
            <w:shd w:val="clear" w:color="FFFFFF" w:fill="FFFFFF"/>
            <w:vAlign w:val="center"/>
          </w:tcPr>
          <w:p w14:paraId="2A6D83EE">
            <w:pPr>
              <w:jc w:val="center"/>
              <w:rPr>
                <w:rFonts w:hint="eastAsia" w:ascii="宋体" w:hAnsi="宋体" w:eastAsia="宋体" w:cs="宋体"/>
                <w:i w:val="0"/>
                <w:iCs w:val="0"/>
                <w:color w:val="auto"/>
                <w:sz w:val="20"/>
                <w:szCs w:val="20"/>
                <w:highlight w:val="none"/>
                <w:u w:val="none"/>
              </w:rPr>
            </w:pPr>
          </w:p>
        </w:tc>
      </w:tr>
      <w:tr w14:paraId="7A490E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FB1F24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w:t>
            </w:r>
          </w:p>
        </w:tc>
        <w:tc>
          <w:tcPr>
            <w:tcW w:w="142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640629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030411006001</w:t>
            </w:r>
          </w:p>
        </w:tc>
        <w:tc>
          <w:tcPr>
            <w:tcW w:w="1498"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4B99436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接线盒</w:t>
            </w:r>
          </w:p>
        </w:tc>
        <w:tc>
          <w:tcPr>
            <w:tcW w:w="3596"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5C62276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1.名称:钢制接线盒</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2.安装形式:明装</w:t>
            </w:r>
          </w:p>
        </w:tc>
        <w:tc>
          <w:tcPr>
            <w:tcW w:w="75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5AF4563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11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05546E9A">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39</w:t>
            </w:r>
          </w:p>
        </w:tc>
        <w:tc>
          <w:tcPr>
            <w:tcW w:w="122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5279E40">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3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87D4BFD">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3414ED">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ECF58C4">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73A43F2">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5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E765747">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383732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B0FEE3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w:t>
            </w:r>
          </w:p>
        </w:tc>
        <w:tc>
          <w:tcPr>
            <w:tcW w:w="142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8649C3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030411006002</w:t>
            </w:r>
          </w:p>
        </w:tc>
        <w:tc>
          <w:tcPr>
            <w:tcW w:w="1498"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3119E6F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接线盒</w:t>
            </w:r>
          </w:p>
        </w:tc>
        <w:tc>
          <w:tcPr>
            <w:tcW w:w="3596"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7069596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1.名称:钢制开关盒</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2.安装形式:明装</w:t>
            </w:r>
          </w:p>
        </w:tc>
        <w:tc>
          <w:tcPr>
            <w:tcW w:w="75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3E941A6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11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1588D53">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w:t>
            </w:r>
          </w:p>
        </w:tc>
        <w:tc>
          <w:tcPr>
            <w:tcW w:w="122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8EF3C45">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3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48E38C9">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20C9AEF">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933E0CF">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7105CD3">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5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081CC322">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11BF17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736F8F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34</w:t>
            </w:r>
          </w:p>
        </w:tc>
        <w:tc>
          <w:tcPr>
            <w:tcW w:w="142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43D32E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030409005001</w:t>
            </w:r>
          </w:p>
        </w:tc>
        <w:tc>
          <w:tcPr>
            <w:tcW w:w="1498"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515A079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避雷网</w:t>
            </w:r>
          </w:p>
        </w:tc>
        <w:tc>
          <w:tcPr>
            <w:tcW w:w="3596"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0B7D282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1.名称:避雷网</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2.材质:φ12热镀锌圆钢</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3.安装形式:沿折板支架敷设</w:t>
            </w:r>
          </w:p>
        </w:tc>
        <w:tc>
          <w:tcPr>
            <w:tcW w:w="75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6E81359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11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33B0FB4F">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84.16</w:t>
            </w:r>
          </w:p>
        </w:tc>
        <w:tc>
          <w:tcPr>
            <w:tcW w:w="122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1C50E07">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3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452004D">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20D8D0B">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5A04491">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886B424">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5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7E6C9408">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3C3F04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8A504F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w:t>
            </w:r>
          </w:p>
        </w:tc>
        <w:tc>
          <w:tcPr>
            <w:tcW w:w="142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B5BD22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030409003001</w:t>
            </w:r>
          </w:p>
        </w:tc>
        <w:tc>
          <w:tcPr>
            <w:tcW w:w="1498"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698FE66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避雷引下线</w:t>
            </w:r>
          </w:p>
        </w:tc>
        <w:tc>
          <w:tcPr>
            <w:tcW w:w="3596"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3B3A348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1.名称:避雷引下线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2.安装形式:利用建筑结构钢筋引下</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3.断接卡子、箱材质、规格:断接卡子制作安装</w:t>
            </w:r>
          </w:p>
        </w:tc>
        <w:tc>
          <w:tcPr>
            <w:tcW w:w="75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C86EFD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11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1EFACC23">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40</w:t>
            </w:r>
          </w:p>
        </w:tc>
        <w:tc>
          <w:tcPr>
            <w:tcW w:w="122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BC5AFEB">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3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1F36717">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A6C3104">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7967DFD">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EAF2D6C">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5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2CAFF8B">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08C8D6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B570BF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36</w:t>
            </w:r>
          </w:p>
        </w:tc>
        <w:tc>
          <w:tcPr>
            <w:tcW w:w="142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513E9A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030409004001</w:t>
            </w:r>
          </w:p>
        </w:tc>
        <w:tc>
          <w:tcPr>
            <w:tcW w:w="1498"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2234D8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均压环</w:t>
            </w:r>
          </w:p>
        </w:tc>
        <w:tc>
          <w:tcPr>
            <w:tcW w:w="3596"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6185384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1.名称:均压环</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2.安装形式:利用圈梁钢筋</w:t>
            </w:r>
          </w:p>
        </w:tc>
        <w:tc>
          <w:tcPr>
            <w:tcW w:w="75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3A180E9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11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50F1E048">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89</w:t>
            </w:r>
          </w:p>
        </w:tc>
        <w:tc>
          <w:tcPr>
            <w:tcW w:w="122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C3BC44F">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3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5142B24">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44C9B25">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4A5BA92">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93E9019">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5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698B4F4">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45DFF3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A24175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37</w:t>
            </w:r>
          </w:p>
        </w:tc>
        <w:tc>
          <w:tcPr>
            <w:tcW w:w="142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D7F2F3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030409002001</w:t>
            </w:r>
          </w:p>
        </w:tc>
        <w:tc>
          <w:tcPr>
            <w:tcW w:w="1498"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0C11A89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接地母线</w:t>
            </w:r>
          </w:p>
        </w:tc>
        <w:tc>
          <w:tcPr>
            <w:tcW w:w="3596"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195DD30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1.名称:接地母线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2.材质:-40*4热镀锌扁钢</w:t>
            </w:r>
          </w:p>
        </w:tc>
        <w:tc>
          <w:tcPr>
            <w:tcW w:w="75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6486FD9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11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6D135455">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45.08</w:t>
            </w:r>
          </w:p>
        </w:tc>
        <w:tc>
          <w:tcPr>
            <w:tcW w:w="122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FA9525C">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3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F29BED5">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95057EF">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B666E12">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14BFF33">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5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32D3BE4">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3F85F2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33F9F5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38</w:t>
            </w:r>
          </w:p>
        </w:tc>
        <w:tc>
          <w:tcPr>
            <w:tcW w:w="142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81641E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030409002002</w:t>
            </w:r>
          </w:p>
        </w:tc>
        <w:tc>
          <w:tcPr>
            <w:tcW w:w="1498"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1B03F6B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接地母线</w:t>
            </w:r>
          </w:p>
        </w:tc>
        <w:tc>
          <w:tcPr>
            <w:tcW w:w="3596"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66B3F22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1.名称:接地母线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2.材质:-40*4不锈钢扁钢</w:t>
            </w:r>
          </w:p>
        </w:tc>
        <w:tc>
          <w:tcPr>
            <w:tcW w:w="75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7232EDF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11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0907C3BA">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13.2</w:t>
            </w:r>
          </w:p>
        </w:tc>
        <w:tc>
          <w:tcPr>
            <w:tcW w:w="122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EE54C57">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3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FAE8629">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EF7A4D9">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16D5E2D">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77552A3">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5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D19C58C">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588A6B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A9138E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39</w:t>
            </w:r>
          </w:p>
        </w:tc>
        <w:tc>
          <w:tcPr>
            <w:tcW w:w="142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AD79F4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030409008001</w:t>
            </w:r>
          </w:p>
        </w:tc>
        <w:tc>
          <w:tcPr>
            <w:tcW w:w="1498"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5F8F7B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等电位端子箱、测试板</w:t>
            </w:r>
          </w:p>
        </w:tc>
        <w:tc>
          <w:tcPr>
            <w:tcW w:w="3596"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59D5382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1.名称:MEB总等电位端子箱</w:t>
            </w:r>
          </w:p>
        </w:tc>
        <w:tc>
          <w:tcPr>
            <w:tcW w:w="75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17B623C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11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693C3F89">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22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9CFA074">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3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6EB6E4C">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C9BB36C">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898D5F7">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84D647C">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5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BB9464F">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27849B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5CEB4F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40</w:t>
            </w:r>
          </w:p>
        </w:tc>
        <w:tc>
          <w:tcPr>
            <w:tcW w:w="142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DC3842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030409008002</w:t>
            </w:r>
          </w:p>
        </w:tc>
        <w:tc>
          <w:tcPr>
            <w:tcW w:w="1498"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77F3823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等电位端子箱、测试板</w:t>
            </w:r>
          </w:p>
        </w:tc>
        <w:tc>
          <w:tcPr>
            <w:tcW w:w="3596"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32C62E2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1.名称:LEB等电位端子箱</w:t>
            </w:r>
          </w:p>
        </w:tc>
        <w:tc>
          <w:tcPr>
            <w:tcW w:w="75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44C8DEF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11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6E2E702">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122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1D4ADFC">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3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9725299">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4C4FC0D">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F88CEC9">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8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7074831">
            <w:pPr>
              <w:keepNext w:val="0"/>
              <w:keepLines w:val="0"/>
              <w:pageBreakBefore w:val="0"/>
              <w:widowControl/>
              <w:kinsoku/>
              <w:wordWrap/>
              <w:overflowPunct/>
              <w:topLinePunct w:val="0"/>
              <w:autoSpaceDE/>
              <w:autoSpaceDN/>
              <w:bidi w:val="0"/>
              <w:adjustRightInd/>
              <w:snapToGrid/>
              <w:spacing w:line="240" w:lineRule="exact"/>
              <w:jc w:val="right"/>
              <w:rPr>
                <w:rFonts w:hint="eastAsia" w:ascii="宋体" w:hAnsi="宋体" w:eastAsia="宋体" w:cs="宋体"/>
                <w:i w:val="0"/>
                <w:iCs w:val="0"/>
                <w:color w:val="auto"/>
                <w:sz w:val="20"/>
                <w:szCs w:val="20"/>
                <w:highlight w:val="none"/>
                <w:u w:val="none"/>
              </w:rPr>
            </w:pPr>
          </w:p>
        </w:tc>
        <w:tc>
          <w:tcPr>
            <w:tcW w:w="75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6977029">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iCs w:val="0"/>
                <w:color w:val="auto"/>
                <w:sz w:val="20"/>
                <w:szCs w:val="20"/>
                <w:highlight w:val="none"/>
                <w:u w:val="none"/>
              </w:rPr>
            </w:pPr>
          </w:p>
        </w:tc>
      </w:tr>
      <w:tr w14:paraId="652FA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10159" w:type="dxa"/>
            <w:gridSpan w:val="17"/>
            <w:tcBorders>
              <w:top w:val="single" w:color="000000" w:sz="4" w:space="0"/>
              <w:left w:val="single" w:color="000000" w:sz="8" w:space="0"/>
              <w:bottom w:val="single" w:color="000000" w:sz="8" w:space="0"/>
              <w:right w:val="single" w:color="000000" w:sz="4" w:space="0"/>
            </w:tcBorders>
            <w:shd w:val="clear" w:color="FFFFFF" w:fill="FFFFFF"/>
            <w:vAlign w:val="center"/>
          </w:tcPr>
          <w:p w14:paraId="2ADC0C7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本页小计</w:t>
            </w:r>
          </w:p>
        </w:tc>
        <w:tc>
          <w:tcPr>
            <w:tcW w:w="838"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14:paraId="3CA76C5F">
            <w:pPr>
              <w:jc w:val="left"/>
              <w:rPr>
                <w:rFonts w:hint="eastAsia" w:ascii="宋体" w:hAnsi="宋体" w:eastAsia="宋体" w:cs="宋体"/>
                <w:i w:val="0"/>
                <w:iCs w:val="0"/>
                <w:color w:val="auto"/>
                <w:sz w:val="20"/>
                <w:szCs w:val="20"/>
                <w:highlight w:val="none"/>
                <w:u w:val="none"/>
              </w:rPr>
            </w:pPr>
          </w:p>
        </w:tc>
        <w:tc>
          <w:tcPr>
            <w:tcW w:w="883"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0571D4B2">
            <w:pPr>
              <w:jc w:val="left"/>
              <w:rPr>
                <w:rFonts w:hint="eastAsia" w:ascii="宋体" w:hAnsi="宋体" w:eastAsia="宋体" w:cs="宋体"/>
                <w:i w:val="0"/>
                <w:iCs w:val="0"/>
                <w:color w:val="auto"/>
                <w:sz w:val="20"/>
                <w:szCs w:val="20"/>
                <w:highlight w:val="none"/>
                <w:u w:val="none"/>
              </w:rPr>
            </w:pPr>
          </w:p>
        </w:tc>
        <w:tc>
          <w:tcPr>
            <w:tcW w:w="884"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4BFBEE45">
            <w:pPr>
              <w:jc w:val="left"/>
              <w:rPr>
                <w:rFonts w:hint="eastAsia" w:ascii="宋体" w:hAnsi="宋体" w:eastAsia="宋体" w:cs="宋体"/>
                <w:i w:val="0"/>
                <w:iCs w:val="0"/>
                <w:color w:val="auto"/>
                <w:sz w:val="20"/>
                <w:szCs w:val="20"/>
                <w:highlight w:val="none"/>
                <w:u w:val="none"/>
              </w:rPr>
            </w:pPr>
          </w:p>
        </w:tc>
        <w:tc>
          <w:tcPr>
            <w:tcW w:w="884"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5DB69383">
            <w:pPr>
              <w:jc w:val="left"/>
              <w:rPr>
                <w:rFonts w:hint="eastAsia" w:ascii="宋体" w:hAnsi="宋体" w:eastAsia="宋体" w:cs="宋体"/>
                <w:i w:val="0"/>
                <w:iCs w:val="0"/>
                <w:color w:val="auto"/>
                <w:sz w:val="20"/>
                <w:szCs w:val="20"/>
                <w:highlight w:val="none"/>
                <w:u w:val="none"/>
              </w:rPr>
            </w:pPr>
          </w:p>
        </w:tc>
        <w:tc>
          <w:tcPr>
            <w:tcW w:w="752"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27B095E7">
            <w:pPr>
              <w:jc w:val="left"/>
              <w:rPr>
                <w:rFonts w:hint="eastAsia" w:ascii="宋体" w:hAnsi="宋体" w:eastAsia="宋体" w:cs="宋体"/>
                <w:i w:val="0"/>
                <w:iCs w:val="0"/>
                <w:color w:val="auto"/>
                <w:sz w:val="20"/>
                <w:szCs w:val="20"/>
                <w:highlight w:val="none"/>
                <w:u w:val="none"/>
              </w:rPr>
            </w:pPr>
          </w:p>
        </w:tc>
      </w:tr>
      <w:tr w14:paraId="7D288D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 w:hRule="atLeast"/>
        </w:trPr>
        <w:tc>
          <w:tcPr>
            <w:tcW w:w="10995" w:type="dxa"/>
            <w:gridSpan w:val="18"/>
            <w:tcBorders>
              <w:top w:val="nil"/>
              <w:left w:val="nil"/>
              <w:bottom w:val="nil"/>
              <w:right w:val="nil"/>
            </w:tcBorders>
            <w:shd w:val="clear" w:color="FFFFFF" w:fill="FFFFFF"/>
            <w:vAlign w:val="center"/>
          </w:tcPr>
          <w:p w14:paraId="282BDF9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【表10.2.2-16】</w:t>
            </w:r>
          </w:p>
        </w:tc>
        <w:tc>
          <w:tcPr>
            <w:tcW w:w="3405" w:type="dxa"/>
            <w:gridSpan w:val="5"/>
            <w:tcBorders>
              <w:top w:val="nil"/>
              <w:left w:val="nil"/>
              <w:bottom w:val="nil"/>
              <w:right w:val="nil"/>
            </w:tcBorders>
            <w:shd w:val="clear" w:color="FFFFFF" w:fill="FFFFFF"/>
            <w:vAlign w:val="center"/>
          </w:tcPr>
          <w:p w14:paraId="3261A0B1">
            <w:pPr>
              <w:jc w:val="right"/>
              <w:rPr>
                <w:rFonts w:hint="eastAsia" w:ascii="宋体" w:hAnsi="宋体" w:eastAsia="宋体" w:cs="宋体"/>
                <w:i w:val="0"/>
                <w:iCs w:val="0"/>
                <w:color w:val="auto"/>
                <w:sz w:val="18"/>
                <w:szCs w:val="18"/>
                <w:highlight w:val="none"/>
                <w:u w:val="none"/>
              </w:rPr>
            </w:pPr>
          </w:p>
        </w:tc>
      </w:tr>
      <w:tr w14:paraId="5B3033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4400" w:type="dxa"/>
            <w:gridSpan w:val="23"/>
            <w:tcBorders>
              <w:top w:val="nil"/>
              <w:left w:val="nil"/>
              <w:bottom w:val="nil"/>
              <w:right w:val="nil"/>
            </w:tcBorders>
            <w:shd w:val="clear" w:color="FFFFFF" w:fill="FFFFFF"/>
            <w:vAlign w:val="center"/>
          </w:tcPr>
          <w:p w14:paraId="5C962B75">
            <w:pPr>
              <w:keepNext w:val="0"/>
              <w:keepLines w:val="0"/>
              <w:widowControl/>
              <w:suppressLineNumbers w:val="0"/>
              <w:jc w:val="center"/>
              <w:textAlignment w:val="center"/>
              <w:rPr>
                <w:rFonts w:hint="eastAsia" w:ascii="宋体" w:hAnsi="宋体" w:eastAsia="宋体" w:cs="宋体"/>
                <w:b/>
                <w:bCs/>
                <w:i w:val="0"/>
                <w:iCs w:val="0"/>
                <w:color w:val="auto"/>
                <w:sz w:val="40"/>
                <w:szCs w:val="40"/>
                <w:highlight w:val="none"/>
                <w:u w:val="none"/>
              </w:rPr>
            </w:pPr>
            <w:r>
              <w:rPr>
                <w:rFonts w:hint="eastAsia" w:ascii="宋体" w:hAnsi="宋体" w:eastAsia="宋体" w:cs="宋体"/>
                <w:b/>
                <w:bCs/>
                <w:i w:val="0"/>
                <w:iCs w:val="0"/>
                <w:color w:val="auto"/>
                <w:kern w:val="0"/>
                <w:sz w:val="40"/>
                <w:szCs w:val="40"/>
                <w:highlight w:val="none"/>
                <w:u w:val="none"/>
                <w:lang w:val="en-US" w:eastAsia="zh-CN" w:bidi="ar"/>
              </w:rPr>
              <w:t>分部分项工程清单与计价表</w:t>
            </w:r>
          </w:p>
        </w:tc>
      </w:tr>
      <w:tr w14:paraId="07930E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3470" w:type="dxa"/>
            <w:gridSpan w:val="5"/>
            <w:tcBorders>
              <w:top w:val="nil"/>
              <w:left w:val="nil"/>
              <w:bottom w:val="nil"/>
              <w:right w:val="nil"/>
            </w:tcBorders>
            <w:shd w:val="clear" w:color="FFFFFF" w:fill="FFFFFF"/>
            <w:vAlign w:val="bottom"/>
          </w:tcPr>
          <w:p w14:paraId="47787D12">
            <w:pPr>
              <w:keepNext w:val="0"/>
              <w:keepLines w:val="0"/>
              <w:widowControl/>
              <w:suppressLineNumbers w:val="0"/>
              <w:jc w:val="lef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工程名称：单项工程-配套用房安装工程</w:t>
            </w:r>
          </w:p>
        </w:tc>
        <w:tc>
          <w:tcPr>
            <w:tcW w:w="7525" w:type="dxa"/>
            <w:gridSpan w:val="13"/>
            <w:tcBorders>
              <w:top w:val="nil"/>
              <w:left w:val="nil"/>
              <w:bottom w:val="nil"/>
              <w:right w:val="nil"/>
            </w:tcBorders>
            <w:shd w:val="clear" w:color="FFFFFF" w:fill="FFFFFF"/>
            <w:vAlign w:val="bottom"/>
          </w:tcPr>
          <w:p w14:paraId="3D2C7304">
            <w:pPr>
              <w:keepNext w:val="0"/>
              <w:keepLines w:val="0"/>
              <w:widowControl/>
              <w:suppressLineNumbers w:val="0"/>
              <w:jc w:val="lef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标段：</w:t>
            </w:r>
          </w:p>
        </w:tc>
        <w:tc>
          <w:tcPr>
            <w:tcW w:w="3405" w:type="dxa"/>
            <w:gridSpan w:val="5"/>
            <w:tcBorders>
              <w:top w:val="nil"/>
              <w:left w:val="nil"/>
              <w:bottom w:val="nil"/>
              <w:right w:val="nil"/>
            </w:tcBorders>
            <w:shd w:val="clear" w:color="FFFFFF" w:fill="FFFFFF"/>
            <w:vAlign w:val="bottom"/>
          </w:tcPr>
          <w:p w14:paraId="49C47697">
            <w:pPr>
              <w:keepNext w:val="0"/>
              <w:keepLines w:val="0"/>
              <w:widowControl/>
              <w:suppressLineNumbers w:val="0"/>
              <w:jc w:val="righ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第 7 页  共 7 页</w:t>
            </w:r>
          </w:p>
        </w:tc>
      </w:tr>
      <w:tr w14:paraId="4585F3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555"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75BA0E3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序号</w:t>
            </w:r>
          </w:p>
        </w:tc>
        <w:tc>
          <w:tcPr>
            <w:tcW w:w="1416"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E01D7A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项目编码</w:t>
            </w:r>
          </w:p>
        </w:tc>
        <w:tc>
          <w:tcPr>
            <w:tcW w:w="1499" w:type="dxa"/>
            <w:gridSpan w:val="3"/>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3F8F0C8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项目名称</w:t>
            </w:r>
          </w:p>
        </w:tc>
        <w:tc>
          <w:tcPr>
            <w:tcW w:w="3598" w:type="dxa"/>
            <w:gridSpan w:val="3"/>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34FC339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项目特征</w:t>
            </w:r>
          </w:p>
        </w:tc>
        <w:tc>
          <w:tcPr>
            <w:tcW w:w="750" w:type="dxa"/>
            <w:gridSpan w:val="3"/>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BF6CC8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计量单位</w:t>
            </w:r>
          </w:p>
        </w:tc>
        <w:tc>
          <w:tcPr>
            <w:tcW w:w="1109" w:type="dxa"/>
            <w:gridSpan w:val="3"/>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1600C20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工程量</w:t>
            </w:r>
          </w:p>
        </w:tc>
        <w:tc>
          <w:tcPr>
            <w:tcW w:w="4721" w:type="dxa"/>
            <w:gridSpan w:val="8"/>
            <w:tcBorders>
              <w:top w:val="single" w:color="000000" w:sz="8" w:space="0"/>
              <w:left w:val="single" w:color="000000" w:sz="4" w:space="0"/>
              <w:bottom w:val="single" w:color="000000" w:sz="4" w:space="0"/>
              <w:right w:val="single" w:color="000000" w:sz="4" w:space="0"/>
            </w:tcBorders>
            <w:shd w:val="clear" w:color="FFFFFF" w:fill="FFFFFF"/>
            <w:vAlign w:val="center"/>
          </w:tcPr>
          <w:p w14:paraId="6285C04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金额（元）</w:t>
            </w:r>
          </w:p>
        </w:tc>
        <w:tc>
          <w:tcPr>
            <w:tcW w:w="752" w:type="dxa"/>
            <w:vMerge w:val="restart"/>
            <w:tcBorders>
              <w:top w:val="single" w:color="000000" w:sz="8" w:space="0"/>
              <w:left w:val="single" w:color="000000" w:sz="4" w:space="0"/>
              <w:bottom w:val="single" w:color="000000" w:sz="4" w:space="0"/>
              <w:right w:val="single" w:color="000000" w:sz="8" w:space="0"/>
            </w:tcBorders>
            <w:shd w:val="clear" w:color="FFFFFF" w:fill="FFFFFF"/>
            <w:vAlign w:val="center"/>
          </w:tcPr>
          <w:p w14:paraId="5D92D67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备注</w:t>
            </w:r>
          </w:p>
        </w:tc>
      </w:tr>
      <w:tr w14:paraId="1F80D8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555"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2BC8A84B">
            <w:pPr>
              <w:jc w:val="center"/>
              <w:rPr>
                <w:rFonts w:hint="eastAsia" w:ascii="宋体" w:hAnsi="宋体" w:eastAsia="宋体" w:cs="宋体"/>
                <w:i w:val="0"/>
                <w:iCs w:val="0"/>
                <w:color w:val="auto"/>
                <w:sz w:val="20"/>
                <w:szCs w:val="20"/>
                <w:highlight w:val="none"/>
                <w:u w:val="none"/>
              </w:rPr>
            </w:pPr>
          </w:p>
        </w:tc>
        <w:tc>
          <w:tcPr>
            <w:tcW w:w="141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86151F3">
            <w:pPr>
              <w:jc w:val="center"/>
              <w:rPr>
                <w:rFonts w:hint="eastAsia" w:ascii="宋体" w:hAnsi="宋体" w:eastAsia="宋体" w:cs="宋体"/>
                <w:i w:val="0"/>
                <w:iCs w:val="0"/>
                <w:color w:val="auto"/>
                <w:sz w:val="20"/>
                <w:szCs w:val="20"/>
                <w:highlight w:val="none"/>
                <w:u w:val="none"/>
              </w:rPr>
            </w:pPr>
          </w:p>
        </w:tc>
        <w:tc>
          <w:tcPr>
            <w:tcW w:w="1499" w:type="dxa"/>
            <w:gridSpan w:val="3"/>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2B66708">
            <w:pPr>
              <w:jc w:val="center"/>
              <w:rPr>
                <w:rFonts w:hint="eastAsia" w:ascii="宋体" w:hAnsi="宋体" w:eastAsia="宋体" w:cs="宋体"/>
                <w:i w:val="0"/>
                <w:iCs w:val="0"/>
                <w:color w:val="auto"/>
                <w:sz w:val="20"/>
                <w:szCs w:val="20"/>
                <w:highlight w:val="none"/>
                <w:u w:val="none"/>
              </w:rPr>
            </w:pPr>
          </w:p>
        </w:tc>
        <w:tc>
          <w:tcPr>
            <w:tcW w:w="3598" w:type="dxa"/>
            <w:gridSpan w:val="3"/>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E5A2EA4">
            <w:pPr>
              <w:jc w:val="center"/>
              <w:rPr>
                <w:rFonts w:hint="eastAsia" w:ascii="宋体" w:hAnsi="宋体" w:eastAsia="宋体" w:cs="宋体"/>
                <w:i w:val="0"/>
                <w:iCs w:val="0"/>
                <w:color w:val="auto"/>
                <w:sz w:val="20"/>
                <w:szCs w:val="20"/>
                <w:highlight w:val="none"/>
                <w:u w:val="none"/>
              </w:rPr>
            </w:pPr>
          </w:p>
        </w:tc>
        <w:tc>
          <w:tcPr>
            <w:tcW w:w="750" w:type="dxa"/>
            <w:gridSpan w:val="3"/>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5C0BFC1">
            <w:pPr>
              <w:jc w:val="center"/>
              <w:rPr>
                <w:rFonts w:hint="eastAsia" w:ascii="宋体" w:hAnsi="宋体" w:eastAsia="宋体" w:cs="宋体"/>
                <w:i w:val="0"/>
                <w:iCs w:val="0"/>
                <w:color w:val="auto"/>
                <w:sz w:val="20"/>
                <w:szCs w:val="20"/>
                <w:highlight w:val="none"/>
                <w:u w:val="none"/>
              </w:rPr>
            </w:pPr>
          </w:p>
        </w:tc>
        <w:tc>
          <w:tcPr>
            <w:tcW w:w="1109" w:type="dxa"/>
            <w:gridSpan w:val="3"/>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9F6A24A">
            <w:pPr>
              <w:jc w:val="center"/>
              <w:rPr>
                <w:rFonts w:hint="eastAsia" w:ascii="宋体" w:hAnsi="宋体" w:eastAsia="宋体" w:cs="宋体"/>
                <w:i w:val="0"/>
                <w:iCs w:val="0"/>
                <w:color w:val="auto"/>
                <w:sz w:val="20"/>
                <w:szCs w:val="20"/>
                <w:highlight w:val="none"/>
                <w:u w:val="none"/>
              </w:rPr>
            </w:pPr>
          </w:p>
        </w:tc>
        <w:tc>
          <w:tcPr>
            <w:tcW w:w="1229" w:type="dxa"/>
            <w:gridSpan w:val="2"/>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3020D9C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综合单价</w:t>
            </w:r>
          </w:p>
        </w:tc>
        <w:tc>
          <w:tcPr>
            <w:tcW w:w="839" w:type="dxa"/>
            <w:gridSpan w:val="2"/>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376C8C1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合价</w:t>
            </w:r>
          </w:p>
        </w:tc>
        <w:tc>
          <w:tcPr>
            <w:tcW w:w="265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B55910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其中</w:t>
            </w:r>
          </w:p>
        </w:tc>
        <w:tc>
          <w:tcPr>
            <w:tcW w:w="752" w:type="dxa"/>
            <w:vMerge w:val="continue"/>
            <w:tcBorders>
              <w:top w:val="single" w:color="000000" w:sz="8" w:space="0"/>
              <w:left w:val="single" w:color="000000" w:sz="4" w:space="0"/>
              <w:bottom w:val="single" w:color="000000" w:sz="4" w:space="0"/>
              <w:right w:val="single" w:color="000000" w:sz="8" w:space="0"/>
            </w:tcBorders>
            <w:shd w:val="clear" w:color="FFFFFF" w:fill="FFFFFF"/>
            <w:vAlign w:val="center"/>
          </w:tcPr>
          <w:p w14:paraId="7D7139FE">
            <w:pPr>
              <w:jc w:val="center"/>
              <w:rPr>
                <w:rFonts w:hint="eastAsia" w:ascii="宋体" w:hAnsi="宋体" w:eastAsia="宋体" w:cs="宋体"/>
                <w:i w:val="0"/>
                <w:iCs w:val="0"/>
                <w:color w:val="auto"/>
                <w:sz w:val="20"/>
                <w:szCs w:val="20"/>
                <w:highlight w:val="none"/>
                <w:u w:val="none"/>
              </w:rPr>
            </w:pPr>
          </w:p>
        </w:tc>
      </w:tr>
      <w:tr w14:paraId="3B54B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555"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37D7FBA0">
            <w:pPr>
              <w:jc w:val="center"/>
              <w:rPr>
                <w:rFonts w:hint="eastAsia" w:ascii="宋体" w:hAnsi="宋体" w:eastAsia="宋体" w:cs="宋体"/>
                <w:i w:val="0"/>
                <w:iCs w:val="0"/>
                <w:color w:val="auto"/>
                <w:sz w:val="20"/>
                <w:szCs w:val="20"/>
                <w:highlight w:val="none"/>
                <w:u w:val="none"/>
              </w:rPr>
            </w:pPr>
          </w:p>
        </w:tc>
        <w:tc>
          <w:tcPr>
            <w:tcW w:w="141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DFC2B66">
            <w:pPr>
              <w:jc w:val="center"/>
              <w:rPr>
                <w:rFonts w:hint="eastAsia" w:ascii="宋体" w:hAnsi="宋体" w:eastAsia="宋体" w:cs="宋体"/>
                <w:i w:val="0"/>
                <w:iCs w:val="0"/>
                <w:color w:val="auto"/>
                <w:sz w:val="20"/>
                <w:szCs w:val="20"/>
                <w:highlight w:val="none"/>
                <w:u w:val="none"/>
              </w:rPr>
            </w:pPr>
          </w:p>
        </w:tc>
        <w:tc>
          <w:tcPr>
            <w:tcW w:w="1499" w:type="dxa"/>
            <w:gridSpan w:val="3"/>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C60B923">
            <w:pPr>
              <w:jc w:val="center"/>
              <w:rPr>
                <w:rFonts w:hint="eastAsia" w:ascii="宋体" w:hAnsi="宋体" w:eastAsia="宋体" w:cs="宋体"/>
                <w:i w:val="0"/>
                <w:iCs w:val="0"/>
                <w:color w:val="auto"/>
                <w:sz w:val="20"/>
                <w:szCs w:val="20"/>
                <w:highlight w:val="none"/>
                <w:u w:val="none"/>
              </w:rPr>
            </w:pPr>
          </w:p>
        </w:tc>
        <w:tc>
          <w:tcPr>
            <w:tcW w:w="3598" w:type="dxa"/>
            <w:gridSpan w:val="3"/>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485B99A">
            <w:pPr>
              <w:jc w:val="center"/>
              <w:rPr>
                <w:rFonts w:hint="eastAsia" w:ascii="宋体" w:hAnsi="宋体" w:eastAsia="宋体" w:cs="宋体"/>
                <w:i w:val="0"/>
                <w:iCs w:val="0"/>
                <w:color w:val="auto"/>
                <w:sz w:val="20"/>
                <w:szCs w:val="20"/>
                <w:highlight w:val="none"/>
                <w:u w:val="none"/>
              </w:rPr>
            </w:pPr>
          </w:p>
        </w:tc>
        <w:tc>
          <w:tcPr>
            <w:tcW w:w="750" w:type="dxa"/>
            <w:gridSpan w:val="3"/>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2F9D6E6">
            <w:pPr>
              <w:jc w:val="center"/>
              <w:rPr>
                <w:rFonts w:hint="eastAsia" w:ascii="宋体" w:hAnsi="宋体" w:eastAsia="宋体" w:cs="宋体"/>
                <w:i w:val="0"/>
                <w:iCs w:val="0"/>
                <w:color w:val="auto"/>
                <w:sz w:val="20"/>
                <w:szCs w:val="20"/>
                <w:highlight w:val="none"/>
                <w:u w:val="none"/>
              </w:rPr>
            </w:pPr>
          </w:p>
        </w:tc>
        <w:tc>
          <w:tcPr>
            <w:tcW w:w="1109" w:type="dxa"/>
            <w:gridSpan w:val="3"/>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B84633B">
            <w:pPr>
              <w:jc w:val="center"/>
              <w:rPr>
                <w:rFonts w:hint="eastAsia" w:ascii="宋体" w:hAnsi="宋体" w:eastAsia="宋体" w:cs="宋体"/>
                <w:i w:val="0"/>
                <w:iCs w:val="0"/>
                <w:color w:val="auto"/>
                <w:sz w:val="20"/>
                <w:szCs w:val="20"/>
                <w:highlight w:val="none"/>
                <w:u w:val="none"/>
              </w:rPr>
            </w:pPr>
          </w:p>
        </w:tc>
        <w:tc>
          <w:tcPr>
            <w:tcW w:w="1229" w:type="dxa"/>
            <w:gridSpan w:val="2"/>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2682D108">
            <w:pPr>
              <w:jc w:val="center"/>
              <w:rPr>
                <w:rFonts w:hint="eastAsia" w:ascii="宋体" w:hAnsi="宋体" w:eastAsia="宋体" w:cs="宋体"/>
                <w:i w:val="0"/>
                <w:iCs w:val="0"/>
                <w:color w:val="auto"/>
                <w:sz w:val="20"/>
                <w:szCs w:val="20"/>
                <w:highlight w:val="none"/>
                <w:u w:val="none"/>
              </w:rPr>
            </w:pPr>
          </w:p>
        </w:tc>
        <w:tc>
          <w:tcPr>
            <w:tcW w:w="839" w:type="dxa"/>
            <w:gridSpan w:val="2"/>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63FFB9F6">
            <w:pPr>
              <w:jc w:val="center"/>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80C5CE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人工费</w:t>
            </w:r>
          </w:p>
        </w:tc>
        <w:tc>
          <w:tcPr>
            <w:tcW w:w="8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C25376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机械费</w:t>
            </w:r>
          </w:p>
        </w:tc>
        <w:tc>
          <w:tcPr>
            <w:tcW w:w="8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5CD700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暂估价</w:t>
            </w:r>
          </w:p>
        </w:tc>
        <w:tc>
          <w:tcPr>
            <w:tcW w:w="752" w:type="dxa"/>
            <w:vMerge w:val="continue"/>
            <w:tcBorders>
              <w:top w:val="single" w:color="000000" w:sz="8" w:space="0"/>
              <w:left w:val="single" w:color="000000" w:sz="4" w:space="0"/>
              <w:bottom w:val="single" w:color="000000" w:sz="4" w:space="0"/>
              <w:right w:val="single" w:color="000000" w:sz="8" w:space="0"/>
            </w:tcBorders>
            <w:shd w:val="clear" w:color="FFFFFF" w:fill="FFFFFF"/>
            <w:vAlign w:val="center"/>
          </w:tcPr>
          <w:p w14:paraId="083F64EE">
            <w:pPr>
              <w:jc w:val="center"/>
              <w:rPr>
                <w:rFonts w:hint="eastAsia" w:ascii="宋体" w:hAnsi="宋体" w:eastAsia="宋体" w:cs="宋体"/>
                <w:i w:val="0"/>
                <w:iCs w:val="0"/>
                <w:color w:val="auto"/>
                <w:sz w:val="20"/>
                <w:szCs w:val="20"/>
                <w:highlight w:val="none"/>
                <w:u w:val="none"/>
              </w:rPr>
            </w:pPr>
          </w:p>
        </w:tc>
      </w:tr>
      <w:tr w14:paraId="4EC81B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176441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41</w:t>
            </w: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C5D2CC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031002003001</w:t>
            </w:r>
          </w:p>
        </w:tc>
        <w:tc>
          <w:tcPr>
            <w:tcW w:w="149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10ADCB8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套管</w:t>
            </w:r>
          </w:p>
        </w:tc>
        <w:tc>
          <w:tcPr>
            <w:tcW w:w="3598"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2317E5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1.类型:刚性防水套管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2.规格:DN50</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3.填料材质:套管与管道之间的缝隙加填料和防水油膏填实,端面光滑</w:t>
            </w:r>
          </w:p>
        </w:tc>
        <w:tc>
          <w:tcPr>
            <w:tcW w:w="75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D99F03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10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1D7969FB">
            <w:pPr>
              <w:keepNext w:val="0"/>
              <w:keepLines w:val="0"/>
              <w:widowControl/>
              <w:suppressLineNumbers w:val="0"/>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122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6A55B42">
            <w:pPr>
              <w:jc w:val="right"/>
              <w:rPr>
                <w:rFonts w:hint="eastAsia" w:ascii="宋体" w:hAnsi="宋体" w:eastAsia="宋体" w:cs="宋体"/>
                <w:i w:val="0"/>
                <w:iCs w:val="0"/>
                <w:color w:val="auto"/>
                <w:sz w:val="20"/>
                <w:szCs w:val="20"/>
                <w:highlight w:val="none"/>
                <w:u w:val="none"/>
              </w:rPr>
            </w:pPr>
          </w:p>
        </w:tc>
        <w:tc>
          <w:tcPr>
            <w:tcW w:w="83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31BF3FF">
            <w:pPr>
              <w:jc w:val="right"/>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F5D71FE">
            <w:pPr>
              <w:jc w:val="right"/>
              <w:rPr>
                <w:rFonts w:hint="eastAsia" w:ascii="宋体" w:hAnsi="宋体" w:eastAsia="宋体" w:cs="宋体"/>
                <w:i w:val="0"/>
                <w:iCs w:val="0"/>
                <w:color w:val="auto"/>
                <w:sz w:val="20"/>
                <w:szCs w:val="20"/>
                <w:highlight w:val="none"/>
                <w:u w:val="none"/>
              </w:rPr>
            </w:pPr>
          </w:p>
        </w:tc>
        <w:tc>
          <w:tcPr>
            <w:tcW w:w="8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164D5EB">
            <w:pPr>
              <w:jc w:val="right"/>
              <w:rPr>
                <w:rFonts w:hint="eastAsia" w:ascii="宋体" w:hAnsi="宋体" w:eastAsia="宋体" w:cs="宋体"/>
                <w:i w:val="0"/>
                <w:iCs w:val="0"/>
                <w:color w:val="auto"/>
                <w:sz w:val="20"/>
                <w:szCs w:val="20"/>
                <w:highlight w:val="none"/>
                <w:u w:val="none"/>
              </w:rPr>
            </w:pPr>
          </w:p>
        </w:tc>
        <w:tc>
          <w:tcPr>
            <w:tcW w:w="8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F2CCD54">
            <w:pPr>
              <w:jc w:val="right"/>
              <w:rPr>
                <w:rFonts w:hint="eastAsia" w:ascii="宋体" w:hAnsi="宋体" w:eastAsia="宋体" w:cs="宋体"/>
                <w:i w:val="0"/>
                <w:iCs w:val="0"/>
                <w:color w:val="auto"/>
                <w:sz w:val="20"/>
                <w:szCs w:val="20"/>
                <w:highlight w:val="none"/>
                <w:u w:val="none"/>
              </w:rPr>
            </w:pPr>
          </w:p>
        </w:tc>
        <w:tc>
          <w:tcPr>
            <w:tcW w:w="75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97B4176">
            <w:pPr>
              <w:jc w:val="left"/>
              <w:rPr>
                <w:rFonts w:hint="eastAsia" w:ascii="宋体" w:hAnsi="宋体" w:eastAsia="宋体" w:cs="宋体"/>
                <w:i w:val="0"/>
                <w:iCs w:val="0"/>
                <w:color w:val="auto"/>
                <w:sz w:val="20"/>
                <w:szCs w:val="20"/>
                <w:highlight w:val="none"/>
                <w:u w:val="none"/>
              </w:rPr>
            </w:pPr>
          </w:p>
        </w:tc>
      </w:tr>
      <w:tr w14:paraId="5ED440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27A654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42</w:t>
            </w: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F79DA8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031002003002</w:t>
            </w:r>
          </w:p>
        </w:tc>
        <w:tc>
          <w:tcPr>
            <w:tcW w:w="149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439A4C6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套管</w:t>
            </w:r>
          </w:p>
        </w:tc>
        <w:tc>
          <w:tcPr>
            <w:tcW w:w="3598"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656D70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1.类型:刚性防水套管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2.规格:DN80</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3.填料材质:套管与管道之间的缝隙加填料和防水油膏填实,端面光滑</w:t>
            </w:r>
          </w:p>
        </w:tc>
        <w:tc>
          <w:tcPr>
            <w:tcW w:w="75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0D986F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10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6D75798C">
            <w:pPr>
              <w:keepNext w:val="0"/>
              <w:keepLines w:val="0"/>
              <w:widowControl/>
              <w:suppressLineNumbers w:val="0"/>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22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DDDEB8C">
            <w:pPr>
              <w:jc w:val="right"/>
              <w:rPr>
                <w:rFonts w:hint="eastAsia" w:ascii="宋体" w:hAnsi="宋体" w:eastAsia="宋体" w:cs="宋体"/>
                <w:i w:val="0"/>
                <w:iCs w:val="0"/>
                <w:color w:val="auto"/>
                <w:sz w:val="20"/>
                <w:szCs w:val="20"/>
                <w:highlight w:val="none"/>
                <w:u w:val="none"/>
              </w:rPr>
            </w:pPr>
          </w:p>
        </w:tc>
        <w:tc>
          <w:tcPr>
            <w:tcW w:w="83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A612254">
            <w:pPr>
              <w:jc w:val="right"/>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588A1D5">
            <w:pPr>
              <w:jc w:val="right"/>
              <w:rPr>
                <w:rFonts w:hint="eastAsia" w:ascii="宋体" w:hAnsi="宋体" w:eastAsia="宋体" w:cs="宋体"/>
                <w:i w:val="0"/>
                <w:iCs w:val="0"/>
                <w:color w:val="auto"/>
                <w:sz w:val="20"/>
                <w:szCs w:val="20"/>
                <w:highlight w:val="none"/>
                <w:u w:val="none"/>
              </w:rPr>
            </w:pPr>
          </w:p>
        </w:tc>
        <w:tc>
          <w:tcPr>
            <w:tcW w:w="8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08358C9">
            <w:pPr>
              <w:jc w:val="right"/>
              <w:rPr>
                <w:rFonts w:hint="eastAsia" w:ascii="宋体" w:hAnsi="宋体" w:eastAsia="宋体" w:cs="宋体"/>
                <w:i w:val="0"/>
                <w:iCs w:val="0"/>
                <w:color w:val="auto"/>
                <w:sz w:val="20"/>
                <w:szCs w:val="20"/>
                <w:highlight w:val="none"/>
                <w:u w:val="none"/>
              </w:rPr>
            </w:pPr>
          </w:p>
        </w:tc>
        <w:tc>
          <w:tcPr>
            <w:tcW w:w="8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37ADC74">
            <w:pPr>
              <w:jc w:val="right"/>
              <w:rPr>
                <w:rFonts w:hint="eastAsia" w:ascii="宋体" w:hAnsi="宋体" w:eastAsia="宋体" w:cs="宋体"/>
                <w:i w:val="0"/>
                <w:iCs w:val="0"/>
                <w:color w:val="auto"/>
                <w:sz w:val="20"/>
                <w:szCs w:val="20"/>
                <w:highlight w:val="none"/>
                <w:u w:val="none"/>
              </w:rPr>
            </w:pPr>
          </w:p>
        </w:tc>
        <w:tc>
          <w:tcPr>
            <w:tcW w:w="75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995CB9A">
            <w:pPr>
              <w:jc w:val="left"/>
              <w:rPr>
                <w:rFonts w:hint="eastAsia" w:ascii="宋体" w:hAnsi="宋体" w:eastAsia="宋体" w:cs="宋体"/>
                <w:i w:val="0"/>
                <w:iCs w:val="0"/>
                <w:color w:val="auto"/>
                <w:sz w:val="20"/>
                <w:szCs w:val="20"/>
                <w:highlight w:val="none"/>
                <w:u w:val="none"/>
              </w:rPr>
            </w:pPr>
          </w:p>
        </w:tc>
      </w:tr>
      <w:tr w14:paraId="162EA9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BA52D49">
            <w:pPr>
              <w:jc w:val="center"/>
              <w:rPr>
                <w:rFonts w:hint="eastAsia" w:ascii="宋体" w:hAnsi="宋体" w:eastAsia="宋体" w:cs="宋体"/>
                <w:i w:val="0"/>
                <w:iCs w:val="0"/>
                <w:color w:val="auto"/>
                <w:sz w:val="20"/>
                <w:szCs w:val="20"/>
                <w:highlight w:val="none"/>
                <w:u w:val="none"/>
              </w:rPr>
            </w:pP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5991ABC">
            <w:pPr>
              <w:jc w:val="center"/>
              <w:rPr>
                <w:rFonts w:hint="eastAsia" w:ascii="宋体" w:hAnsi="宋体" w:eastAsia="宋体" w:cs="宋体"/>
                <w:i w:val="0"/>
                <w:iCs w:val="0"/>
                <w:color w:val="auto"/>
                <w:sz w:val="20"/>
                <w:szCs w:val="20"/>
                <w:highlight w:val="none"/>
                <w:u w:val="none"/>
              </w:rPr>
            </w:pPr>
          </w:p>
        </w:tc>
        <w:tc>
          <w:tcPr>
            <w:tcW w:w="149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625C2C5F">
            <w:pPr>
              <w:jc w:val="left"/>
              <w:rPr>
                <w:rFonts w:hint="eastAsia" w:ascii="宋体" w:hAnsi="宋体" w:eastAsia="宋体" w:cs="宋体"/>
                <w:i w:val="0"/>
                <w:iCs w:val="0"/>
                <w:color w:val="auto"/>
                <w:sz w:val="20"/>
                <w:szCs w:val="20"/>
                <w:highlight w:val="none"/>
                <w:u w:val="none"/>
              </w:rPr>
            </w:pPr>
          </w:p>
        </w:tc>
        <w:tc>
          <w:tcPr>
            <w:tcW w:w="3598"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7CC0706D">
            <w:pPr>
              <w:jc w:val="left"/>
              <w:rPr>
                <w:rFonts w:hint="eastAsia" w:ascii="宋体" w:hAnsi="宋体" w:eastAsia="宋体" w:cs="宋体"/>
                <w:i w:val="0"/>
                <w:iCs w:val="0"/>
                <w:color w:val="auto"/>
                <w:sz w:val="20"/>
                <w:szCs w:val="20"/>
                <w:highlight w:val="none"/>
                <w:u w:val="none"/>
              </w:rPr>
            </w:pPr>
          </w:p>
        </w:tc>
        <w:tc>
          <w:tcPr>
            <w:tcW w:w="75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0E78574B">
            <w:pPr>
              <w:jc w:val="center"/>
              <w:rPr>
                <w:rFonts w:hint="eastAsia" w:ascii="宋体" w:hAnsi="宋体" w:eastAsia="宋体" w:cs="宋体"/>
                <w:i w:val="0"/>
                <w:iCs w:val="0"/>
                <w:color w:val="auto"/>
                <w:sz w:val="20"/>
                <w:szCs w:val="20"/>
                <w:highlight w:val="none"/>
                <w:u w:val="none"/>
              </w:rPr>
            </w:pPr>
          </w:p>
        </w:tc>
        <w:tc>
          <w:tcPr>
            <w:tcW w:w="110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730A04EC">
            <w:pPr>
              <w:jc w:val="right"/>
              <w:rPr>
                <w:rFonts w:hint="eastAsia" w:ascii="宋体" w:hAnsi="宋体" w:eastAsia="宋体" w:cs="宋体"/>
                <w:i w:val="0"/>
                <w:iCs w:val="0"/>
                <w:color w:val="auto"/>
                <w:sz w:val="20"/>
                <w:szCs w:val="20"/>
                <w:highlight w:val="none"/>
                <w:u w:val="none"/>
              </w:rPr>
            </w:pPr>
          </w:p>
        </w:tc>
        <w:tc>
          <w:tcPr>
            <w:tcW w:w="122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F3715C3">
            <w:pPr>
              <w:jc w:val="right"/>
              <w:rPr>
                <w:rFonts w:hint="eastAsia" w:ascii="宋体" w:hAnsi="宋体" w:eastAsia="宋体" w:cs="宋体"/>
                <w:i w:val="0"/>
                <w:iCs w:val="0"/>
                <w:color w:val="auto"/>
                <w:sz w:val="20"/>
                <w:szCs w:val="20"/>
                <w:highlight w:val="none"/>
                <w:u w:val="none"/>
              </w:rPr>
            </w:pPr>
          </w:p>
        </w:tc>
        <w:tc>
          <w:tcPr>
            <w:tcW w:w="83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4796D7E">
            <w:pPr>
              <w:jc w:val="right"/>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B806212">
            <w:pPr>
              <w:jc w:val="right"/>
              <w:rPr>
                <w:rFonts w:hint="eastAsia" w:ascii="宋体" w:hAnsi="宋体" w:eastAsia="宋体" w:cs="宋体"/>
                <w:i w:val="0"/>
                <w:iCs w:val="0"/>
                <w:color w:val="auto"/>
                <w:sz w:val="20"/>
                <w:szCs w:val="20"/>
                <w:highlight w:val="none"/>
                <w:u w:val="none"/>
              </w:rPr>
            </w:pPr>
          </w:p>
        </w:tc>
        <w:tc>
          <w:tcPr>
            <w:tcW w:w="8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A852995">
            <w:pPr>
              <w:jc w:val="right"/>
              <w:rPr>
                <w:rFonts w:hint="eastAsia" w:ascii="宋体" w:hAnsi="宋体" w:eastAsia="宋体" w:cs="宋体"/>
                <w:i w:val="0"/>
                <w:iCs w:val="0"/>
                <w:color w:val="auto"/>
                <w:sz w:val="20"/>
                <w:szCs w:val="20"/>
                <w:highlight w:val="none"/>
                <w:u w:val="none"/>
              </w:rPr>
            </w:pPr>
          </w:p>
        </w:tc>
        <w:tc>
          <w:tcPr>
            <w:tcW w:w="8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64E278C">
            <w:pPr>
              <w:jc w:val="right"/>
              <w:rPr>
                <w:rFonts w:hint="eastAsia" w:ascii="宋体" w:hAnsi="宋体" w:eastAsia="宋体" w:cs="宋体"/>
                <w:i w:val="0"/>
                <w:iCs w:val="0"/>
                <w:color w:val="auto"/>
                <w:sz w:val="20"/>
                <w:szCs w:val="20"/>
                <w:highlight w:val="none"/>
                <w:u w:val="none"/>
              </w:rPr>
            </w:pPr>
          </w:p>
        </w:tc>
        <w:tc>
          <w:tcPr>
            <w:tcW w:w="75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0E0A033E">
            <w:pPr>
              <w:jc w:val="left"/>
              <w:rPr>
                <w:rFonts w:hint="eastAsia" w:ascii="宋体" w:hAnsi="宋体" w:eastAsia="宋体" w:cs="宋体"/>
                <w:i w:val="0"/>
                <w:iCs w:val="0"/>
                <w:color w:val="auto"/>
                <w:sz w:val="20"/>
                <w:szCs w:val="20"/>
                <w:highlight w:val="none"/>
                <w:u w:val="none"/>
              </w:rPr>
            </w:pPr>
          </w:p>
        </w:tc>
      </w:tr>
      <w:tr w14:paraId="3339E5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82DED72">
            <w:pPr>
              <w:jc w:val="center"/>
              <w:rPr>
                <w:rFonts w:hint="eastAsia" w:ascii="宋体" w:hAnsi="宋体" w:eastAsia="宋体" w:cs="宋体"/>
                <w:i w:val="0"/>
                <w:iCs w:val="0"/>
                <w:color w:val="auto"/>
                <w:sz w:val="20"/>
                <w:szCs w:val="20"/>
                <w:highlight w:val="none"/>
                <w:u w:val="none"/>
              </w:rPr>
            </w:pP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5A48BB0">
            <w:pPr>
              <w:jc w:val="center"/>
              <w:rPr>
                <w:rFonts w:hint="eastAsia" w:ascii="宋体" w:hAnsi="宋体" w:eastAsia="宋体" w:cs="宋体"/>
                <w:i w:val="0"/>
                <w:iCs w:val="0"/>
                <w:color w:val="auto"/>
                <w:sz w:val="20"/>
                <w:szCs w:val="20"/>
                <w:highlight w:val="none"/>
                <w:u w:val="none"/>
              </w:rPr>
            </w:pPr>
          </w:p>
        </w:tc>
        <w:tc>
          <w:tcPr>
            <w:tcW w:w="149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6BAE1706">
            <w:pPr>
              <w:jc w:val="left"/>
              <w:rPr>
                <w:rFonts w:hint="eastAsia" w:ascii="宋体" w:hAnsi="宋体" w:eastAsia="宋体" w:cs="宋体"/>
                <w:i w:val="0"/>
                <w:iCs w:val="0"/>
                <w:color w:val="auto"/>
                <w:sz w:val="20"/>
                <w:szCs w:val="20"/>
                <w:highlight w:val="none"/>
                <w:u w:val="none"/>
              </w:rPr>
            </w:pPr>
          </w:p>
        </w:tc>
        <w:tc>
          <w:tcPr>
            <w:tcW w:w="3598"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5AD40B79">
            <w:pPr>
              <w:jc w:val="left"/>
              <w:rPr>
                <w:rFonts w:hint="eastAsia" w:ascii="宋体" w:hAnsi="宋体" w:eastAsia="宋体" w:cs="宋体"/>
                <w:i w:val="0"/>
                <w:iCs w:val="0"/>
                <w:color w:val="auto"/>
                <w:sz w:val="20"/>
                <w:szCs w:val="20"/>
                <w:highlight w:val="none"/>
                <w:u w:val="none"/>
              </w:rPr>
            </w:pPr>
          </w:p>
        </w:tc>
        <w:tc>
          <w:tcPr>
            <w:tcW w:w="75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5A368364">
            <w:pPr>
              <w:jc w:val="center"/>
              <w:rPr>
                <w:rFonts w:hint="eastAsia" w:ascii="宋体" w:hAnsi="宋体" w:eastAsia="宋体" w:cs="宋体"/>
                <w:i w:val="0"/>
                <w:iCs w:val="0"/>
                <w:color w:val="auto"/>
                <w:sz w:val="20"/>
                <w:szCs w:val="20"/>
                <w:highlight w:val="none"/>
                <w:u w:val="none"/>
              </w:rPr>
            </w:pPr>
          </w:p>
        </w:tc>
        <w:tc>
          <w:tcPr>
            <w:tcW w:w="110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6A6E0BE8">
            <w:pPr>
              <w:jc w:val="right"/>
              <w:rPr>
                <w:rFonts w:hint="eastAsia" w:ascii="宋体" w:hAnsi="宋体" w:eastAsia="宋体" w:cs="宋体"/>
                <w:i w:val="0"/>
                <w:iCs w:val="0"/>
                <w:color w:val="auto"/>
                <w:sz w:val="20"/>
                <w:szCs w:val="20"/>
                <w:highlight w:val="none"/>
                <w:u w:val="none"/>
              </w:rPr>
            </w:pPr>
          </w:p>
        </w:tc>
        <w:tc>
          <w:tcPr>
            <w:tcW w:w="122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03D9CD9">
            <w:pPr>
              <w:jc w:val="right"/>
              <w:rPr>
                <w:rFonts w:hint="eastAsia" w:ascii="宋体" w:hAnsi="宋体" w:eastAsia="宋体" w:cs="宋体"/>
                <w:i w:val="0"/>
                <w:iCs w:val="0"/>
                <w:color w:val="auto"/>
                <w:sz w:val="20"/>
                <w:szCs w:val="20"/>
                <w:highlight w:val="none"/>
                <w:u w:val="none"/>
              </w:rPr>
            </w:pPr>
          </w:p>
        </w:tc>
        <w:tc>
          <w:tcPr>
            <w:tcW w:w="83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F94F941">
            <w:pPr>
              <w:jc w:val="right"/>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D43BFC4">
            <w:pPr>
              <w:jc w:val="right"/>
              <w:rPr>
                <w:rFonts w:hint="eastAsia" w:ascii="宋体" w:hAnsi="宋体" w:eastAsia="宋体" w:cs="宋体"/>
                <w:i w:val="0"/>
                <w:iCs w:val="0"/>
                <w:color w:val="auto"/>
                <w:sz w:val="20"/>
                <w:szCs w:val="20"/>
                <w:highlight w:val="none"/>
                <w:u w:val="none"/>
              </w:rPr>
            </w:pPr>
          </w:p>
        </w:tc>
        <w:tc>
          <w:tcPr>
            <w:tcW w:w="8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1DD709B">
            <w:pPr>
              <w:jc w:val="right"/>
              <w:rPr>
                <w:rFonts w:hint="eastAsia" w:ascii="宋体" w:hAnsi="宋体" w:eastAsia="宋体" w:cs="宋体"/>
                <w:i w:val="0"/>
                <w:iCs w:val="0"/>
                <w:color w:val="auto"/>
                <w:sz w:val="20"/>
                <w:szCs w:val="20"/>
                <w:highlight w:val="none"/>
                <w:u w:val="none"/>
              </w:rPr>
            </w:pPr>
          </w:p>
        </w:tc>
        <w:tc>
          <w:tcPr>
            <w:tcW w:w="8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3151205">
            <w:pPr>
              <w:jc w:val="right"/>
              <w:rPr>
                <w:rFonts w:hint="eastAsia" w:ascii="宋体" w:hAnsi="宋体" w:eastAsia="宋体" w:cs="宋体"/>
                <w:i w:val="0"/>
                <w:iCs w:val="0"/>
                <w:color w:val="auto"/>
                <w:sz w:val="20"/>
                <w:szCs w:val="20"/>
                <w:highlight w:val="none"/>
                <w:u w:val="none"/>
              </w:rPr>
            </w:pPr>
          </w:p>
        </w:tc>
        <w:tc>
          <w:tcPr>
            <w:tcW w:w="75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0841BC5E">
            <w:pPr>
              <w:jc w:val="left"/>
              <w:rPr>
                <w:rFonts w:hint="eastAsia" w:ascii="宋体" w:hAnsi="宋体" w:eastAsia="宋体" w:cs="宋体"/>
                <w:i w:val="0"/>
                <w:iCs w:val="0"/>
                <w:color w:val="auto"/>
                <w:sz w:val="20"/>
                <w:szCs w:val="20"/>
                <w:highlight w:val="none"/>
                <w:u w:val="none"/>
              </w:rPr>
            </w:pPr>
          </w:p>
        </w:tc>
      </w:tr>
      <w:tr w14:paraId="236B46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6C7C6FF">
            <w:pPr>
              <w:jc w:val="center"/>
              <w:rPr>
                <w:rFonts w:hint="eastAsia" w:ascii="宋体" w:hAnsi="宋体" w:eastAsia="宋体" w:cs="宋体"/>
                <w:i w:val="0"/>
                <w:iCs w:val="0"/>
                <w:color w:val="auto"/>
                <w:sz w:val="20"/>
                <w:szCs w:val="20"/>
                <w:highlight w:val="none"/>
                <w:u w:val="none"/>
              </w:rPr>
            </w:pP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C1724B1">
            <w:pPr>
              <w:jc w:val="center"/>
              <w:rPr>
                <w:rFonts w:hint="eastAsia" w:ascii="宋体" w:hAnsi="宋体" w:eastAsia="宋体" w:cs="宋体"/>
                <w:i w:val="0"/>
                <w:iCs w:val="0"/>
                <w:color w:val="auto"/>
                <w:sz w:val="20"/>
                <w:szCs w:val="20"/>
                <w:highlight w:val="none"/>
                <w:u w:val="none"/>
              </w:rPr>
            </w:pPr>
          </w:p>
        </w:tc>
        <w:tc>
          <w:tcPr>
            <w:tcW w:w="149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14D4362A">
            <w:pPr>
              <w:jc w:val="left"/>
              <w:rPr>
                <w:rFonts w:hint="eastAsia" w:ascii="宋体" w:hAnsi="宋体" w:eastAsia="宋体" w:cs="宋体"/>
                <w:i w:val="0"/>
                <w:iCs w:val="0"/>
                <w:color w:val="auto"/>
                <w:sz w:val="20"/>
                <w:szCs w:val="20"/>
                <w:highlight w:val="none"/>
                <w:u w:val="none"/>
              </w:rPr>
            </w:pPr>
          </w:p>
        </w:tc>
        <w:tc>
          <w:tcPr>
            <w:tcW w:w="3598"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1BCA4849">
            <w:pPr>
              <w:jc w:val="left"/>
              <w:rPr>
                <w:rFonts w:hint="eastAsia" w:ascii="宋体" w:hAnsi="宋体" w:eastAsia="宋体" w:cs="宋体"/>
                <w:i w:val="0"/>
                <w:iCs w:val="0"/>
                <w:color w:val="auto"/>
                <w:sz w:val="20"/>
                <w:szCs w:val="20"/>
                <w:highlight w:val="none"/>
                <w:u w:val="none"/>
              </w:rPr>
            </w:pPr>
          </w:p>
        </w:tc>
        <w:tc>
          <w:tcPr>
            <w:tcW w:w="75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6A94B25A">
            <w:pPr>
              <w:jc w:val="center"/>
              <w:rPr>
                <w:rFonts w:hint="eastAsia" w:ascii="宋体" w:hAnsi="宋体" w:eastAsia="宋体" w:cs="宋体"/>
                <w:i w:val="0"/>
                <w:iCs w:val="0"/>
                <w:color w:val="auto"/>
                <w:sz w:val="20"/>
                <w:szCs w:val="20"/>
                <w:highlight w:val="none"/>
                <w:u w:val="none"/>
              </w:rPr>
            </w:pPr>
          </w:p>
        </w:tc>
        <w:tc>
          <w:tcPr>
            <w:tcW w:w="110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76E8B08B">
            <w:pPr>
              <w:jc w:val="right"/>
              <w:rPr>
                <w:rFonts w:hint="eastAsia" w:ascii="宋体" w:hAnsi="宋体" w:eastAsia="宋体" w:cs="宋体"/>
                <w:i w:val="0"/>
                <w:iCs w:val="0"/>
                <w:color w:val="auto"/>
                <w:sz w:val="20"/>
                <w:szCs w:val="20"/>
                <w:highlight w:val="none"/>
                <w:u w:val="none"/>
              </w:rPr>
            </w:pPr>
          </w:p>
        </w:tc>
        <w:tc>
          <w:tcPr>
            <w:tcW w:w="122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639B4F2">
            <w:pPr>
              <w:jc w:val="right"/>
              <w:rPr>
                <w:rFonts w:hint="eastAsia" w:ascii="宋体" w:hAnsi="宋体" w:eastAsia="宋体" w:cs="宋体"/>
                <w:i w:val="0"/>
                <w:iCs w:val="0"/>
                <w:color w:val="auto"/>
                <w:sz w:val="20"/>
                <w:szCs w:val="20"/>
                <w:highlight w:val="none"/>
                <w:u w:val="none"/>
              </w:rPr>
            </w:pPr>
          </w:p>
        </w:tc>
        <w:tc>
          <w:tcPr>
            <w:tcW w:w="83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D76D1AC">
            <w:pPr>
              <w:jc w:val="right"/>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C4B68EB">
            <w:pPr>
              <w:jc w:val="right"/>
              <w:rPr>
                <w:rFonts w:hint="eastAsia" w:ascii="宋体" w:hAnsi="宋体" w:eastAsia="宋体" w:cs="宋体"/>
                <w:i w:val="0"/>
                <w:iCs w:val="0"/>
                <w:color w:val="auto"/>
                <w:sz w:val="20"/>
                <w:szCs w:val="20"/>
                <w:highlight w:val="none"/>
                <w:u w:val="none"/>
              </w:rPr>
            </w:pPr>
          </w:p>
        </w:tc>
        <w:tc>
          <w:tcPr>
            <w:tcW w:w="8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C8C645D">
            <w:pPr>
              <w:jc w:val="right"/>
              <w:rPr>
                <w:rFonts w:hint="eastAsia" w:ascii="宋体" w:hAnsi="宋体" w:eastAsia="宋体" w:cs="宋体"/>
                <w:i w:val="0"/>
                <w:iCs w:val="0"/>
                <w:color w:val="auto"/>
                <w:sz w:val="20"/>
                <w:szCs w:val="20"/>
                <w:highlight w:val="none"/>
                <w:u w:val="none"/>
              </w:rPr>
            </w:pPr>
          </w:p>
        </w:tc>
        <w:tc>
          <w:tcPr>
            <w:tcW w:w="8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0223E49">
            <w:pPr>
              <w:jc w:val="right"/>
              <w:rPr>
                <w:rFonts w:hint="eastAsia" w:ascii="宋体" w:hAnsi="宋体" w:eastAsia="宋体" w:cs="宋体"/>
                <w:i w:val="0"/>
                <w:iCs w:val="0"/>
                <w:color w:val="auto"/>
                <w:sz w:val="20"/>
                <w:szCs w:val="20"/>
                <w:highlight w:val="none"/>
                <w:u w:val="none"/>
              </w:rPr>
            </w:pPr>
          </w:p>
        </w:tc>
        <w:tc>
          <w:tcPr>
            <w:tcW w:w="75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0618D2A">
            <w:pPr>
              <w:jc w:val="left"/>
              <w:rPr>
                <w:rFonts w:hint="eastAsia" w:ascii="宋体" w:hAnsi="宋体" w:eastAsia="宋体" w:cs="宋体"/>
                <w:i w:val="0"/>
                <w:iCs w:val="0"/>
                <w:color w:val="auto"/>
                <w:sz w:val="20"/>
                <w:szCs w:val="20"/>
                <w:highlight w:val="none"/>
                <w:u w:val="none"/>
              </w:rPr>
            </w:pPr>
          </w:p>
        </w:tc>
      </w:tr>
      <w:tr w14:paraId="646C52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70E3E52">
            <w:pPr>
              <w:jc w:val="center"/>
              <w:rPr>
                <w:rFonts w:hint="eastAsia" w:ascii="宋体" w:hAnsi="宋体" w:eastAsia="宋体" w:cs="宋体"/>
                <w:i w:val="0"/>
                <w:iCs w:val="0"/>
                <w:color w:val="auto"/>
                <w:sz w:val="20"/>
                <w:szCs w:val="20"/>
                <w:highlight w:val="none"/>
                <w:u w:val="none"/>
              </w:rPr>
            </w:pP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1D7942">
            <w:pPr>
              <w:jc w:val="center"/>
              <w:rPr>
                <w:rFonts w:hint="eastAsia" w:ascii="宋体" w:hAnsi="宋体" w:eastAsia="宋体" w:cs="宋体"/>
                <w:i w:val="0"/>
                <w:iCs w:val="0"/>
                <w:color w:val="auto"/>
                <w:sz w:val="20"/>
                <w:szCs w:val="20"/>
                <w:highlight w:val="none"/>
                <w:u w:val="none"/>
              </w:rPr>
            </w:pPr>
          </w:p>
        </w:tc>
        <w:tc>
          <w:tcPr>
            <w:tcW w:w="149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5BEC77B8">
            <w:pPr>
              <w:jc w:val="left"/>
              <w:rPr>
                <w:rFonts w:hint="eastAsia" w:ascii="宋体" w:hAnsi="宋体" w:eastAsia="宋体" w:cs="宋体"/>
                <w:i w:val="0"/>
                <w:iCs w:val="0"/>
                <w:color w:val="auto"/>
                <w:sz w:val="20"/>
                <w:szCs w:val="20"/>
                <w:highlight w:val="none"/>
                <w:u w:val="none"/>
              </w:rPr>
            </w:pPr>
          </w:p>
        </w:tc>
        <w:tc>
          <w:tcPr>
            <w:tcW w:w="3598"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4AA6D744">
            <w:pPr>
              <w:jc w:val="left"/>
              <w:rPr>
                <w:rFonts w:hint="eastAsia" w:ascii="宋体" w:hAnsi="宋体" w:eastAsia="宋体" w:cs="宋体"/>
                <w:i w:val="0"/>
                <w:iCs w:val="0"/>
                <w:color w:val="auto"/>
                <w:sz w:val="20"/>
                <w:szCs w:val="20"/>
                <w:highlight w:val="none"/>
                <w:u w:val="none"/>
              </w:rPr>
            </w:pPr>
          </w:p>
        </w:tc>
        <w:tc>
          <w:tcPr>
            <w:tcW w:w="75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1111E4DD">
            <w:pPr>
              <w:jc w:val="center"/>
              <w:rPr>
                <w:rFonts w:hint="eastAsia" w:ascii="宋体" w:hAnsi="宋体" w:eastAsia="宋体" w:cs="宋体"/>
                <w:i w:val="0"/>
                <w:iCs w:val="0"/>
                <w:color w:val="auto"/>
                <w:sz w:val="20"/>
                <w:szCs w:val="20"/>
                <w:highlight w:val="none"/>
                <w:u w:val="none"/>
              </w:rPr>
            </w:pPr>
          </w:p>
        </w:tc>
        <w:tc>
          <w:tcPr>
            <w:tcW w:w="110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4248B337">
            <w:pPr>
              <w:jc w:val="right"/>
              <w:rPr>
                <w:rFonts w:hint="eastAsia" w:ascii="宋体" w:hAnsi="宋体" w:eastAsia="宋体" w:cs="宋体"/>
                <w:i w:val="0"/>
                <w:iCs w:val="0"/>
                <w:color w:val="auto"/>
                <w:sz w:val="20"/>
                <w:szCs w:val="20"/>
                <w:highlight w:val="none"/>
                <w:u w:val="none"/>
              </w:rPr>
            </w:pPr>
          </w:p>
        </w:tc>
        <w:tc>
          <w:tcPr>
            <w:tcW w:w="122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1BF0B53">
            <w:pPr>
              <w:jc w:val="right"/>
              <w:rPr>
                <w:rFonts w:hint="eastAsia" w:ascii="宋体" w:hAnsi="宋体" w:eastAsia="宋体" w:cs="宋体"/>
                <w:i w:val="0"/>
                <w:iCs w:val="0"/>
                <w:color w:val="auto"/>
                <w:sz w:val="20"/>
                <w:szCs w:val="20"/>
                <w:highlight w:val="none"/>
                <w:u w:val="none"/>
              </w:rPr>
            </w:pPr>
          </w:p>
        </w:tc>
        <w:tc>
          <w:tcPr>
            <w:tcW w:w="83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49E546A">
            <w:pPr>
              <w:jc w:val="right"/>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B3B9A4D">
            <w:pPr>
              <w:jc w:val="right"/>
              <w:rPr>
                <w:rFonts w:hint="eastAsia" w:ascii="宋体" w:hAnsi="宋体" w:eastAsia="宋体" w:cs="宋体"/>
                <w:i w:val="0"/>
                <w:iCs w:val="0"/>
                <w:color w:val="auto"/>
                <w:sz w:val="20"/>
                <w:szCs w:val="20"/>
                <w:highlight w:val="none"/>
                <w:u w:val="none"/>
              </w:rPr>
            </w:pPr>
          </w:p>
        </w:tc>
        <w:tc>
          <w:tcPr>
            <w:tcW w:w="8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C073F02">
            <w:pPr>
              <w:jc w:val="right"/>
              <w:rPr>
                <w:rFonts w:hint="eastAsia" w:ascii="宋体" w:hAnsi="宋体" w:eastAsia="宋体" w:cs="宋体"/>
                <w:i w:val="0"/>
                <w:iCs w:val="0"/>
                <w:color w:val="auto"/>
                <w:sz w:val="20"/>
                <w:szCs w:val="20"/>
                <w:highlight w:val="none"/>
                <w:u w:val="none"/>
              </w:rPr>
            </w:pPr>
          </w:p>
        </w:tc>
        <w:tc>
          <w:tcPr>
            <w:tcW w:w="8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2182062">
            <w:pPr>
              <w:jc w:val="right"/>
              <w:rPr>
                <w:rFonts w:hint="eastAsia" w:ascii="宋体" w:hAnsi="宋体" w:eastAsia="宋体" w:cs="宋体"/>
                <w:i w:val="0"/>
                <w:iCs w:val="0"/>
                <w:color w:val="auto"/>
                <w:sz w:val="20"/>
                <w:szCs w:val="20"/>
                <w:highlight w:val="none"/>
                <w:u w:val="none"/>
              </w:rPr>
            </w:pPr>
          </w:p>
        </w:tc>
        <w:tc>
          <w:tcPr>
            <w:tcW w:w="75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4710561">
            <w:pPr>
              <w:jc w:val="left"/>
              <w:rPr>
                <w:rFonts w:hint="eastAsia" w:ascii="宋体" w:hAnsi="宋体" w:eastAsia="宋体" w:cs="宋体"/>
                <w:i w:val="0"/>
                <w:iCs w:val="0"/>
                <w:color w:val="auto"/>
                <w:sz w:val="20"/>
                <w:szCs w:val="20"/>
                <w:highlight w:val="none"/>
                <w:u w:val="none"/>
              </w:rPr>
            </w:pPr>
          </w:p>
        </w:tc>
      </w:tr>
      <w:tr w14:paraId="3B3FE0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449973E">
            <w:pPr>
              <w:jc w:val="center"/>
              <w:rPr>
                <w:rFonts w:hint="eastAsia" w:ascii="宋体" w:hAnsi="宋体" w:eastAsia="宋体" w:cs="宋体"/>
                <w:i w:val="0"/>
                <w:iCs w:val="0"/>
                <w:color w:val="auto"/>
                <w:sz w:val="20"/>
                <w:szCs w:val="20"/>
                <w:highlight w:val="none"/>
                <w:u w:val="none"/>
              </w:rPr>
            </w:pP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1E1CE45">
            <w:pPr>
              <w:jc w:val="center"/>
              <w:rPr>
                <w:rFonts w:hint="eastAsia" w:ascii="宋体" w:hAnsi="宋体" w:eastAsia="宋体" w:cs="宋体"/>
                <w:i w:val="0"/>
                <w:iCs w:val="0"/>
                <w:color w:val="auto"/>
                <w:sz w:val="20"/>
                <w:szCs w:val="20"/>
                <w:highlight w:val="none"/>
                <w:u w:val="none"/>
              </w:rPr>
            </w:pPr>
          </w:p>
        </w:tc>
        <w:tc>
          <w:tcPr>
            <w:tcW w:w="149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0950C31">
            <w:pPr>
              <w:jc w:val="left"/>
              <w:rPr>
                <w:rFonts w:hint="eastAsia" w:ascii="宋体" w:hAnsi="宋体" w:eastAsia="宋体" w:cs="宋体"/>
                <w:i w:val="0"/>
                <w:iCs w:val="0"/>
                <w:color w:val="auto"/>
                <w:sz w:val="20"/>
                <w:szCs w:val="20"/>
                <w:highlight w:val="none"/>
                <w:u w:val="none"/>
              </w:rPr>
            </w:pPr>
          </w:p>
        </w:tc>
        <w:tc>
          <w:tcPr>
            <w:tcW w:w="3598"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627EB5DE">
            <w:pPr>
              <w:jc w:val="left"/>
              <w:rPr>
                <w:rFonts w:hint="eastAsia" w:ascii="宋体" w:hAnsi="宋体" w:eastAsia="宋体" w:cs="宋体"/>
                <w:i w:val="0"/>
                <w:iCs w:val="0"/>
                <w:color w:val="auto"/>
                <w:sz w:val="20"/>
                <w:szCs w:val="20"/>
                <w:highlight w:val="none"/>
                <w:u w:val="none"/>
              </w:rPr>
            </w:pPr>
          </w:p>
        </w:tc>
        <w:tc>
          <w:tcPr>
            <w:tcW w:w="75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058C53C9">
            <w:pPr>
              <w:jc w:val="center"/>
              <w:rPr>
                <w:rFonts w:hint="eastAsia" w:ascii="宋体" w:hAnsi="宋体" w:eastAsia="宋体" w:cs="宋体"/>
                <w:i w:val="0"/>
                <w:iCs w:val="0"/>
                <w:color w:val="auto"/>
                <w:sz w:val="20"/>
                <w:szCs w:val="20"/>
                <w:highlight w:val="none"/>
                <w:u w:val="none"/>
              </w:rPr>
            </w:pPr>
          </w:p>
        </w:tc>
        <w:tc>
          <w:tcPr>
            <w:tcW w:w="110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35716894">
            <w:pPr>
              <w:jc w:val="right"/>
              <w:rPr>
                <w:rFonts w:hint="eastAsia" w:ascii="宋体" w:hAnsi="宋体" w:eastAsia="宋体" w:cs="宋体"/>
                <w:i w:val="0"/>
                <w:iCs w:val="0"/>
                <w:color w:val="auto"/>
                <w:sz w:val="20"/>
                <w:szCs w:val="20"/>
                <w:highlight w:val="none"/>
                <w:u w:val="none"/>
              </w:rPr>
            </w:pPr>
          </w:p>
        </w:tc>
        <w:tc>
          <w:tcPr>
            <w:tcW w:w="122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931D2A9">
            <w:pPr>
              <w:jc w:val="right"/>
              <w:rPr>
                <w:rFonts w:hint="eastAsia" w:ascii="宋体" w:hAnsi="宋体" w:eastAsia="宋体" w:cs="宋体"/>
                <w:i w:val="0"/>
                <w:iCs w:val="0"/>
                <w:color w:val="auto"/>
                <w:sz w:val="20"/>
                <w:szCs w:val="20"/>
                <w:highlight w:val="none"/>
                <w:u w:val="none"/>
              </w:rPr>
            </w:pPr>
          </w:p>
        </w:tc>
        <w:tc>
          <w:tcPr>
            <w:tcW w:w="83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BA093C4">
            <w:pPr>
              <w:jc w:val="right"/>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7F4C939">
            <w:pPr>
              <w:jc w:val="right"/>
              <w:rPr>
                <w:rFonts w:hint="eastAsia" w:ascii="宋体" w:hAnsi="宋体" w:eastAsia="宋体" w:cs="宋体"/>
                <w:i w:val="0"/>
                <w:iCs w:val="0"/>
                <w:color w:val="auto"/>
                <w:sz w:val="20"/>
                <w:szCs w:val="20"/>
                <w:highlight w:val="none"/>
                <w:u w:val="none"/>
              </w:rPr>
            </w:pPr>
          </w:p>
        </w:tc>
        <w:tc>
          <w:tcPr>
            <w:tcW w:w="8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8470675">
            <w:pPr>
              <w:jc w:val="right"/>
              <w:rPr>
                <w:rFonts w:hint="eastAsia" w:ascii="宋体" w:hAnsi="宋体" w:eastAsia="宋体" w:cs="宋体"/>
                <w:i w:val="0"/>
                <w:iCs w:val="0"/>
                <w:color w:val="auto"/>
                <w:sz w:val="20"/>
                <w:szCs w:val="20"/>
                <w:highlight w:val="none"/>
                <w:u w:val="none"/>
              </w:rPr>
            </w:pPr>
          </w:p>
        </w:tc>
        <w:tc>
          <w:tcPr>
            <w:tcW w:w="8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FB1E929">
            <w:pPr>
              <w:jc w:val="right"/>
              <w:rPr>
                <w:rFonts w:hint="eastAsia" w:ascii="宋体" w:hAnsi="宋体" w:eastAsia="宋体" w:cs="宋体"/>
                <w:i w:val="0"/>
                <w:iCs w:val="0"/>
                <w:color w:val="auto"/>
                <w:sz w:val="20"/>
                <w:szCs w:val="20"/>
                <w:highlight w:val="none"/>
                <w:u w:val="none"/>
              </w:rPr>
            </w:pPr>
          </w:p>
        </w:tc>
        <w:tc>
          <w:tcPr>
            <w:tcW w:w="75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333DEB4">
            <w:pPr>
              <w:jc w:val="left"/>
              <w:rPr>
                <w:rFonts w:hint="eastAsia" w:ascii="宋体" w:hAnsi="宋体" w:eastAsia="宋体" w:cs="宋体"/>
                <w:i w:val="0"/>
                <w:iCs w:val="0"/>
                <w:color w:val="auto"/>
                <w:sz w:val="20"/>
                <w:szCs w:val="20"/>
                <w:highlight w:val="none"/>
                <w:u w:val="none"/>
              </w:rPr>
            </w:pPr>
          </w:p>
        </w:tc>
      </w:tr>
      <w:tr w14:paraId="5EA7D3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1F286DA">
            <w:pPr>
              <w:jc w:val="center"/>
              <w:rPr>
                <w:rFonts w:hint="eastAsia" w:ascii="宋体" w:hAnsi="宋体" w:eastAsia="宋体" w:cs="宋体"/>
                <w:i w:val="0"/>
                <w:iCs w:val="0"/>
                <w:color w:val="auto"/>
                <w:sz w:val="20"/>
                <w:szCs w:val="20"/>
                <w:highlight w:val="none"/>
                <w:u w:val="none"/>
              </w:rPr>
            </w:pP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9D74374">
            <w:pPr>
              <w:jc w:val="center"/>
              <w:rPr>
                <w:rFonts w:hint="eastAsia" w:ascii="宋体" w:hAnsi="宋体" w:eastAsia="宋体" w:cs="宋体"/>
                <w:i w:val="0"/>
                <w:iCs w:val="0"/>
                <w:color w:val="auto"/>
                <w:sz w:val="20"/>
                <w:szCs w:val="20"/>
                <w:highlight w:val="none"/>
                <w:u w:val="none"/>
              </w:rPr>
            </w:pPr>
          </w:p>
        </w:tc>
        <w:tc>
          <w:tcPr>
            <w:tcW w:w="149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6537FBCF">
            <w:pPr>
              <w:jc w:val="left"/>
              <w:rPr>
                <w:rFonts w:hint="eastAsia" w:ascii="宋体" w:hAnsi="宋体" w:eastAsia="宋体" w:cs="宋体"/>
                <w:i w:val="0"/>
                <w:iCs w:val="0"/>
                <w:color w:val="auto"/>
                <w:sz w:val="20"/>
                <w:szCs w:val="20"/>
                <w:highlight w:val="none"/>
                <w:u w:val="none"/>
              </w:rPr>
            </w:pPr>
          </w:p>
        </w:tc>
        <w:tc>
          <w:tcPr>
            <w:tcW w:w="3598"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56DB5DE1">
            <w:pPr>
              <w:jc w:val="left"/>
              <w:rPr>
                <w:rFonts w:hint="eastAsia" w:ascii="宋体" w:hAnsi="宋体" w:eastAsia="宋体" w:cs="宋体"/>
                <w:i w:val="0"/>
                <w:iCs w:val="0"/>
                <w:color w:val="auto"/>
                <w:sz w:val="20"/>
                <w:szCs w:val="20"/>
                <w:highlight w:val="none"/>
                <w:u w:val="none"/>
              </w:rPr>
            </w:pPr>
          </w:p>
        </w:tc>
        <w:tc>
          <w:tcPr>
            <w:tcW w:w="75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5A0D7E2B">
            <w:pPr>
              <w:jc w:val="center"/>
              <w:rPr>
                <w:rFonts w:hint="eastAsia" w:ascii="宋体" w:hAnsi="宋体" w:eastAsia="宋体" w:cs="宋体"/>
                <w:i w:val="0"/>
                <w:iCs w:val="0"/>
                <w:color w:val="auto"/>
                <w:sz w:val="20"/>
                <w:szCs w:val="20"/>
                <w:highlight w:val="none"/>
                <w:u w:val="none"/>
              </w:rPr>
            </w:pPr>
          </w:p>
        </w:tc>
        <w:tc>
          <w:tcPr>
            <w:tcW w:w="1109"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3BB63B95">
            <w:pPr>
              <w:jc w:val="right"/>
              <w:rPr>
                <w:rFonts w:hint="eastAsia" w:ascii="宋体" w:hAnsi="宋体" w:eastAsia="宋体" w:cs="宋体"/>
                <w:i w:val="0"/>
                <w:iCs w:val="0"/>
                <w:color w:val="auto"/>
                <w:sz w:val="20"/>
                <w:szCs w:val="20"/>
                <w:highlight w:val="none"/>
                <w:u w:val="none"/>
              </w:rPr>
            </w:pPr>
          </w:p>
        </w:tc>
        <w:tc>
          <w:tcPr>
            <w:tcW w:w="122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67C1EB9">
            <w:pPr>
              <w:jc w:val="right"/>
              <w:rPr>
                <w:rFonts w:hint="eastAsia" w:ascii="宋体" w:hAnsi="宋体" w:eastAsia="宋体" w:cs="宋体"/>
                <w:i w:val="0"/>
                <w:iCs w:val="0"/>
                <w:color w:val="auto"/>
                <w:sz w:val="20"/>
                <w:szCs w:val="20"/>
                <w:highlight w:val="none"/>
                <w:u w:val="none"/>
              </w:rPr>
            </w:pPr>
          </w:p>
        </w:tc>
        <w:tc>
          <w:tcPr>
            <w:tcW w:w="83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7B48CD4">
            <w:pPr>
              <w:jc w:val="right"/>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5A5FDF5">
            <w:pPr>
              <w:jc w:val="right"/>
              <w:rPr>
                <w:rFonts w:hint="eastAsia" w:ascii="宋体" w:hAnsi="宋体" w:eastAsia="宋体" w:cs="宋体"/>
                <w:i w:val="0"/>
                <w:iCs w:val="0"/>
                <w:color w:val="auto"/>
                <w:sz w:val="20"/>
                <w:szCs w:val="20"/>
                <w:highlight w:val="none"/>
                <w:u w:val="none"/>
              </w:rPr>
            </w:pPr>
          </w:p>
        </w:tc>
        <w:tc>
          <w:tcPr>
            <w:tcW w:w="8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0EB2BE5">
            <w:pPr>
              <w:jc w:val="right"/>
              <w:rPr>
                <w:rFonts w:hint="eastAsia" w:ascii="宋体" w:hAnsi="宋体" w:eastAsia="宋体" w:cs="宋体"/>
                <w:i w:val="0"/>
                <w:iCs w:val="0"/>
                <w:color w:val="auto"/>
                <w:sz w:val="20"/>
                <w:szCs w:val="20"/>
                <w:highlight w:val="none"/>
                <w:u w:val="none"/>
              </w:rPr>
            </w:pPr>
          </w:p>
        </w:tc>
        <w:tc>
          <w:tcPr>
            <w:tcW w:w="8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FB1A6AA">
            <w:pPr>
              <w:jc w:val="right"/>
              <w:rPr>
                <w:rFonts w:hint="eastAsia" w:ascii="宋体" w:hAnsi="宋体" w:eastAsia="宋体" w:cs="宋体"/>
                <w:i w:val="0"/>
                <w:iCs w:val="0"/>
                <w:color w:val="auto"/>
                <w:sz w:val="20"/>
                <w:szCs w:val="20"/>
                <w:highlight w:val="none"/>
                <w:u w:val="none"/>
              </w:rPr>
            </w:pPr>
          </w:p>
        </w:tc>
        <w:tc>
          <w:tcPr>
            <w:tcW w:w="75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70F859A">
            <w:pPr>
              <w:jc w:val="left"/>
              <w:rPr>
                <w:rFonts w:hint="eastAsia" w:ascii="宋体" w:hAnsi="宋体" w:eastAsia="宋体" w:cs="宋体"/>
                <w:i w:val="0"/>
                <w:iCs w:val="0"/>
                <w:color w:val="auto"/>
                <w:sz w:val="20"/>
                <w:szCs w:val="20"/>
                <w:highlight w:val="none"/>
                <w:u w:val="none"/>
              </w:rPr>
            </w:pPr>
          </w:p>
        </w:tc>
      </w:tr>
      <w:tr w14:paraId="48EC7E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10156" w:type="dxa"/>
            <w:gridSpan w:val="16"/>
            <w:tcBorders>
              <w:top w:val="single" w:color="000000" w:sz="4" w:space="0"/>
              <w:left w:val="single" w:color="000000" w:sz="8" w:space="0"/>
              <w:bottom w:val="single" w:color="000000" w:sz="4" w:space="0"/>
              <w:right w:val="single" w:color="000000" w:sz="4" w:space="0"/>
            </w:tcBorders>
            <w:shd w:val="clear" w:color="FFFFFF" w:fill="FFFFFF"/>
            <w:vAlign w:val="center"/>
          </w:tcPr>
          <w:p w14:paraId="1DC7549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本页小计</w:t>
            </w:r>
          </w:p>
        </w:tc>
        <w:tc>
          <w:tcPr>
            <w:tcW w:w="83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363AC65">
            <w:pPr>
              <w:jc w:val="left"/>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7250DDD">
            <w:pPr>
              <w:jc w:val="left"/>
              <w:rPr>
                <w:rFonts w:hint="eastAsia" w:ascii="宋体" w:hAnsi="宋体" w:eastAsia="宋体" w:cs="宋体"/>
                <w:i w:val="0"/>
                <w:iCs w:val="0"/>
                <w:color w:val="auto"/>
                <w:sz w:val="20"/>
                <w:szCs w:val="20"/>
                <w:highlight w:val="none"/>
                <w:u w:val="none"/>
              </w:rPr>
            </w:pPr>
          </w:p>
        </w:tc>
        <w:tc>
          <w:tcPr>
            <w:tcW w:w="8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FD40C14">
            <w:pPr>
              <w:jc w:val="left"/>
              <w:rPr>
                <w:rFonts w:hint="eastAsia" w:ascii="宋体" w:hAnsi="宋体" w:eastAsia="宋体" w:cs="宋体"/>
                <w:i w:val="0"/>
                <w:iCs w:val="0"/>
                <w:color w:val="auto"/>
                <w:sz w:val="20"/>
                <w:szCs w:val="20"/>
                <w:highlight w:val="none"/>
                <w:u w:val="none"/>
              </w:rPr>
            </w:pPr>
          </w:p>
        </w:tc>
        <w:tc>
          <w:tcPr>
            <w:tcW w:w="8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9324ED">
            <w:pPr>
              <w:jc w:val="left"/>
              <w:rPr>
                <w:rFonts w:hint="eastAsia" w:ascii="宋体" w:hAnsi="宋体" w:eastAsia="宋体" w:cs="宋体"/>
                <w:i w:val="0"/>
                <w:iCs w:val="0"/>
                <w:color w:val="auto"/>
                <w:sz w:val="20"/>
                <w:szCs w:val="20"/>
                <w:highlight w:val="none"/>
                <w:u w:val="none"/>
              </w:rPr>
            </w:pPr>
          </w:p>
        </w:tc>
        <w:tc>
          <w:tcPr>
            <w:tcW w:w="75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BF35A7A">
            <w:pPr>
              <w:jc w:val="left"/>
              <w:rPr>
                <w:rFonts w:hint="eastAsia" w:ascii="宋体" w:hAnsi="宋体" w:eastAsia="宋体" w:cs="宋体"/>
                <w:i w:val="0"/>
                <w:iCs w:val="0"/>
                <w:color w:val="auto"/>
                <w:sz w:val="20"/>
                <w:szCs w:val="20"/>
                <w:highlight w:val="none"/>
                <w:u w:val="none"/>
              </w:rPr>
            </w:pPr>
          </w:p>
        </w:tc>
      </w:tr>
      <w:tr w14:paraId="51EF6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10156" w:type="dxa"/>
            <w:gridSpan w:val="16"/>
            <w:tcBorders>
              <w:top w:val="single" w:color="000000" w:sz="4" w:space="0"/>
              <w:left w:val="single" w:color="000000" w:sz="8" w:space="0"/>
              <w:bottom w:val="single" w:color="000000" w:sz="8" w:space="0"/>
              <w:right w:val="single" w:color="000000" w:sz="4" w:space="0"/>
            </w:tcBorders>
            <w:shd w:val="clear" w:color="FFFFFF" w:fill="FFFFFF"/>
            <w:vAlign w:val="center"/>
          </w:tcPr>
          <w:p w14:paraId="4E41465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合   计</w:t>
            </w:r>
          </w:p>
        </w:tc>
        <w:tc>
          <w:tcPr>
            <w:tcW w:w="839"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14:paraId="6AC1834A">
            <w:pPr>
              <w:jc w:val="left"/>
              <w:rPr>
                <w:rFonts w:hint="eastAsia" w:ascii="宋体" w:hAnsi="宋体" w:eastAsia="宋体" w:cs="宋体"/>
                <w:i w:val="0"/>
                <w:iCs w:val="0"/>
                <w:color w:val="auto"/>
                <w:sz w:val="20"/>
                <w:szCs w:val="20"/>
                <w:highlight w:val="none"/>
                <w:u w:val="none"/>
              </w:rPr>
            </w:pPr>
          </w:p>
        </w:tc>
        <w:tc>
          <w:tcPr>
            <w:tcW w:w="885"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14:paraId="33187C4C">
            <w:pPr>
              <w:jc w:val="left"/>
              <w:rPr>
                <w:rFonts w:hint="eastAsia" w:ascii="宋体" w:hAnsi="宋体" w:eastAsia="宋体" w:cs="宋体"/>
                <w:i w:val="0"/>
                <w:iCs w:val="0"/>
                <w:color w:val="auto"/>
                <w:sz w:val="20"/>
                <w:szCs w:val="20"/>
                <w:highlight w:val="none"/>
                <w:u w:val="none"/>
              </w:rPr>
            </w:pPr>
          </w:p>
        </w:tc>
        <w:tc>
          <w:tcPr>
            <w:tcW w:w="884"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7C01FF3A">
            <w:pPr>
              <w:jc w:val="left"/>
              <w:rPr>
                <w:rFonts w:hint="eastAsia" w:ascii="宋体" w:hAnsi="宋体" w:eastAsia="宋体" w:cs="宋体"/>
                <w:i w:val="0"/>
                <w:iCs w:val="0"/>
                <w:color w:val="auto"/>
                <w:sz w:val="20"/>
                <w:szCs w:val="20"/>
                <w:highlight w:val="none"/>
                <w:u w:val="none"/>
              </w:rPr>
            </w:pPr>
          </w:p>
        </w:tc>
        <w:tc>
          <w:tcPr>
            <w:tcW w:w="884"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006356E7">
            <w:pPr>
              <w:jc w:val="left"/>
              <w:rPr>
                <w:rFonts w:hint="eastAsia" w:ascii="宋体" w:hAnsi="宋体" w:eastAsia="宋体" w:cs="宋体"/>
                <w:i w:val="0"/>
                <w:iCs w:val="0"/>
                <w:color w:val="auto"/>
                <w:sz w:val="20"/>
                <w:szCs w:val="20"/>
                <w:highlight w:val="none"/>
                <w:u w:val="none"/>
              </w:rPr>
            </w:pPr>
          </w:p>
        </w:tc>
        <w:tc>
          <w:tcPr>
            <w:tcW w:w="752"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53BD1AF2">
            <w:pPr>
              <w:jc w:val="left"/>
              <w:rPr>
                <w:rFonts w:hint="eastAsia" w:ascii="宋体" w:hAnsi="宋体" w:eastAsia="宋体" w:cs="宋体"/>
                <w:i w:val="0"/>
                <w:iCs w:val="0"/>
                <w:color w:val="auto"/>
                <w:sz w:val="20"/>
                <w:szCs w:val="20"/>
                <w:highlight w:val="none"/>
                <w:u w:val="none"/>
              </w:rPr>
            </w:pPr>
          </w:p>
        </w:tc>
      </w:tr>
    </w:tbl>
    <w:p w14:paraId="06339F03">
      <w:pPr>
        <w:widowControl w:val="0"/>
        <w:spacing w:after="120" w:afterLines="0" w:afterAutospacing="0"/>
        <w:ind w:left="0" w:leftChars="0" w:firstLine="0" w:firstLineChars="0"/>
        <w:jc w:val="both"/>
        <w:rPr>
          <w:rFonts w:ascii="等线" w:hAnsi="等线" w:eastAsia="宋体" w:cs="Times New Roman"/>
          <w:color w:val="auto"/>
          <w:kern w:val="2"/>
          <w:sz w:val="21"/>
          <w:szCs w:val="24"/>
          <w:highlight w:val="none"/>
          <w:lang w:val="en-US" w:eastAsia="zh-CN" w:bidi="ar-SA"/>
        </w:rPr>
      </w:pPr>
    </w:p>
    <w:tbl>
      <w:tblPr>
        <w:tblStyle w:val="23"/>
        <w:tblW w:w="145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84"/>
        <w:gridCol w:w="1416"/>
        <w:gridCol w:w="2323"/>
        <w:gridCol w:w="2339"/>
        <w:gridCol w:w="540"/>
        <w:gridCol w:w="1110"/>
        <w:gridCol w:w="1229"/>
        <w:gridCol w:w="840"/>
        <w:gridCol w:w="1005"/>
        <w:gridCol w:w="1050"/>
        <w:gridCol w:w="1005"/>
        <w:gridCol w:w="839"/>
      </w:tblGrid>
      <w:tr w14:paraId="5D0CAC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10681" w:type="dxa"/>
            <w:gridSpan w:val="8"/>
            <w:tcBorders>
              <w:top w:val="nil"/>
              <w:left w:val="nil"/>
              <w:bottom w:val="nil"/>
              <w:right w:val="nil"/>
            </w:tcBorders>
            <w:shd w:val="clear" w:color="FFFFFF" w:fill="FFFFFF"/>
            <w:vAlign w:val="center"/>
          </w:tcPr>
          <w:p w14:paraId="4EAA671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【表10.2.2-16】</w:t>
            </w:r>
          </w:p>
        </w:tc>
        <w:tc>
          <w:tcPr>
            <w:tcW w:w="3899" w:type="dxa"/>
            <w:gridSpan w:val="4"/>
            <w:tcBorders>
              <w:top w:val="nil"/>
              <w:left w:val="nil"/>
              <w:bottom w:val="nil"/>
              <w:right w:val="nil"/>
            </w:tcBorders>
            <w:shd w:val="clear" w:color="FFFFFF" w:fill="FFFFFF"/>
            <w:vAlign w:val="center"/>
          </w:tcPr>
          <w:p w14:paraId="22D54E86">
            <w:pPr>
              <w:jc w:val="right"/>
              <w:rPr>
                <w:rFonts w:hint="eastAsia" w:ascii="宋体" w:hAnsi="宋体" w:eastAsia="宋体" w:cs="宋体"/>
                <w:i w:val="0"/>
                <w:iCs w:val="0"/>
                <w:color w:val="auto"/>
                <w:sz w:val="18"/>
                <w:szCs w:val="18"/>
                <w:highlight w:val="none"/>
                <w:u w:val="none"/>
              </w:rPr>
            </w:pPr>
          </w:p>
        </w:tc>
      </w:tr>
      <w:tr w14:paraId="6DC7BB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14580" w:type="dxa"/>
            <w:gridSpan w:val="12"/>
            <w:tcBorders>
              <w:top w:val="nil"/>
              <w:left w:val="nil"/>
              <w:bottom w:val="nil"/>
              <w:right w:val="nil"/>
            </w:tcBorders>
            <w:shd w:val="clear" w:color="FFFFFF" w:fill="FFFFFF"/>
            <w:vAlign w:val="center"/>
          </w:tcPr>
          <w:p w14:paraId="4BA3DE8E">
            <w:pPr>
              <w:keepNext w:val="0"/>
              <w:keepLines w:val="0"/>
              <w:widowControl/>
              <w:suppressLineNumbers w:val="0"/>
              <w:jc w:val="center"/>
              <w:textAlignment w:val="center"/>
              <w:rPr>
                <w:rFonts w:hint="eastAsia" w:ascii="宋体" w:hAnsi="宋体" w:eastAsia="宋体" w:cs="宋体"/>
                <w:b/>
                <w:bCs/>
                <w:i w:val="0"/>
                <w:iCs w:val="0"/>
                <w:color w:val="auto"/>
                <w:sz w:val="40"/>
                <w:szCs w:val="40"/>
                <w:highlight w:val="none"/>
                <w:u w:val="none"/>
              </w:rPr>
            </w:pPr>
            <w:r>
              <w:rPr>
                <w:rFonts w:hint="eastAsia" w:ascii="宋体" w:hAnsi="宋体" w:eastAsia="宋体" w:cs="宋体"/>
                <w:b/>
                <w:bCs/>
                <w:i w:val="0"/>
                <w:iCs w:val="0"/>
                <w:color w:val="auto"/>
                <w:kern w:val="0"/>
                <w:sz w:val="40"/>
                <w:szCs w:val="40"/>
                <w:highlight w:val="none"/>
                <w:u w:val="none"/>
                <w:lang w:val="en-US" w:eastAsia="zh-CN" w:bidi="ar"/>
              </w:rPr>
              <w:t>施工技术措施项目清单与计价表</w:t>
            </w:r>
          </w:p>
        </w:tc>
      </w:tr>
      <w:tr w14:paraId="330D29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jc w:val="center"/>
        </w:trPr>
        <w:tc>
          <w:tcPr>
            <w:tcW w:w="4623" w:type="dxa"/>
            <w:gridSpan w:val="3"/>
            <w:tcBorders>
              <w:top w:val="nil"/>
              <w:left w:val="nil"/>
              <w:bottom w:val="nil"/>
              <w:right w:val="nil"/>
            </w:tcBorders>
            <w:shd w:val="clear" w:color="FFFFFF" w:fill="FFFFFF"/>
            <w:vAlign w:val="bottom"/>
          </w:tcPr>
          <w:p w14:paraId="34AB99D3">
            <w:pPr>
              <w:keepNext w:val="0"/>
              <w:keepLines w:val="0"/>
              <w:widowControl/>
              <w:suppressLineNumbers w:val="0"/>
              <w:jc w:val="lef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工程名称：单项工程-配套用房安装工程</w:t>
            </w:r>
          </w:p>
        </w:tc>
        <w:tc>
          <w:tcPr>
            <w:tcW w:w="6058" w:type="dxa"/>
            <w:gridSpan w:val="5"/>
            <w:tcBorders>
              <w:top w:val="nil"/>
              <w:left w:val="nil"/>
              <w:bottom w:val="nil"/>
              <w:right w:val="nil"/>
            </w:tcBorders>
            <w:shd w:val="clear" w:color="FFFFFF" w:fill="FFFFFF"/>
            <w:vAlign w:val="bottom"/>
          </w:tcPr>
          <w:p w14:paraId="1A417CD0">
            <w:pPr>
              <w:keepNext w:val="0"/>
              <w:keepLines w:val="0"/>
              <w:widowControl/>
              <w:suppressLineNumbers w:val="0"/>
              <w:jc w:val="lef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标段：</w:t>
            </w:r>
          </w:p>
        </w:tc>
        <w:tc>
          <w:tcPr>
            <w:tcW w:w="3899" w:type="dxa"/>
            <w:gridSpan w:val="4"/>
            <w:tcBorders>
              <w:top w:val="nil"/>
              <w:left w:val="nil"/>
              <w:bottom w:val="nil"/>
              <w:right w:val="nil"/>
            </w:tcBorders>
            <w:shd w:val="clear" w:color="FFFFFF" w:fill="FFFFFF"/>
            <w:vAlign w:val="bottom"/>
          </w:tcPr>
          <w:p w14:paraId="7ED6D88F">
            <w:pPr>
              <w:keepNext w:val="0"/>
              <w:keepLines w:val="0"/>
              <w:widowControl/>
              <w:suppressLineNumbers w:val="0"/>
              <w:jc w:val="righ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第 1 页  共 1 页</w:t>
            </w:r>
          </w:p>
        </w:tc>
      </w:tr>
      <w:tr w14:paraId="2B7C88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884"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7755038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序号</w:t>
            </w:r>
          </w:p>
        </w:tc>
        <w:tc>
          <w:tcPr>
            <w:tcW w:w="1416"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4F24D52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项目编码</w:t>
            </w:r>
          </w:p>
        </w:tc>
        <w:tc>
          <w:tcPr>
            <w:tcW w:w="2323"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58A9B38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项目名称</w:t>
            </w:r>
          </w:p>
        </w:tc>
        <w:tc>
          <w:tcPr>
            <w:tcW w:w="2339"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E63365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项目特征</w:t>
            </w:r>
          </w:p>
        </w:tc>
        <w:tc>
          <w:tcPr>
            <w:tcW w:w="54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7D1AA3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计量单位</w:t>
            </w:r>
          </w:p>
        </w:tc>
        <w:tc>
          <w:tcPr>
            <w:tcW w:w="111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385D78E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工程量</w:t>
            </w:r>
          </w:p>
        </w:tc>
        <w:tc>
          <w:tcPr>
            <w:tcW w:w="5129" w:type="dxa"/>
            <w:gridSpan w:val="5"/>
            <w:tcBorders>
              <w:top w:val="single" w:color="000000" w:sz="8" w:space="0"/>
              <w:left w:val="single" w:color="000000" w:sz="4" w:space="0"/>
              <w:bottom w:val="single" w:color="000000" w:sz="4" w:space="0"/>
              <w:right w:val="single" w:color="000000" w:sz="4" w:space="0"/>
            </w:tcBorders>
            <w:shd w:val="clear" w:color="FFFFFF" w:fill="FFFFFF"/>
            <w:vAlign w:val="center"/>
          </w:tcPr>
          <w:p w14:paraId="51A6161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金额（元）</w:t>
            </w:r>
          </w:p>
        </w:tc>
        <w:tc>
          <w:tcPr>
            <w:tcW w:w="839" w:type="dxa"/>
            <w:vMerge w:val="restart"/>
            <w:tcBorders>
              <w:top w:val="single" w:color="000000" w:sz="8" w:space="0"/>
              <w:left w:val="single" w:color="000000" w:sz="4" w:space="0"/>
              <w:bottom w:val="single" w:color="000000" w:sz="4" w:space="0"/>
              <w:right w:val="single" w:color="000000" w:sz="8" w:space="0"/>
            </w:tcBorders>
            <w:shd w:val="clear" w:color="FFFFFF" w:fill="FFFFFF"/>
            <w:vAlign w:val="center"/>
          </w:tcPr>
          <w:p w14:paraId="6E5FD0C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备注</w:t>
            </w:r>
          </w:p>
        </w:tc>
      </w:tr>
      <w:tr w14:paraId="5A5CCF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884"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4EB89BD3">
            <w:pPr>
              <w:jc w:val="center"/>
              <w:rPr>
                <w:rFonts w:hint="eastAsia" w:ascii="宋体" w:hAnsi="宋体" w:eastAsia="宋体" w:cs="宋体"/>
                <w:i w:val="0"/>
                <w:iCs w:val="0"/>
                <w:color w:val="auto"/>
                <w:sz w:val="20"/>
                <w:szCs w:val="20"/>
                <w:highlight w:val="none"/>
                <w:u w:val="none"/>
              </w:rPr>
            </w:pPr>
          </w:p>
        </w:tc>
        <w:tc>
          <w:tcPr>
            <w:tcW w:w="141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5BDF248">
            <w:pPr>
              <w:jc w:val="center"/>
              <w:rPr>
                <w:rFonts w:hint="eastAsia" w:ascii="宋体" w:hAnsi="宋体" w:eastAsia="宋体" w:cs="宋体"/>
                <w:i w:val="0"/>
                <w:iCs w:val="0"/>
                <w:color w:val="auto"/>
                <w:sz w:val="20"/>
                <w:szCs w:val="20"/>
                <w:highlight w:val="none"/>
                <w:u w:val="none"/>
              </w:rPr>
            </w:pPr>
          </w:p>
        </w:tc>
        <w:tc>
          <w:tcPr>
            <w:tcW w:w="2323"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A3DC817">
            <w:pPr>
              <w:jc w:val="center"/>
              <w:rPr>
                <w:rFonts w:hint="eastAsia" w:ascii="宋体" w:hAnsi="宋体" w:eastAsia="宋体" w:cs="宋体"/>
                <w:i w:val="0"/>
                <w:iCs w:val="0"/>
                <w:color w:val="auto"/>
                <w:sz w:val="20"/>
                <w:szCs w:val="20"/>
                <w:highlight w:val="none"/>
                <w:u w:val="none"/>
              </w:rPr>
            </w:pPr>
          </w:p>
        </w:tc>
        <w:tc>
          <w:tcPr>
            <w:tcW w:w="2339"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593DE25">
            <w:pPr>
              <w:jc w:val="center"/>
              <w:rPr>
                <w:rFonts w:hint="eastAsia" w:ascii="宋体" w:hAnsi="宋体" w:eastAsia="宋体" w:cs="宋体"/>
                <w:i w:val="0"/>
                <w:iCs w:val="0"/>
                <w:color w:val="auto"/>
                <w:sz w:val="20"/>
                <w:szCs w:val="20"/>
                <w:highlight w:val="none"/>
                <w:u w:val="none"/>
              </w:rPr>
            </w:pPr>
          </w:p>
        </w:tc>
        <w:tc>
          <w:tcPr>
            <w:tcW w:w="54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0D2F2A6">
            <w:pPr>
              <w:jc w:val="center"/>
              <w:rPr>
                <w:rFonts w:hint="eastAsia" w:ascii="宋体" w:hAnsi="宋体" w:eastAsia="宋体" w:cs="宋体"/>
                <w:i w:val="0"/>
                <w:iCs w:val="0"/>
                <w:color w:val="auto"/>
                <w:sz w:val="20"/>
                <w:szCs w:val="20"/>
                <w:highlight w:val="none"/>
                <w:u w:val="none"/>
              </w:rPr>
            </w:pPr>
          </w:p>
        </w:tc>
        <w:tc>
          <w:tcPr>
            <w:tcW w:w="111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B133EE0">
            <w:pPr>
              <w:jc w:val="center"/>
              <w:rPr>
                <w:rFonts w:hint="eastAsia" w:ascii="宋体" w:hAnsi="宋体" w:eastAsia="宋体" w:cs="宋体"/>
                <w:i w:val="0"/>
                <w:iCs w:val="0"/>
                <w:color w:val="auto"/>
                <w:sz w:val="20"/>
                <w:szCs w:val="20"/>
                <w:highlight w:val="none"/>
                <w:u w:val="none"/>
              </w:rPr>
            </w:pPr>
          </w:p>
        </w:tc>
        <w:tc>
          <w:tcPr>
            <w:tcW w:w="1229"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5EB65B7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综合单价</w:t>
            </w:r>
          </w:p>
        </w:tc>
        <w:tc>
          <w:tcPr>
            <w:tcW w:w="840"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1B5B404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合价</w:t>
            </w:r>
          </w:p>
        </w:tc>
        <w:tc>
          <w:tcPr>
            <w:tcW w:w="3060" w:type="dxa"/>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4008C67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其中</w:t>
            </w:r>
          </w:p>
        </w:tc>
        <w:tc>
          <w:tcPr>
            <w:tcW w:w="839" w:type="dxa"/>
            <w:vMerge w:val="continue"/>
            <w:tcBorders>
              <w:top w:val="single" w:color="000000" w:sz="8" w:space="0"/>
              <w:left w:val="single" w:color="000000" w:sz="4" w:space="0"/>
              <w:bottom w:val="single" w:color="000000" w:sz="4" w:space="0"/>
              <w:right w:val="single" w:color="000000" w:sz="8" w:space="0"/>
            </w:tcBorders>
            <w:shd w:val="clear" w:color="FFFFFF" w:fill="FFFFFF"/>
            <w:vAlign w:val="center"/>
          </w:tcPr>
          <w:p w14:paraId="3D039792">
            <w:pPr>
              <w:jc w:val="center"/>
              <w:rPr>
                <w:rFonts w:hint="eastAsia" w:ascii="宋体" w:hAnsi="宋体" w:eastAsia="宋体" w:cs="宋体"/>
                <w:i w:val="0"/>
                <w:iCs w:val="0"/>
                <w:color w:val="auto"/>
                <w:sz w:val="20"/>
                <w:szCs w:val="20"/>
                <w:highlight w:val="none"/>
                <w:u w:val="none"/>
              </w:rPr>
            </w:pPr>
          </w:p>
        </w:tc>
      </w:tr>
      <w:tr w14:paraId="06D4AC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884"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3B216F3E">
            <w:pPr>
              <w:jc w:val="center"/>
              <w:rPr>
                <w:rFonts w:hint="eastAsia" w:ascii="宋体" w:hAnsi="宋体" w:eastAsia="宋体" w:cs="宋体"/>
                <w:i w:val="0"/>
                <w:iCs w:val="0"/>
                <w:color w:val="auto"/>
                <w:sz w:val="20"/>
                <w:szCs w:val="20"/>
                <w:highlight w:val="none"/>
                <w:u w:val="none"/>
              </w:rPr>
            </w:pPr>
          </w:p>
        </w:tc>
        <w:tc>
          <w:tcPr>
            <w:tcW w:w="141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3F02715">
            <w:pPr>
              <w:jc w:val="center"/>
              <w:rPr>
                <w:rFonts w:hint="eastAsia" w:ascii="宋体" w:hAnsi="宋体" w:eastAsia="宋体" w:cs="宋体"/>
                <w:i w:val="0"/>
                <w:iCs w:val="0"/>
                <w:color w:val="auto"/>
                <w:sz w:val="20"/>
                <w:szCs w:val="20"/>
                <w:highlight w:val="none"/>
                <w:u w:val="none"/>
              </w:rPr>
            </w:pPr>
          </w:p>
        </w:tc>
        <w:tc>
          <w:tcPr>
            <w:tcW w:w="2323"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9E7617F">
            <w:pPr>
              <w:jc w:val="center"/>
              <w:rPr>
                <w:rFonts w:hint="eastAsia" w:ascii="宋体" w:hAnsi="宋体" w:eastAsia="宋体" w:cs="宋体"/>
                <w:i w:val="0"/>
                <w:iCs w:val="0"/>
                <w:color w:val="auto"/>
                <w:sz w:val="20"/>
                <w:szCs w:val="20"/>
                <w:highlight w:val="none"/>
                <w:u w:val="none"/>
              </w:rPr>
            </w:pPr>
          </w:p>
        </w:tc>
        <w:tc>
          <w:tcPr>
            <w:tcW w:w="2339"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829E8D9">
            <w:pPr>
              <w:jc w:val="center"/>
              <w:rPr>
                <w:rFonts w:hint="eastAsia" w:ascii="宋体" w:hAnsi="宋体" w:eastAsia="宋体" w:cs="宋体"/>
                <w:i w:val="0"/>
                <w:iCs w:val="0"/>
                <w:color w:val="auto"/>
                <w:sz w:val="20"/>
                <w:szCs w:val="20"/>
                <w:highlight w:val="none"/>
                <w:u w:val="none"/>
              </w:rPr>
            </w:pPr>
          </w:p>
        </w:tc>
        <w:tc>
          <w:tcPr>
            <w:tcW w:w="54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DD27E54">
            <w:pPr>
              <w:jc w:val="center"/>
              <w:rPr>
                <w:rFonts w:hint="eastAsia" w:ascii="宋体" w:hAnsi="宋体" w:eastAsia="宋体" w:cs="宋体"/>
                <w:i w:val="0"/>
                <w:iCs w:val="0"/>
                <w:color w:val="auto"/>
                <w:sz w:val="20"/>
                <w:szCs w:val="20"/>
                <w:highlight w:val="none"/>
                <w:u w:val="none"/>
              </w:rPr>
            </w:pPr>
          </w:p>
        </w:tc>
        <w:tc>
          <w:tcPr>
            <w:tcW w:w="111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3F8C8ED">
            <w:pPr>
              <w:jc w:val="center"/>
              <w:rPr>
                <w:rFonts w:hint="eastAsia" w:ascii="宋体" w:hAnsi="宋体" w:eastAsia="宋体" w:cs="宋体"/>
                <w:i w:val="0"/>
                <w:iCs w:val="0"/>
                <w:color w:val="auto"/>
                <w:sz w:val="20"/>
                <w:szCs w:val="20"/>
                <w:highlight w:val="none"/>
                <w:u w:val="none"/>
              </w:rPr>
            </w:pPr>
          </w:p>
        </w:tc>
        <w:tc>
          <w:tcPr>
            <w:tcW w:w="1229"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6614ED7F">
            <w:pPr>
              <w:jc w:val="center"/>
              <w:rPr>
                <w:rFonts w:hint="eastAsia" w:ascii="宋体" w:hAnsi="宋体" w:eastAsia="宋体" w:cs="宋体"/>
                <w:i w:val="0"/>
                <w:iCs w:val="0"/>
                <w:color w:val="auto"/>
                <w:sz w:val="20"/>
                <w:szCs w:val="20"/>
                <w:highlight w:val="none"/>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1AB2D87D">
            <w:pPr>
              <w:jc w:val="center"/>
              <w:rPr>
                <w:rFonts w:hint="eastAsia" w:ascii="宋体" w:hAnsi="宋体" w:eastAsia="宋体" w:cs="宋体"/>
                <w:i w:val="0"/>
                <w:iCs w:val="0"/>
                <w:color w:val="auto"/>
                <w:sz w:val="20"/>
                <w:szCs w:val="20"/>
                <w:highlight w:val="none"/>
                <w:u w:val="none"/>
              </w:rPr>
            </w:pPr>
          </w:p>
        </w:tc>
        <w:tc>
          <w:tcPr>
            <w:tcW w:w="10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11CF08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人工费</w:t>
            </w:r>
          </w:p>
        </w:tc>
        <w:tc>
          <w:tcPr>
            <w:tcW w:w="10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12330D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机械费</w:t>
            </w:r>
          </w:p>
        </w:tc>
        <w:tc>
          <w:tcPr>
            <w:tcW w:w="10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B8EDCA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暂估价</w:t>
            </w:r>
          </w:p>
        </w:tc>
        <w:tc>
          <w:tcPr>
            <w:tcW w:w="839" w:type="dxa"/>
            <w:vMerge w:val="continue"/>
            <w:tcBorders>
              <w:top w:val="single" w:color="000000" w:sz="8" w:space="0"/>
              <w:left w:val="single" w:color="000000" w:sz="4" w:space="0"/>
              <w:bottom w:val="single" w:color="000000" w:sz="4" w:space="0"/>
              <w:right w:val="single" w:color="000000" w:sz="8" w:space="0"/>
            </w:tcBorders>
            <w:shd w:val="clear" w:color="FFFFFF" w:fill="FFFFFF"/>
            <w:vAlign w:val="center"/>
          </w:tcPr>
          <w:p w14:paraId="00BBE9AC">
            <w:pPr>
              <w:jc w:val="center"/>
              <w:rPr>
                <w:rFonts w:hint="eastAsia" w:ascii="宋体" w:hAnsi="宋体" w:eastAsia="宋体" w:cs="宋体"/>
                <w:i w:val="0"/>
                <w:iCs w:val="0"/>
                <w:color w:val="auto"/>
                <w:sz w:val="20"/>
                <w:szCs w:val="20"/>
                <w:highlight w:val="none"/>
                <w:u w:val="none"/>
              </w:rPr>
            </w:pPr>
          </w:p>
        </w:tc>
      </w:tr>
      <w:tr w14:paraId="115F21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884"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751957C">
            <w:pPr>
              <w:jc w:val="right"/>
              <w:rPr>
                <w:rFonts w:hint="eastAsia" w:ascii="宋体" w:hAnsi="宋体" w:eastAsia="宋体" w:cs="宋体"/>
                <w:i w:val="0"/>
                <w:iCs w:val="0"/>
                <w:color w:val="auto"/>
                <w:sz w:val="20"/>
                <w:szCs w:val="20"/>
                <w:highlight w:val="none"/>
                <w:u w:val="none"/>
              </w:rPr>
            </w:pP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C4FB5A2">
            <w:pPr>
              <w:jc w:val="center"/>
              <w:rPr>
                <w:rFonts w:hint="eastAsia" w:ascii="宋体" w:hAnsi="宋体" w:eastAsia="宋体" w:cs="宋体"/>
                <w:i w:val="0"/>
                <w:iCs w:val="0"/>
                <w:color w:val="auto"/>
                <w:sz w:val="20"/>
                <w:szCs w:val="20"/>
                <w:highlight w:val="none"/>
                <w:u w:val="none"/>
              </w:rPr>
            </w:pPr>
          </w:p>
        </w:tc>
        <w:tc>
          <w:tcPr>
            <w:tcW w:w="232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8666D7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[请输入分部名称]</w:t>
            </w:r>
          </w:p>
        </w:tc>
        <w:tc>
          <w:tcPr>
            <w:tcW w:w="233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BA26639">
            <w:pPr>
              <w:jc w:val="left"/>
              <w:rPr>
                <w:rFonts w:hint="eastAsia" w:ascii="宋体" w:hAnsi="宋体" w:eastAsia="宋体" w:cs="宋体"/>
                <w:i w:val="0"/>
                <w:iCs w:val="0"/>
                <w:color w:val="auto"/>
                <w:sz w:val="20"/>
                <w:szCs w:val="20"/>
                <w:highlight w:val="none"/>
                <w:u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0AB9A42">
            <w:pPr>
              <w:jc w:val="left"/>
              <w:rPr>
                <w:rFonts w:hint="eastAsia" w:ascii="宋体" w:hAnsi="宋体" w:eastAsia="宋体" w:cs="宋体"/>
                <w:i w:val="0"/>
                <w:iCs w:val="0"/>
                <w:color w:val="auto"/>
                <w:sz w:val="20"/>
                <w:szCs w:val="20"/>
                <w:highlight w:val="none"/>
                <w:u w:val="none"/>
              </w:rPr>
            </w:pPr>
          </w:p>
        </w:tc>
        <w:tc>
          <w:tcPr>
            <w:tcW w:w="11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9E101BE">
            <w:pPr>
              <w:jc w:val="left"/>
              <w:rPr>
                <w:rFonts w:hint="eastAsia" w:ascii="宋体" w:hAnsi="宋体" w:eastAsia="宋体" w:cs="宋体"/>
                <w:i w:val="0"/>
                <w:iCs w:val="0"/>
                <w:color w:val="auto"/>
                <w:sz w:val="20"/>
                <w:szCs w:val="20"/>
                <w:highlight w:val="none"/>
                <w:u w:val="none"/>
              </w:rPr>
            </w:pPr>
          </w:p>
        </w:tc>
        <w:tc>
          <w:tcPr>
            <w:tcW w:w="122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B0689FA">
            <w:pPr>
              <w:jc w:val="lef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72AE69A">
            <w:pPr>
              <w:jc w:val="left"/>
              <w:rPr>
                <w:rFonts w:hint="eastAsia" w:ascii="宋体" w:hAnsi="宋体" w:eastAsia="宋体" w:cs="宋体"/>
                <w:i w:val="0"/>
                <w:iCs w:val="0"/>
                <w:color w:val="auto"/>
                <w:sz w:val="20"/>
                <w:szCs w:val="20"/>
                <w:highlight w:val="none"/>
                <w:u w:val="none"/>
              </w:rPr>
            </w:pPr>
          </w:p>
        </w:tc>
        <w:tc>
          <w:tcPr>
            <w:tcW w:w="10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70E7746">
            <w:pPr>
              <w:jc w:val="left"/>
              <w:rPr>
                <w:rFonts w:hint="eastAsia" w:ascii="宋体" w:hAnsi="宋体" w:eastAsia="宋体" w:cs="宋体"/>
                <w:i w:val="0"/>
                <w:iCs w:val="0"/>
                <w:color w:val="auto"/>
                <w:sz w:val="20"/>
                <w:szCs w:val="20"/>
                <w:highlight w:val="none"/>
                <w:u w:val="none"/>
              </w:rPr>
            </w:pPr>
          </w:p>
        </w:tc>
        <w:tc>
          <w:tcPr>
            <w:tcW w:w="10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EB7BC07">
            <w:pPr>
              <w:jc w:val="left"/>
              <w:rPr>
                <w:rFonts w:hint="eastAsia" w:ascii="宋体" w:hAnsi="宋体" w:eastAsia="宋体" w:cs="宋体"/>
                <w:i w:val="0"/>
                <w:iCs w:val="0"/>
                <w:color w:val="auto"/>
                <w:sz w:val="20"/>
                <w:szCs w:val="20"/>
                <w:highlight w:val="none"/>
                <w:u w:val="none"/>
              </w:rPr>
            </w:pPr>
          </w:p>
        </w:tc>
        <w:tc>
          <w:tcPr>
            <w:tcW w:w="10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E641132">
            <w:pPr>
              <w:jc w:val="left"/>
              <w:rPr>
                <w:rFonts w:hint="eastAsia" w:ascii="宋体" w:hAnsi="宋体" w:eastAsia="宋体" w:cs="宋体"/>
                <w:i w:val="0"/>
                <w:iCs w:val="0"/>
                <w:color w:val="auto"/>
                <w:sz w:val="20"/>
                <w:szCs w:val="20"/>
                <w:highlight w:val="none"/>
                <w:u w:val="none"/>
              </w:rPr>
            </w:pPr>
          </w:p>
        </w:tc>
        <w:tc>
          <w:tcPr>
            <w:tcW w:w="839"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7CFAA7FD">
            <w:pPr>
              <w:jc w:val="left"/>
              <w:rPr>
                <w:rFonts w:hint="eastAsia" w:ascii="宋体" w:hAnsi="宋体" w:eastAsia="宋体" w:cs="宋体"/>
                <w:i w:val="0"/>
                <w:iCs w:val="0"/>
                <w:color w:val="auto"/>
                <w:sz w:val="20"/>
                <w:szCs w:val="20"/>
                <w:highlight w:val="none"/>
                <w:u w:val="none"/>
              </w:rPr>
            </w:pPr>
          </w:p>
        </w:tc>
      </w:tr>
      <w:tr w14:paraId="114EE5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1" w:hRule="atLeast"/>
          <w:jc w:val="center"/>
        </w:trPr>
        <w:tc>
          <w:tcPr>
            <w:tcW w:w="884"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269A9B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AEF98C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031301017001</w:t>
            </w:r>
          </w:p>
        </w:tc>
        <w:tc>
          <w:tcPr>
            <w:tcW w:w="232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BEF0BC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脚手架搭拆</w:t>
            </w:r>
          </w:p>
        </w:tc>
        <w:tc>
          <w:tcPr>
            <w:tcW w:w="233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B15566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脚手架搭拆费</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BD62BF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c>
          <w:tcPr>
            <w:tcW w:w="11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4A22E18">
            <w:pPr>
              <w:keepNext w:val="0"/>
              <w:keepLines w:val="0"/>
              <w:widowControl/>
              <w:suppressLineNumbers w:val="0"/>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22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3D91475">
            <w:pPr>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AF47470">
            <w:pPr>
              <w:jc w:val="right"/>
              <w:rPr>
                <w:rFonts w:hint="eastAsia" w:ascii="宋体" w:hAnsi="宋体" w:eastAsia="宋体" w:cs="宋体"/>
                <w:i w:val="0"/>
                <w:iCs w:val="0"/>
                <w:color w:val="auto"/>
                <w:sz w:val="20"/>
                <w:szCs w:val="20"/>
                <w:highlight w:val="none"/>
                <w:u w:val="none"/>
              </w:rPr>
            </w:pPr>
          </w:p>
        </w:tc>
        <w:tc>
          <w:tcPr>
            <w:tcW w:w="10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3B8B3FA">
            <w:pPr>
              <w:jc w:val="right"/>
              <w:rPr>
                <w:rFonts w:hint="eastAsia" w:ascii="宋体" w:hAnsi="宋体" w:eastAsia="宋体" w:cs="宋体"/>
                <w:i w:val="0"/>
                <w:iCs w:val="0"/>
                <w:color w:val="auto"/>
                <w:sz w:val="20"/>
                <w:szCs w:val="20"/>
                <w:highlight w:val="none"/>
                <w:u w:val="none"/>
              </w:rPr>
            </w:pPr>
          </w:p>
        </w:tc>
        <w:tc>
          <w:tcPr>
            <w:tcW w:w="10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04BDA54">
            <w:pPr>
              <w:jc w:val="right"/>
              <w:rPr>
                <w:rFonts w:hint="eastAsia" w:ascii="宋体" w:hAnsi="宋体" w:eastAsia="宋体" w:cs="宋体"/>
                <w:i w:val="0"/>
                <w:iCs w:val="0"/>
                <w:color w:val="auto"/>
                <w:sz w:val="20"/>
                <w:szCs w:val="20"/>
                <w:highlight w:val="none"/>
                <w:u w:val="none"/>
              </w:rPr>
            </w:pPr>
          </w:p>
        </w:tc>
        <w:tc>
          <w:tcPr>
            <w:tcW w:w="10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BAC258E">
            <w:pPr>
              <w:jc w:val="right"/>
              <w:rPr>
                <w:rFonts w:hint="eastAsia" w:ascii="宋体" w:hAnsi="宋体" w:eastAsia="宋体" w:cs="宋体"/>
                <w:i w:val="0"/>
                <w:iCs w:val="0"/>
                <w:color w:val="auto"/>
                <w:sz w:val="20"/>
                <w:szCs w:val="20"/>
                <w:highlight w:val="none"/>
                <w:u w:val="none"/>
              </w:rPr>
            </w:pPr>
          </w:p>
        </w:tc>
        <w:tc>
          <w:tcPr>
            <w:tcW w:w="839"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5EC34F74">
            <w:pPr>
              <w:jc w:val="left"/>
              <w:rPr>
                <w:rFonts w:hint="eastAsia" w:ascii="宋体" w:hAnsi="宋体" w:eastAsia="宋体" w:cs="宋体"/>
                <w:i w:val="0"/>
                <w:iCs w:val="0"/>
                <w:color w:val="auto"/>
                <w:sz w:val="20"/>
                <w:szCs w:val="20"/>
                <w:highlight w:val="none"/>
                <w:u w:val="none"/>
              </w:rPr>
            </w:pPr>
          </w:p>
        </w:tc>
      </w:tr>
      <w:tr w14:paraId="5A47AC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884"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DFA6C3A">
            <w:pPr>
              <w:jc w:val="center"/>
              <w:rPr>
                <w:rFonts w:hint="eastAsia" w:ascii="宋体" w:hAnsi="宋体" w:eastAsia="宋体" w:cs="宋体"/>
                <w:i w:val="0"/>
                <w:iCs w:val="0"/>
                <w:color w:val="auto"/>
                <w:sz w:val="20"/>
                <w:szCs w:val="20"/>
                <w:highlight w:val="none"/>
                <w:u w:val="none"/>
              </w:rPr>
            </w:pP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FE78F49">
            <w:pPr>
              <w:jc w:val="center"/>
              <w:rPr>
                <w:rFonts w:hint="eastAsia" w:ascii="宋体" w:hAnsi="宋体" w:eastAsia="宋体" w:cs="宋体"/>
                <w:i w:val="0"/>
                <w:iCs w:val="0"/>
                <w:color w:val="auto"/>
                <w:sz w:val="20"/>
                <w:szCs w:val="20"/>
                <w:highlight w:val="none"/>
                <w:u w:val="none"/>
              </w:rPr>
            </w:pPr>
          </w:p>
        </w:tc>
        <w:tc>
          <w:tcPr>
            <w:tcW w:w="232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69CBE4D">
            <w:pPr>
              <w:jc w:val="left"/>
              <w:rPr>
                <w:rFonts w:hint="eastAsia" w:ascii="宋体" w:hAnsi="宋体" w:eastAsia="宋体" w:cs="宋体"/>
                <w:i w:val="0"/>
                <w:iCs w:val="0"/>
                <w:color w:val="auto"/>
                <w:sz w:val="20"/>
                <w:szCs w:val="20"/>
                <w:highlight w:val="none"/>
                <w:u w:val="none"/>
              </w:rPr>
            </w:pPr>
          </w:p>
        </w:tc>
        <w:tc>
          <w:tcPr>
            <w:tcW w:w="233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12ABCE0">
            <w:pPr>
              <w:jc w:val="left"/>
              <w:rPr>
                <w:rFonts w:hint="eastAsia" w:ascii="宋体" w:hAnsi="宋体" w:eastAsia="宋体" w:cs="宋体"/>
                <w:i w:val="0"/>
                <w:iCs w:val="0"/>
                <w:color w:val="auto"/>
                <w:sz w:val="20"/>
                <w:szCs w:val="20"/>
                <w:highlight w:val="none"/>
                <w:u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57B1E9">
            <w:pPr>
              <w:jc w:val="center"/>
              <w:rPr>
                <w:rFonts w:hint="eastAsia" w:ascii="宋体" w:hAnsi="宋体" w:eastAsia="宋体" w:cs="宋体"/>
                <w:i w:val="0"/>
                <w:iCs w:val="0"/>
                <w:color w:val="auto"/>
                <w:sz w:val="20"/>
                <w:szCs w:val="20"/>
                <w:highlight w:val="none"/>
                <w:u w:val="none"/>
              </w:rPr>
            </w:pPr>
          </w:p>
        </w:tc>
        <w:tc>
          <w:tcPr>
            <w:tcW w:w="11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6E184AA">
            <w:pPr>
              <w:jc w:val="right"/>
              <w:rPr>
                <w:rFonts w:hint="eastAsia" w:ascii="宋体" w:hAnsi="宋体" w:eastAsia="宋体" w:cs="宋体"/>
                <w:i w:val="0"/>
                <w:iCs w:val="0"/>
                <w:color w:val="auto"/>
                <w:sz w:val="20"/>
                <w:szCs w:val="20"/>
                <w:highlight w:val="none"/>
                <w:u w:val="none"/>
              </w:rPr>
            </w:pPr>
          </w:p>
        </w:tc>
        <w:tc>
          <w:tcPr>
            <w:tcW w:w="122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CABD1F6">
            <w:pPr>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46A6A94">
            <w:pPr>
              <w:jc w:val="right"/>
              <w:rPr>
                <w:rFonts w:hint="eastAsia" w:ascii="宋体" w:hAnsi="宋体" w:eastAsia="宋体" w:cs="宋体"/>
                <w:i w:val="0"/>
                <w:iCs w:val="0"/>
                <w:color w:val="auto"/>
                <w:sz w:val="20"/>
                <w:szCs w:val="20"/>
                <w:highlight w:val="none"/>
                <w:u w:val="none"/>
              </w:rPr>
            </w:pPr>
          </w:p>
        </w:tc>
        <w:tc>
          <w:tcPr>
            <w:tcW w:w="10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739582E">
            <w:pPr>
              <w:jc w:val="right"/>
              <w:rPr>
                <w:rFonts w:hint="eastAsia" w:ascii="宋体" w:hAnsi="宋体" w:eastAsia="宋体" w:cs="宋体"/>
                <w:i w:val="0"/>
                <w:iCs w:val="0"/>
                <w:color w:val="auto"/>
                <w:sz w:val="20"/>
                <w:szCs w:val="20"/>
                <w:highlight w:val="none"/>
                <w:u w:val="none"/>
              </w:rPr>
            </w:pPr>
          </w:p>
        </w:tc>
        <w:tc>
          <w:tcPr>
            <w:tcW w:w="10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2D9A82B">
            <w:pPr>
              <w:jc w:val="right"/>
              <w:rPr>
                <w:rFonts w:hint="eastAsia" w:ascii="宋体" w:hAnsi="宋体" w:eastAsia="宋体" w:cs="宋体"/>
                <w:i w:val="0"/>
                <w:iCs w:val="0"/>
                <w:color w:val="auto"/>
                <w:sz w:val="20"/>
                <w:szCs w:val="20"/>
                <w:highlight w:val="none"/>
                <w:u w:val="none"/>
              </w:rPr>
            </w:pPr>
          </w:p>
        </w:tc>
        <w:tc>
          <w:tcPr>
            <w:tcW w:w="10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8D4F8BC">
            <w:pPr>
              <w:jc w:val="right"/>
              <w:rPr>
                <w:rFonts w:hint="eastAsia" w:ascii="宋体" w:hAnsi="宋体" w:eastAsia="宋体" w:cs="宋体"/>
                <w:i w:val="0"/>
                <w:iCs w:val="0"/>
                <w:color w:val="auto"/>
                <w:sz w:val="20"/>
                <w:szCs w:val="20"/>
                <w:highlight w:val="none"/>
                <w:u w:val="none"/>
              </w:rPr>
            </w:pPr>
          </w:p>
        </w:tc>
        <w:tc>
          <w:tcPr>
            <w:tcW w:w="839"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598527D5">
            <w:pPr>
              <w:jc w:val="left"/>
              <w:rPr>
                <w:rFonts w:hint="eastAsia" w:ascii="宋体" w:hAnsi="宋体" w:eastAsia="宋体" w:cs="宋体"/>
                <w:i w:val="0"/>
                <w:iCs w:val="0"/>
                <w:color w:val="auto"/>
                <w:sz w:val="20"/>
                <w:szCs w:val="20"/>
                <w:highlight w:val="none"/>
                <w:u w:val="none"/>
              </w:rPr>
            </w:pPr>
          </w:p>
        </w:tc>
      </w:tr>
      <w:tr w14:paraId="76FDF7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884"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4303D8A">
            <w:pPr>
              <w:jc w:val="center"/>
              <w:rPr>
                <w:rFonts w:hint="eastAsia" w:ascii="宋体" w:hAnsi="宋体" w:eastAsia="宋体" w:cs="宋体"/>
                <w:i w:val="0"/>
                <w:iCs w:val="0"/>
                <w:color w:val="auto"/>
                <w:sz w:val="20"/>
                <w:szCs w:val="20"/>
                <w:highlight w:val="none"/>
                <w:u w:val="none"/>
              </w:rPr>
            </w:pP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B19D629">
            <w:pPr>
              <w:jc w:val="center"/>
              <w:rPr>
                <w:rFonts w:hint="eastAsia" w:ascii="宋体" w:hAnsi="宋体" w:eastAsia="宋体" w:cs="宋体"/>
                <w:i w:val="0"/>
                <w:iCs w:val="0"/>
                <w:color w:val="auto"/>
                <w:sz w:val="20"/>
                <w:szCs w:val="20"/>
                <w:highlight w:val="none"/>
                <w:u w:val="none"/>
              </w:rPr>
            </w:pPr>
          </w:p>
        </w:tc>
        <w:tc>
          <w:tcPr>
            <w:tcW w:w="232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1355E69">
            <w:pPr>
              <w:jc w:val="left"/>
              <w:rPr>
                <w:rFonts w:hint="eastAsia" w:ascii="宋体" w:hAnsi="宋体" w:eastAsia="宋体" w:cs="宋体"/>
                <w:i w:val="0"/>
                <w:iCs w:val="0"/>
                <w:color w:val="auto"/>
                <w:sz w:val="20"/>
                <w:szCs w:val="20"/>
                <w:highlight w:val="none"/>
                <w:u w:val="none"/>
              </w:rPr>
            </w:pPr>
          </w:p>
        </w:tc>
        <w:tc>
          <w:tcPr>
            <w:tcW w:w="233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D2B5C11">
            <w:pPr>
              <w:jc w:val="left"/>
              <w:rPr>
                <w:rFonts w:hint="eastAsia" w:ascii="宋体" w:hAnsi="宋体" w:eastAsia="宋体" w:cs="宋体"/>
                <w:i w:val="0"/>
                <w:iCs w:val="0"/>
                <w:color w:val="auto"/>
                <w:sz w:val="20"/>
                <w:szCs w:val="20"/>
                <w:highlight w:val="none"/>
                <w:u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D8D3DD6">
            <w:pPr>
              <w:jc w:val="center"/>
              <w:rPr>
                <w:rFonts w:hint="eastAsia" w:ascii="宋体" w:hAnsi="宋体" w:eastAsia="宋体" w:cs="宋体"/>
                <w:i w:val="0"/>
                <w:iCs w:val="0"/>
                <w:color w:val="auto"/>
                <w:sz w:val="20"/>
                <w:szCs w:val="20"/>
                <w:highlight w:val="none"/>
                <w:u w:val="none"/>
              </w:rPr>
            </w:pPr>
          </w:p>
        </w:tc>
        <w:tc>
          <w:tcPr>
            <w:tcW w:w="11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99B15A7">
            <w:pPr>
              <w:jc w:val="right"/>
              <w:rPr>
                <w:rFonts w:hint="eastAsia" w:ascii="宋体" w:hAnsi="宋体" w:eastAsia="宋体" w:cs="宋体"/>
                <w:i w:val="0"/>
                <w:iCs w:val="0"/>
                <w:color w:val="auto"/>
                <w:sz w:val="20"/>
                <w:szCs w:val="20"/>
                <w:highlight w:val="none"/>
                <w:u w:val="none"/>
              </w:rPr>
            </w:pPr>
          </w:p>
        </w:tc>
        <w:tc>
          <w:tcPr>
            <w:tcW w:w="122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86BB898">
            <w:pPr>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75429CF">
            <w:pPr>
              <w:jc w:val="right"/>
              <w:rPr>
                <w:rFonts w:hint="eastAsia" w:ascii="宋体" w:hAnsi="宋体" w:eastAsia="宋体" w:cs="宋体"/>
                <w:i w:val="0"/>
                <w:iCs w:val="0"/>
                <w:color w:val="auto"/>
                <w:sz w:val="20"/>
                <w:szCs w:val="20"/>
                <w:highlight w:val="none"/>
                <w:u w:val="none"/>
              </w:rPr>
            </w:pPr>
          </w:p>
        </w:tc>
        <w:tc>
          <w:tcPr>
            <w:tcW w:w="10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F752C3B">
            <w:pPr>
              <w:jc w:val="right"/>
              <w:rPr>
                <w:rFonts w:hint="eastAsia" w:ascii="宋体" w:hAnsi="宋体" w:eastAsia="宋体" w:cs="宋体"/>
                <w:i w:val="0"/>
                <w:iCs w:val="0"/>
                <w:color w:val="auto"/>
                <w:sz w:val="20"/>
                <w:szCs w:val="20"/>
                <w:highlight w:val="none"/>
                <w:u w:val="none"/>
              </w:rPr>
            </w:pPr>
          </w:p>
        </w:tc>
        <w:tc>
          <w:tcPr>
            <w:tcW w:w="10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07358D4">
            <w:pPr>
              <w:jc w:val="right"/>
              <w:rPr>
                <w:rFonts w:hint="eastAsia" w:ascii="宋体" w:hAnsi="宋体" w:eastAsia="宋体" w:cs="宋体"/>
                <w:i w:val="0"/>
                <w:iCs w:val="0"/>
                <w:color w:val="auto"/>
                <w:sz w:val="20"/>
                <w:szCs w:val="20"/>
                <w:highlight w:val="none"/>
                <w:u w:val="none"/>
              </w:rPr>
            </w:pPr>
          </w:p>
        </w:tc>
        <w:tc>
          <w:tcPr>
            <w:tcW w:w="10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360114E">
            <w:pPr>
              <w:jc w:val="right"/>
              <w:rPr>
                <w:rFonts w:hint="eastAsia" w:ascii="宋体" w:hAnsi="宋体" w:eastAsia="宋体" w:cs="宋体"/>
                <w:i w:val="0"/>
                <w:iCs w:val="0"/>
                <w:color w:val="auto"/>
                <w:sz w:val="20"/>
                <w:szCs w:val="20"/>
                <w:highlight w:val="none"/>
                <w:u w:val="none"/>
              </w:rPr>
            </w:pPr>
          </w:p>
        </w:tc>
        <w:tc>
          <w:tcPr>
            <w:tcW w:w="839"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275C708">
            <w:pPr>
              <w:jc w:val="left"/>
              <w:rPr>
                <w:rFonts w:hint="eastAsia" w:ascii="宋体" w:hAnsi="宋体" w:eastAsia="宋体" w:cs="宋体"/>
                <w:i w:val="0"/>
                <w:iCs w:val="0"/>
                <w:color w:val="auto"/>
                <w:sz w:val="20"/>
                <w:szCs w:val="20"/>
                <w:highlight w:val="none"/>
                <w:u w:val="none"/>
              </w:rPr>
            </w:pPr>
          </w:p>
        </w:tc>
      </w:tr>
      <w:tr w14:paraId="601034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884"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B7A40F3">
            <w:pPr>
              <w:jc w:val="center"/>
              <w:rPr>
                <w:rFonts w:hint="eastAsia" w:ascii="宋体" w:hAnsi="宋体" w:eastAsia="宋体" w:cs="宋体"/>
                <w:i w:val="0"/>
                <w:iCs w:val="0"/>
                <w:color w:val="auto"/>
                <w:sz w:val="20"/>
                <w:szCs w:val="20"/>
                <w:highlight w:val="none"/>
                <w:u w:val="none"/>
              </w:rPr>
            </w:pP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6C6E73C">
            <w:pPr>
              <w:jc w:val="center"/>
              <w:rPr>
                <w:rFonts w:hint="eastAsia" w:ascii="宋体" w:hAnsi="宋体" w:eastAsia="宋体" w:cs="宋体"/>
                <w:i w:val="0"/>
                <w:iCs w:val="0"/>
                <w:color w:val="auto"/>
                <w:sz w:val="20"/>
                <w:szCs w:val="20"/>
                <w:highlight w:val="none"/>
                <w:u w:val="none"/>
              </w:rPr>
            </w:pPr>
          </w:p>
        </w:tc>
        <w:tc>
          <w:tcPr>
            <w:tcW w:w="232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E1D2568">
            <w:pPr>
              <w:jc w:val="left"/>
              <w:rPr>
                <w:rFonts w:hint="eastAsia" w:ascii="宋体" w:hAnsi="宋体" w:eastAsia="宋体" w:cs="宋体"/>
                <w:i w:val="0"/>
                <w:iCs w:val="0"/>
                <w:color w:val="auto"/>
                <w:sz w:val="20"/>
                <w:szCs w:val="20"/>
                <w:highlight w:val="none"/>
                <w:u w:val="none"/>
              </w:rPr>
            </w:pPr>
          </w:p>
        </w:tc>
        <w:tc>
          <w:tcPr>
            <w:tcW w:w="233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AD44B47">
            <w:pPr>
              <w:jc w:val="left"/>
              <w:rPr>
                <w:rFonts w:hint="eastAsia" w:ascii="宋体" w:hAnsi="宋体" w:eastAsia="宋体" w:cs="宋体"/>
                <w:i w:val="0"/>
                <w:iCs w:val="0"/>
                <w:color w:val="auto"/>
                <w:sz w:val="20"/>
                <w:szCs w:val="20"/>
                <w:highlight w:val="none"/>
                <w:u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A872122">
            <w:pPr>
              <w:jc w:val="center"/>
              <w:rPr>
                <w:rFonts w:hint="eastAsia" w:ascii="宋体" w:hAnsi="宋体" w:eastAsia="宋体" w:cs="宋体"/>
                <w:i w:val="0"/>
                <w:iCs w:val="0"/>
                <w:color w:val="auto"/>
                <w:sz w:val="20"/>
                <w:szCs w:val="20"/>
                <w:highlight w:val="none"/>
                <w:u w:val="none"/>
              </w:rPr>
            </w:pPr>
          </w:p>
        </w:tc>
        <w:tc>
          <w:tcPr>
            <w:tcW w:w="11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2E166B4">
            <w:pPr>
              <w:jc w:val="right"/>
              <w:rPr>
                <w:rFonts w:hint="eastAsia" w:ascii="宋体" w:hAnsi="宋体" w:eastAsia="宋体" w:cs="宋体"/>
                <w:i w:val="0"/>
                <w:iCs w:val="0"/>
                <w:color w:val="auto"/>
                <w:sz w:val="20"/>
                <w:szCs w:val="20"/>
                <w:highlight w:val="none"/>
                <w:u w:val="none"/>
              </w:rPr>
            </w:pPr>
          </w:p>
        </w:tc>
        <w:tc>
          <w:tcPr>
            <w:tcW w:w="122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F35E7AA">
            <w:pPr>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07E0DE8">
            <w:pPr>
              <w:jc w:val="right"/>
              <w:rPr>
                <w:rFonts w:hint="eastAsia" w:ascii="宋体" w:hAnsi="宋体" w:eastAsia="宋体" w:cs="宋体"/>
                <w:i w:val="0"/>
                <w:iCs w:val="0"/>
                <w:color w:val="auto"/>
                <w:sz w:val="20"/>
                <w:szCs w:val="20"/>
                <w:highlight w:val="none"/>
                <w:u w:val="none"/>
              </w:rPr>
            </w:pPr>
          </w:p>
        </w:tc>
        <w:tc>
          <w:tcPr>
            <w:tcW w:w="10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B39A847">
            <w:pPr>
              <w:jc w:val="right"/>
              <w:rPr>
                <w:rFonts w:hint="eastAsia" w:ascii="宋体" w:hAnsi="宋体" w:eastAsia="宋体" w:cs="宋体"/>
                <w:i w:val="0"/>
                <w:iCs w:val="0"/>
                <w:color w:val="auto"/>
                <w:sz w:val="20"/>
                <w:szCs w:val="20"/>
                <w:highlight w:val="none"/>
                <w:u w:val="none"/>
              </w:rPr>
            </w:pPr>
          </w:p>
        </w:tc>
        <w:tc>
          <w:tcPr>
            <w:tcW w:w="10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5891BBF">
            <w:pPr>
              <w:jc w:val="right"/>
              <w:rPr>
                <w:rFonts w:hint="eastAsia" w:ascii="宋体" w:hAnsi="宋体" w:eastAsia="宋体" w:cs="宋体"/>
                <w:i w:val="0"/>
                <w:iCs w:val="0"/>
                <w:color w:val="auto"/>
                <w:sz w:val="20"/>
                <w:szCs w:val="20"/>
                <w:highlight w:val="none"/>
                <w:u w:val="none"/>
              </w:rPr>
            </w:pPr>
          </w:p>
        </w:tc>
        <w:tc>
          <w:tcPr>
            <w:tcW w:w="10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0C18A02">
            <w:pPr>
              <w:jc w:val="right"/>
              <w:rPr>
                <w:rFonts w:hint="eastAsia" w:ascii="宋体" w:hAnsi="宋体" w:eastAsia="宋体" w:cs="宋体"/>
                <w:i w:val="0"/>
                <w:iCs w:val="0"/>
                <w:color w:val="auto"/>
                <w:sz w:val="20"/>
                <w:szCs w:val="20"/>
                <w:highlight w:val="none"/>
                <w:u w:val="none"/>
              </w:rPr>
            </w:pPr>
          </w:p>
        </w:tc>
        <w:tc>
          <w:tcPr>
            <w:tcW w:w="839"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FDFFDFD">
            <w:pPr>
              <w:jc w:val="left"/>
              <w:rPr>
                <w:rFonts w:hint="eastAsia" w:ascii="宋体" w:hAnsi="宋体" w:eastAsia="宋体" w:cs="宋体"/>
                <w:i w:val="0"/>
                <w:iCs w:val="0"/>
                <w:color w:val="auto"/>
                <w:sz w:val="20"/>
                <w:szCs w:val="20"/>
                <w:highlight w:val="none"/>
                <w:u w:val="none"/>
              </w:rPr>
            </w:pPr>
          </w:p>
        </w:tc>
      </w:tr>
      <w:tr w14:paraId="158A89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884"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9040D94">
            <w:pPr>
              <w:jc w:val="center"/>
              <w:rPr>
                <w:rFonts w:hint="eastAsia" w:ascii="宋体" w:hAnsi="宋体" w:eastAsia="宋体" w:cs="宋体"/>
                <w:i w:val="0"/>
                <w:iCs w:val="0"/>
                <w:color w:val="auto"/>
                <w:sz w:val="20"/>
                <w:szCs w:val="20"/>
                <w:highlight w:val="none"/>
                <w:u w:val="none"/>
              </w:rPr>
            </w:pP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CA25F85">
            <w:pPr>
              <w:jc w:val="center"/>
              <w:rPr>
                <w:rFonts w:hint="eastAsia" w:ascii="宋体" w:hAnsi="宋体" w:eastAsia="宋体" w:cs="宋体"/>
                <w:i w:val="0"/>
                <w:iCs w:val="0"/>
                <w:color w:val="auto"/>
                <w:sz w:val="20"/>
                <w:szCs w:val="20"/>
                <w:highlight w:val="none"/>
                <w:u w:val="none"/>
              </w:rPr>
            </w:pPr>
          </w:p>
        </w:tc>
        <w:tc>
          <w:tcPr>
            <w:tcW w:w="232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AA7C65F">
            <w:pPr>
              <w:jc w:val="left"/>
              <w:rPr>
                <w:rFonts w:hint="eastAsia" w:ascii="宋体" w:hAnsi="宋体" w:eastAsia="宋体" w:cs="宋体"/>
                <w:i w:val="0"/>
                <w:iCs w:val="0"/>
                <w:color w:val="auto"/>
                <w:sz w:val="20"/>
                <w:szCs w:val="20"/>
                <w:highlight w:val="none"/>
                <w:u w:val="none"/>
              </w:rPr>
            </w:pPr>
          </w:p>
        </w:tc>
        <w:tc>
          <w:tcPr>
            <w:tcW w:w="233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366021B">
            <w:pPr>
              <w:jc w:val="left"/>
              <w:rPr>
                <w:rFonts w:hint="eastAsia" w:ascii="宋体" w:hAnsi="宋体" w:eastAsia="宋体" w:cs="宋体"/>
                <w:i w:val="0"/>
                <w:iCs w:val="0"/>
                <w:color w:val="auto"/>
                <w:sz w:val="20"/>
                <w:szCs w:val="20"/>
                <w:highlight w:val="none"/>
                <w:u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E73A038">
            <w:pPr>
              <w:jc w:val="center"/>
              <w:rPr>
                <w:rFonts w:hint="eastAsia" w:ascii="宋体" w:hAnsi="宋体" w:eastAsia="宋体" w:cs="宋体"/>
                <w:i w:val="0"/>
                <w:iCs w:val="0"/>
                <w:color w:val="auto"/>
                <w:sz w:val="20"/>
                <w:szCs w:val="20"/>
                <w:highlight w:val="none"/>
                <w:u w:val="none"/>
              </w:rPr>
            </w:pPr>
          </w:p>
        </w:tc>
        <w:tc>
          <w:tcPr>
            <w:tcW w:w="11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8EA52CF">
            <w:pPr>
              <w:jc w:val="right"/>
              <w:rPr>
                <w:rFonts w:hint="eastAsia" w:ascii="宋体" w:hAnsi="宋体" w:eastAsia="宋体" w:cs="宋体"/>
                <w:i w:val="0"/>
                <w:iCs w:val="0"/>
                <w:color w:val="auto"/>
                <w:sz w:val="20"/>
                <w:szCs w:val="20"/>
                <w:highlight w:val="none"/>
                <w:u w:val="none"/>
              </w:rPr>
            </w:pPr>
          </w:p>
        </w:tc>
        <w:tc>
          <w:tcPr>
            <w:tcW w:w="122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BA8A976">
            <w:pPr>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86F6AB7">
            <w:pPr>
              <w:jc w:val="right"/>
              <w:rPr>
                <w:rFonts w:hint="eastAsia" w:ascii="宋体" w:hAnsi="宋体" w:eastAsia="宋体" w:cs="宋体"/>
                <w:i w:val="0"/>
                <w:iCs w:val="0"/>
                <w:color w:val="auto"/>
                <w:sz w:val="20"/>
                <w:szCs w:val="20"/>
                <w:highlight w:val="none"/>
                <w:u w:val="none"/>
              </w:rPr>
            </w:pPr>
          </w:p>
        </w:tc>
        <w:tc>
          <w:tcPr>
            <w:tcW w:w="10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3F7BA52">
            <w:pPr>
              <w:jc w:val="right"/>
              <w:rPr>
                <w:rFonts w:hint="eastAsia" w:ascii="宋体" w:hAnsi="宋体" w:eastAsia="宋体" w:cs="宋体"/>
                <w:i w:val="0"/>
                <w:iCs w:val="0"/>
                <w:color w:val="auto"/>
                <w:sz w:val="20"/>
                <w:szCs w:val="20"/>
                <w:highlight w:val="none"/>
                <w:u w:val="none"/>
              </w:rPr>
            </w:pPr>
          </w:p>
        </w:tc>
        <w:tc>
          <w:tcPr>
            <w:tcW w:w="10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C08947F">
            <w:pPr>
              <w:jc w:val="right"/>
              <w:rPr>
                <w:rFonts w:hint="eastAsia" w:ascii="宋体" w:hAnsi="宋体" w:eastAsia="宋体" w:cs="宋体"/>
                <w:i w:val="0"/>
                <w:iCs w:val="0"/>
                <w:color w:val="auto"/>
                <w:sz w:val="20"/>
                <w:szCs w:val="20"/>
                <w:highlight w:val="none"/>
                <w:u w:val="none"/>
              </w:rPr>
            </w:pPr>
          </w:p>
        </w:tc>
        <w:tc>
          <w:tcPr>
            <w:tcW w:w="10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DC6772F">
            <w:pPr>
              <w:jc w:val="right"/>
              <w:rPr>
                <w:rFonts w:hint="eastAsia" w:ascii="宋体" w:hAnsi="宋体" w:eastAsia="宋体" w:cs="宋体"/>
                <w:i w:val="0"/>
                <w:iCs w:val="0"/>
                <w:color w:val="auto"/>
                <w:sz w:val="20"/>
                <w:szCs w:val="20"/>
                <w:highlight w:val="none"/>
                <w:u w:val="none"/>
              </w:rPr>
            </w:pPr>
          </w:p>
        </w:tc>
        <w:tc>
          <w:tcPr>
            <w:tcW w:w="839"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7A409B2D">
            <w:pPr>
              <w:jc w:val="left"/>
              <w:rPr>
                <w:rFonts w:hint="eastAsia" w:ascii="宋体" w:hAnsi="宋体" w:eastAsia="宋体" w:cs="宋体"/>
                <w:i w:val="0"/>
                <w:iCs w:val="0"/>
                <w:color w:val="auto"/>
                <w:sz w:val="20"/>
                <w:szCs w:val="20"/>
                <w:highlight w:val="none"/>
                <w:u w:val="none"/>
              </w:rPr>
            </w:pPr>
          </w:p>
        </w:tc>
      </w:tr>
      <w:tr w14:paraId="795174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884"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B2B7774">
            <w:pPr>
              <w:jc w:val="center"/>
              <w:rPr>
                <w:rFonts w:hint="eastAsia" w:ascii="宋体" w:hAnsi="宋体" w:eastAsia="宋体" w:cs="宋体"/>
                <w:i w:val="0"/>
                <w:iCs w:val="0"/>
                <w:color w:val="auto"/>
                <w:sz w:val="20"/>
                <w:szCs w:val="20"/>
                <w:highlight w:val="none"/>
                <w:u w:val="none"/>
              </w:rPr>
            </w:pP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86797DC">
            <w:pPr>
              <w:jc w:val="center"/>
              <w:rPr>
                <w:rFonts w:hint="eastAsia" w:ascii="宋体" w:hAnsi="宋体" w:eastAsia="宋体" w:cs="宋体"/>
                <w:i w:val="0"/>
                <w:iCs w:val="0"/>
                <w:color w:val="auto"/>
                <w:sz w:val="20"/>
                <w:szCs w:val="20"/>
                <w:highlight w:val="none"/>
                <w:u w:val="none"/>
              </w:rPr>
            </w:pPr>
          </w:p>
        </w:tc>
        <w:tc>
          <w:tcPr>
            <w:tcW w:w="232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BA54102">
            <w:pPr>
              <w:jc w:val="left"/>
              <w:rPr>
                <w:rFonts w:hint="eastAsia" w:ascii="宋体" w:hAnsi="宋体" w:eastAsia="宋体" w:cs="宋体"/>
                <w:i w:val="0"/>
                <w:iCs w:val="0"/>
                <w:color w:val="auto"/>
                <w:sz w:val="20"/>
                <w:szCs w:val="20"/>
                <w:highlight w:val="none"/>
                <w:u w:val="none"/>
              </w:rPr>
            </w:pPr>
          </w:p>
        </w:tc>
        <w:tc>
          <w:tcPr>
            <w:tcW w:w="233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B8B3DDE">
            <w:pPr>
              <w:jc w:val="left"/>
              <w:rPr>
                <w:rFonts w:hint="eastAsia" w:ascii="宋体" w:hAnsi="宋体" w:eastAsia="宋体" w:cs="宋体"/>
                <w:i w:val="0"/>
                <w:iCs w:val="0"/>
                <w:color w:val="auto"/>
                <w:sz w:val="20"/>
                <w:szCs w:val="20"/>
                <w:highlight w:val="none"/>
                <w:u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F5773C3">
            <w:pPr>
              <w:jc w:val="center"/>
              <w:rPr>
                <w:rFonts w:hint="eastAsia" w:ascii="宋体" w:hAnsi="宋体" w:eastAsia="宋体" w:cs="宋体"/>
                <w:i w:val="0"/>
                <w:iCs w:val="0"/>
                <w:color w:val="auto"/>
                <w:sz w:val="20"/>
                <w:szCs w:val="20"/>
                <w:highlight w:val="none"/>
                <w:u w:val="none"/>
              </w:rPr>
            </w:pPr>
          </w:p>
        </w:tc>
        <w:tc>
          <w:tcPr>
            <w:tcW w:w="11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7FA0D08">
            <w:pPr>
              <w:jc w:val="right"/>
              <w:rPr>
                <w:rFonts w:hint="eastAsia" w:ascii="宋体" w:hAnsi="宋体" w:eastAsia="宋体" w:cs="宋体"/>
                <w:i w:val="0"/>
                <w:iCs w:val="0"/>
                <w:color w:val="auto"/>
                <w:sz w:val="20"/>
                <w:szCs w:val="20"/>
                <w:highlight w:val="none"/>
                <w:u w:val="none"/>
              </w:rPr>
            </w:pPr>
          </w:p>
        </w:tc>
        <w:tc>
          <w:tcPr>
            <w:tcW w:w="122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C0BBF67">
            <w:pPr>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FA7B48B">
            <w:pPr>
              <w:jc w:val="right"/>
              <w:rPr>
                <w:rFonts w:hint="eastAsia" w:ascii="宋体" w:hAnsi="宋体" w:eastAsia="宋体" w:cs="宋体"/>
                <w:i w:val="0"/>
                <w:iCs w:val="0"/>
                <w:color w:val="auto"/>
                <w:sz w:val="20"/>
                <w:szCs w:val="20"/>
                <w:highlight w:val="none"/>
                <w:u w:val="none"/>
              </w:rPr>
            </w:pPr>
          </w:p>
        </w:tc>
        <w:tc>
          <w:tcPr>
            <w:tcW w:w="10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DD1017C">
            <w:pPr>
              <w:jc w:val="right"/>
              <w:rPr>
                <w:rFonts w:hint="eastAsia" w:ascii="宋体" w:hAnsi="宋体" w:eastAsia="宋体" w:cs="宋体"/>
                <w:i w:val="0"/>
                <w:iCs w:val="0"/>
                <w:color w:val="auto"/>
                <w:sz w:val="20"/>
                <w:szCs w:val="20"/>
                <w:highlight w:val="none"/>
                <w:u w:val="none"/>
              </w:rPr>
            </w:pPr>
          </w:p>
        </w:tc>
        <w:tc>
          <w:tcPr>
            <w:tcW w:w="10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AB2FA4C">
            <w:pPr>
              <w:jc w:val="right"/>
              <w:rPr>
                <w:rFonts w:hint="eastAsia" w:ascii="宋体" w:hAnsi="宋体" w:eastAsia="宋体" w:cs="宋体"/>
                <w:i w:val="0"/>
                <w:iCs w:val="0"/>
                <w:color w:val="auto"/>
                <w:sz w:val="20"/>
                <w:szCs w:val="20"/>
                <w:highlight w:val="none"/>
                <w:u w:val="none"/>
              </w:rPr>
            </w:pPr>
          </w:p>
        </w:tc>
        <w:tc>
          <w:tcPr>
            <w:tcW w:w="10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88BFB37">
            <w:pPr>
              <w:jc w:val="right"/>
              <w:rPr>
                <w:rFonts w:hint="eastAsia" w:ascii="宋体" w:hAnsi="宋体" w:eastAsia="宋体" w:cs="宋体"/>
                <w:i w:val="0"/>
                <w:iCs w:val="0"/>
                <w:color w:val="auto"/>
                <w:sz w:val="20"/>
                <w:szCs w:val="20"/>
                <w:highlight w:val="none"/>
                <w:u w:val="none"/>
              </w:rPr>
            </w:pPr>
          </w:p>
        </w:tc>
        <w:tc>
          <w:tcPr>
            <w:tcW w:w="839"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5CBA8B9B">
            <w:pPr>
              <w:jc w:val="left"/>
              <w:rPr>
                <w:rFonts w:hint="eastAsia" w:ascii="宋体" w:hAnsi="宋体" w:eastAsia="宋体" w:cs="宋体"/>
                <w:i w:val="0"/>
                <w:iCs w:val="0"/>
                <w:color w:val="auto"/>
                <w:sz w:val="20"/>
                <w:szCs w:val="20"/>
                <w:highlight w:val="none"/>
                <w:u w:val="none"/>
              </w:rPr>
            </w:pPr>
          </w:p>
        </w:tc>
      </w:tr>
      <w:tr w14:paraId="4B866C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884"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E834A7A">
            <w:pPr>
              <w:jc w:val="center"/>
              <w:rPr>
                <w:rFonts w:hint="eastAsia" w:ascii="宋体" w:hAnsi="宋体" w:eastAsia="宋体" w:cs="宋体"/>
                <w:i w:val="0"/>
                <w:iCs w:val="0"/>
                <w:color w:val="auto"/>
                <w:sz w:val="20"/>
                <w:szCs w:val="20"/>
                <w:highlight w:val="none"/>
                <w:u w:val="none"/>
              </w:rPr>
            </w:pP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16C45BA">
            <w:pPr>
              <w:jc w:val="center"/>
              <w:rPr>
                <w:rFonts w:hint="eastAsia" w:ascii="宋体" w:hAnsi="宋体" w:eastAsia="宋体" w:cs="宋体"/>
                <w:i w:val="0"/>
                <w:iCs w:val="0"/>
                <w:color w:val="auto"/>
                <w:sz w:val="20"/>
                <w:szCs w:val="20"/>
                <w:highlight w:val="none"/>
                <w:u w:val="none"/>
              </w:rPr>
            </w:pPr>
          </w:p>
        </w:tc>
        <w:tc>
          <w:tcPr>
            <w:tcW w:w="232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5CDA0A9">
            <w:pPr>
              <w:jc w:val="left"/>
              <w:rPr>
                <w:rFonts w:hint="eastAsia" w:ascii="宋体" w:hAnsi="宋体" w:eastAsia="宋体" w:cs="宋体"/>
                <w:i w:val="0"/>
                <w:iCs w:val="0"/>
                <w:color w:val="auto"/>
                <w:sz w:val="20"/>
                <w:szCs w:val="20"/>
                <w:highlight w:val="none"/>
                <w:u w:val="none"/>
              </w:rPr>
            </w:pPr>
          </w:p>
        </w:tc>
        <w:tc>
          <w:tcPr>
            <w:tcW w:w="233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A2731E7">
            <w:pPr>
              <w:jc w:val="left"/>
              <w:rPr>
                <w:rFonts w:hint="eastAsia" w:ascii="宋体" w:hAnsi="宋体" w:eastAsia="宋体" w:cs="宋体"/>
                <w:i w:val="0"/>
                <w:iCs w:val="0"/>
                <w:color w:val="auto"/>
                <w:sz w:val="20"/>
                <w:szCs w:val="20"/>
                <w:highlight w:val="none"/>
                <w:u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FF87951">
            <w:pPr>
              <w:jc w:val="center"/>
              <w:rPr>
                <w:rFonts w:hint="eastAsia" w:ascii="宋体" w:hAnsi="宋体" w:eastAsia="宋体" w:cs="宋体"/>
                <w:i w:val="0"/>
                <w:iCs w:val="0"/>
                <w:color w:val="auto"/>
                <w:sz w:val="20"/>
                <w:szCs w:val="20"/>
                <w:highlight w:val="none"/>
                <w:u w:val="none"/>
              </w:rPr>
            </w:pPr>
          </w:p>
        </w:tc>
        <w:tc>
          <w:tcPr>
            <w:tcW w:w="11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0B760E5">
            <w:pPr>
              <w:jc w:val="right"/>
              <w:rPr>
                <w:rFonts w:hint="eastAsia" w:ascii="宋体" w:hAnsi="宋体" w:eastAsia="宋体" w:cs="宋体"/>
                <w:i w:val="0"/>
                <w:iCs w:val="0"/>
                <w:color w:val="auto"/>
                <w:sz w:val="20"/>
                <w:szCs w:val="20"/>
                <w:highlight w:val="none"/>
                <w:u w:val="none"/>
              </w:rPr>
            </w:pPr>
          </w:p>
        </w:tc>
        <w:tc>
          <w:tcPr>
            <w:tcW w:w="122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AA15656">
            <w:pPr>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4034D18">
            <w:pPr>
              <w:jc w:val="right"/>
              <w:rPr>
                <w:rFonts w:hint="eastAsia" w:ascii="宋体" w:hAnsi="宋体" w:eastAsia="宋体" w:cs="宋体"/>
                <w:i w:val="0"/>
                <w:iCs w:val="0"/>
                <w:color w:val="auto"/>
                <w:sz w:val="20"/>
                <w:szCs w:val="20"/>
                <w:highlight w:val="none"/>
                <w:u w:val="none"/>
              </w:rPr>
            </w:pPr>
          </w:p>
        </w:tc>
        <w:tc>
          <w:tcPr>
            <w:tcW w:w="10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3B5BF7C">
            <w:pPr>
              <w:jc w:val="right"/>
              <w:rPr>
                <w:rFonts w:hint="eastAsia" w:ascii="宋体" w:hAnsi="宋体" w:eastAsia="宋体" w:cs="宋体"/>
                <w:i w:val="0"/>
                <w:iCs w:val="0"/>
                <w:color w:val="auto"/>
                <w:sz w:val="20"/>
                <w:szCs w:val="20"/>
                <w:highlight w:val="none"/>
                <w:u w:val="none"/>
              </w:rPr>
            </w:pPr>
          </w:p>
        </w:tc>
        <w:tc>
          <w:tcPr>
            <w:tcW w:w="10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5C0B0E0">
            <w:pPr>
              <w:jc w:val="right"/>
              <w:rPr>
                <w:rFonts w:hint="eastAsia" w:ascii="宋体" w:hAnsi="宋体" w:eastAsia="宋体" w:cs="宋体"/>
                <w:i w:val="0"/>
                <w:iCs w:val="0"/>
                <w:color w:val="auto"/>
                <w:sz w:val="20"/>
                <w:szCs w:val="20"/>
                <w:highlight w:val="none"/>
                <w:u w:val="none"/>
              </w:rPr>
            </w:pPr>
          </w:p>
        </w:tc>
        <w:tc>
          <w:tcPr>
            <w:tcW w:w="10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4520770">
            <w:pPr>
              <w:jc w:val="right"/>
              <w:rPr>
                <w:rFonts w:hint="eastAsia" w:ascii="宋体" w:hAnsi="宋体" w:eastAsia="宋体" w:cs="宋体"/>
                <w:i w:val="0"/>
                <w:iCs w:val="0"/>
                <w:color w:val="auto"/>
                <w:sz w:val="20"/>
                <w:szCs w:val="20"/>
                <w:highlight w:val="none"/>
                <w:u w:val="none"/>
              </w:rPr>
            </w:pPr>
          </w:p>
        </w:tc>
        <w:tc>
          <w:tcPr>
            <w:tcW w:w="839"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762DCEA">
            <w:pPr>
              <w:jc w:val="left"/>
              <w:rPr>
                <w:rFonts w:hint="eastAsia" w:ascii="宋体" w:hAnsi="宋体" w:eastAsia="宋体" w:cs="宋体"/>
                <w:i w:val="0"/>
                <w:iCs w:val="0"/>
                <w:color w:val="auto"/>
                <w:sz w:val="20"/>
                <w:szCs w:val="20"/>
                <w:highlight w:val="none"/>
                <w:u w:val="none"/>
              </w:rPr>
            </w:pPr>
          </w:p>
        </w:tc>
      </w:tr>
      <w:tr w14:paraId="0C5890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884"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C992F08">
            <w:pPr>
              <w:jc w:val="center"/>
              <w:rPr>
                <w:rFonts w:hint="eastAsia" w:ascii="宋体" w:hAnsi="宋体" w:eastAsia="宋体" w:cs="宋体"/>
                <w:i w:val="0"/>
                <w:iCs w:val="0"/>
                <w:color w:val="auto"/>
                <w:sz w:val="20"/>
                <w:szCs w:val="20"/>
                <w:highlight w:val="none"/>
                <w:u w:val="none"/>
              </w:rPr>
            </w:pPr>
          </w:p>
        </w:tc>
        <w:tc>
          <w:tcPr>
            <w:tcW w:w="1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AE91B1C">
            <w:pPr>
              <w:jc w:val="center"/>
              <w:rPr>
                <w:rFonts w:hint="eastAsia" w:ascii="宋体" w:hAnsi="宋体" w:eastAsia="宋体" w:cs="宋体"/>
                <w:i w:val="0"/>
                <w:iCs w:val="0"/>
                <w:color w:val="auto"/>
                <w:sz w:val="20"/>
                <w:szCs w:val="20"/>
                <w:highlight w:val="none"/>
                <w:u w:val="none"/>
              </w:rPr>
            </w:pPr>
          </w:p>
        </w:tc>
        <w:tc>
          <w:tcPr>
            <w:tcW w:w="232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0570845">
            <w:pPr>
              <w:jc w:val="left"/>
              <w:rPr>
                <w:rFonts w:hint="eastAsia" w:ascii="宋体" w:hAnsi="宋体" w:eastAsia="宋体" w:cs="宋体"/>
                <w:i w:val="0"/>
                <w:iCs w:val="0"/>
                <w:color w:val="auto"/>
                <w:sz w:val="20"/>
                <w:szCs w:val="20"/>
                <w:highlight w:val="none"/>
                <w:u w:val="none"/>
              </w:rPr>
            </w:pPr>
          </w:p>
        </w:tc>
        <w:tc>
          <w:tcPr>
            <w:tcW w:w="233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37161E3">
            <w:pPr>
              <w:jc w:val="left"/>
              <w:rPr>
                <w:rFonts w:hint="eastAsia" w:ascii="宋体" w:hAnsi="宋体" w:eastAsia="宋体" w:cs="宋体"/>
                <w:i w:val="0"/>
                <w:iCs w:val="0"/>
                <w:color w:val="auto"/>
                <w:sz w:val="20"/>
                <w:szCs w:val="20"/>
                <w:highlight w:val="none"/>
                <w:u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76B6FAA">
            <w:pPr>
              <w:jc w:val="center"/>
              <w:rPr>
                <w:rFonts w:hint="eastAsia" w:ascii="宋体" w:hAnsi="宋体" w:eastAsia="宋体" w:cs="宋体"/>
                <w:i w:val="0"/>
                <w:iCs w:val="0"/>
                <w:color w:val="auto"/>
                <w:sz w:val="20"/>
                <w:szCs w:val="20"/>
                <w:highlight w:val="none"/>
                <w:u w:val="none"/>
              </w:rPr>
            </w:pPr>
          </w:p>
        </w:tc>
        <w:tc>
          <w:tcPr>
            <w:tcW w:w="11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6737DA1">
            <w:pPr>
              <w:jc w:val="right"/>
              <w:rPr>
                <w:rFonts w:hint="eastAsia" w:ascii="宋体" w:hAnsi="宋体" w:eastAsia="宋体" w:cs="宋体"/>
                <w:i w:val="0"/>
                <w:iCs w:val="0"/>
                <w:color w:val="auto"/>
                <w:sz w:val="20"/>
                <w:szCs w:val="20"/>
                <w:highlight w:val="none"/>
                <w:u w:val="none"/>
              </w:rPr>
            </w:pPr>
          </w:p>
        </w:tc>
        <w:tc>
          <w:tcPr>
            <w:tcW w:w="122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D4E3443">
            <w:pPr>
              <w:jc w:val="right"/>
              <w:rPr>
                <w:rFonts w:hint="eastAsia" w:ascii="宋体" w:hAnsi="宋体" w:eastAsia="宋体" w:cs="宋体"/>
                <w:i w:val="0"/>
                <w:iCs w:val="0"/>
                <w:color w:val="auto"/>
                <w:sz w:val="20"/>
                <w:szCs w:val="20"/>
                <w:highlight w:val="none"/>
                <w:u w:val="none"/>
              </w:rPr>
            </w:pP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7E396EA">
            <w:pPr>
              <w:jc w:val="right"/>
              <w:rPr>
                <w:rFonts w:hint="eastAsia" w:ascii="宋体" w:hAnsi="宋体" w:eastAsia="宋体" w:cs="宋体"/>
                <w:i w:val="0"/>
                <w:iCs w:val="0"/>
                <w:color w:val="auto"/>
                <w:sz w:val="20"/>
                <w:szCs w:val="20"/>
                <w:highlight w:val="none"/>
                <w:u w:val="none"/>
              </w:rPr>
            </w:pPr>
          </w:p>
        </w:tc>
        <w:tc>
          <w:tcPr>
            <w:tcW w:w="10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92CC27B">
            <w:pPr>
              <w:jc w:val="right"/>
              <w:rPr>
                <w:rFonts w:hint="eastAsia" w:ascii="宋体" w:hAnsi="宋体" w:eastAsia="宋体" w:cs="宋体"/>
                <w:i w:val="0"/>
                <w:iCs w:val="0"/>
                <w:color w:val="auto"/>
                <w:sz w:val="20"/>
                <w:szCs w:val="20"/>
                <w:highlight w:val="none"/>
                <w:u w:val="none"/>
              </w:rPr>
            </w:pPr>
          </w:p>
        </w:tc>
        <w:tc>
          <w:tcPr>
            <w:tcW w:w="10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6387BD7">
            <w:pPr>
              <w:jc w:val="right"/>
              <w:rPr>
                <w:rFonts w:hint="eastAsia" w:ascii="宋体" w:hAnsi="宋体" w:eastAsia="宋体" w:cs="宋体"/>
                <w:i w:val="0"/>
                <w:iCs w:val="0"/>
                <w:color w:val="auto"/>
                <w:sz w:val="20"/>
                <w:szCs w:val="20"/>
                <w:highlight w:val="none"/>
                <w:u w:val="none"/>
              </w:rPr>
            </w:pPr>
          </w:p>
        </w:tc>
        <w:tc>
          <w:tcPr>
            <w:tcW w:w="10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D67FBE3">
            <w:pPr>
              <w:jc w:val="right"/>
              <w:rPr>
                <w:rFonts w:hint="eastAsia" w:ascii="宋体" w:hAnsi="宋体" w:eastAsia="宋体" w:cs="宋体"/>
                <w:i w:val="0"/>
                <w:iCs w:val="0"/>
                <w:color w:val="auto"/>
                <w:sz w:val="20"/>
                <w:szCs w:val="20"/>
                <w:highlight w:val="none"/>
                <w:u w:val="none"/>
              </w:rPr>
            </w:pPr>
          </w:p>
        </w:tc>
        <w:tc>
          <w:tcPr>
            <w:tcW w:w="839"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09EA8917">
            <w:pPr>
              <w:jc w:val="left"/>
              <w:rPr>
                <w:rFonts w:hint="eastAsia" w:ascii="宋体" w:hAnsi="宋体" w:eastAsia="宋体" w:cs="宋体"/>
                <w:i w:val="0"/>
                <w:iCs w:val="0"/>
                <w:color w:val="auto"/>
                <w:sz w:val="20"/>
                <w:szCs w:val="20"/>
                <w:highlight w:val="none"/>
                <w:u w:val="none"/>
              </w:rPr>
            </w:pPr>
          </w:p>
        </w:tc>
      </w:tr>
      <w:tr w14:paraId="080A50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9841" w:type="dxa"/>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6D7F606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本页小计</w:t>
            </w:r>
          </w:p>
        </w:tc>
        <w:tc>
          <w:tcPr>
            <w:tcW w:w="8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7AEBC15">
            <w:pPr>
              <w:jc w:val="left"/>
              <w:rPr>
                <w:rFonts w:hint="eastAsia" w:ascii="宋体" w:hAnsi="宋体" w:eastAsia="宋体" w:cs="宋体"/>
                <w:i w:val="0"/>
                <w:iCs w:val="0"/>
                <w:color w:val="auto"/>
                <w:sz w:val="20"/>
                <w:szCs w:val="20"/>
                <w:highlight w:val="none"/>
                <w:u w:val="none"/>
              </w:rPr>
            </w:pPr>
          </w:p>
        </w:tc>
        <w:tc>
          <w:tcPr>
            <w:tcW w:w="10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7B1B908">
            <w:pPr>
              <w:jc w:val="left"/>
              <w:rPr>
                <w:rFonts w:hint="eastAsia" w:ascii="宋体" w:hAnsi="宋体" w:eastAsia="宋体" w:cs="宋体"/>
                <w:i w:val="0"/>
                <w:iCs w:val="0"/>
                <w:color w:val="auto"/>
                <w:sz w:val="20"/>
                <w:szCs w:val="20"/>
                <w:highlight w:val="none"/>
                <w:u w:val="none"/>
              </w:rPr>
            </w:pPr>
          </w:p>
        </w:tc>
        <w:tc>
          <w:tcPr>
            <w:tcW w:w="10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4703DFA">
            <w:pPr>
              <w:jc w:val="left"/>
              <w:rPr>
                <w:rFonts w:hint="eastAsia" w:ascii="宋体" w:hAnsi="宋体" w:eastAsia="宋体" w:cs="宋体"/>
                <w:i w:val="0"/>
                <w:iCs w:val="0"/>
                <w:color w:val="auto"/>
                <w:sz w:val="20"/>
                <w:szCs w:val="20"/>
                <w:highlight w:val="none"/>
                <w:u w:val="none"/>
              </w:rPr>
            </w:pPr>
          </w:p>
        </w:tc>
        <w:tc>
          <w:tcPr>
            <w:tcW w:w="10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D9E6AA8">
            <w:pPr>
              <w:jc w:val="left"/>
              <w:rPr>
                <w:rFonts w:hint="eastAsia" w:ascii="宋体" w:hAnsi="宋体" w:eastAsia="宋体" w:cs="宋体"/>
                <w:i w:val="0"/>
                <w:iCs w:val="0"/>
                <w:color w:val="auto"/>
                <w:sz w:val="20"/>
                <w:szCs w:val="20"/>
                <w:highlight w:val="none"/>
                <w:u w:val="none"/>
              </w:rPr>
            </w:pPr>
          </w:p>
        </w:tc>
        <w:tc>
          <w:tcPr>
            <w:tcW w:w="839"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4B9AE91B">
            <w:pPr>
              <w:jc w:val="left"/>
              <w:rPr>
                <w:rFonts w:hint="eastAsia" w:ascii="宋体" w:hAnsi="宋体" w:eastAsia="宋体" w:cs="宋体"/>
                <w:i w:val="0"/>
                <w:iCs w:val="0"/>
                <w:color w:val="auto"/>
                <w:sz w:val="20"/>
                <w:szCs w:val="20"/>
                <w:highlight w:val="none"/>
                <w:u w:val="none"/>
              </w:rPr>
            </w:pPr>
          </w:p>
        </w:tc>
      </w:tr>
      <w:tr w14:paraId="2B3BF6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9841" w:type="dxa"/>
            <w:gridSpan w:val="7"/>
            <w:tcBorders>
              <w:top w:val="single" w:color="000000" w:sz="4" w:space="0"/>
              <w:left w:val="single" w:color="000000" w:sz="8" w:space="0"/>
              <w:bottom w:val="single" w:color="000000" w:sz="8" w:space="0"/>
              <w:right w:val="single" w:color="000000" w:sz="4" w:space="0"/>
            </w:tcBorders>
            <w:shd w:val="clear" w:color="FFFFFF" w:fill="FFFFFF"/>
            <w:vAlign w:val="center"/>
          </w:tcPr>
          <w:p w14:paraId="1B88BB1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合   计</w:t>
            </w:r>
          </w:p>
        </w:tc>
        <w:tc>
          <w:tcPr>
            <w:tcW w:w="840"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36F54C24">
            <w:pPr>
              <w:jc w:val="left"/>
              <w:rPr>
                <w:rFonts w:hint="eastAsia" w:ascii="宋体" w:hAnsi="宋体" w:eastAsia="宋体" w:cs="宋体"/>
                <w:i w:val="0"/>
                <w:iCs w:val="0"/>
                <w:color w:val="auto"/>
                <w:sz w:val="20"/>
                <w:szCs w:val="20"/>
                <w:highlight w:val="none"/>
                <w:u w:val="none"/>
              </w:rPr>
            </w:pPr>
          </w:p>
        </w:tc>
        <w:tc>
          <w:tcPr>
            <w:tcW w:w="1005"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2B7AFAF5">
            <w:pPr>
              <w:jc w:val="left"/>
              <w:rPr>
                <w:rFonts w:hint="eastAsia" w:ascii="宋体" w:hAnsi="宋体" w:eastAsia="宋体" w:cs="宋体"/>
                <w:i w:val="0"/>
                <w:iCs w:val="0"/>
                <w:color w:val="auto"/>
                <w:sz w:val="20"/>
                <w:szCs w:val="20"/>
                <w:highlight w:val="none"/>
                <w:u w:val="none"/>
              </w:rPr>
            </w:pPr>
          </w:p>
        </w:tc>
        <w:tc>
          <w:tcPr>
            <w:tcW w:w="1050"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1BA87480">
            <w:pPr>
              <w:jc w:val="left"/>
              <w:rPr>
                <w:rFonts w:hint="eastAsia" w:ascii="宋体" w:hAnsi="宋体" w:eastAsia="宋体" w:cs="宋体"/>
                <w:i w:val="0"/>
                <w:iCs w:val="0"/>
                <w:color w:val="auto"/>
                <w:sz w:val="20"/>
                <w:szCs w:val="20"/>
                <w:highlight w:val="none"/>
                <w:u w:val="none"/>
              </w:rPr>
            </w:pPr>
          </w:p>
        </w:tc>
        <w:tc>
          <w:tcPr>
            <w:tcW w:w="1005"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5C9B8484">
            <w:pPr>
              <w:jc w:val="left"/>
              <w:rPr>
                <w:rFonts w:hint="eastAsia" w:ascii="宋体" w:hAnsi="宋体" w:eastAsia="宋体" w:cs="宋体"/>
                <w:i w:val="0"/>
                <w:iCs w:val="0"/>
                <w:color w:val="auto"/>
                <w:sz w:val="20"/>
                <w:szCs w:val="20"/>
                <w:highlight w:val="none"/>
                <w:u w:val="none"/>
              </w:rPr>
            </w:pPr>
          </w:p>
        </w:tc>
        <w:tc>
          <w:tcPr>
            <w:tcW w:w="839"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3EE04501">
            <w:pPr>
              <w:jc w:val="left"/>
              <w:rPr>
                <w:rFonts w:hint="eastAsia" w:ascii="宋体" w:hAnsi="宋体" w:eastAsia="宋体" w:cs="宋体"/>
                <w:i w:val="0"/>
                <w:iCs w:val="0"/>
                <w:color w:val="auto"/>
                <w:sz w:val="20"/>
                <w:szCs w:val="20"/>
                <w:highlight w:val="none"/>
                <w:u w:val="none"/>
              </w:rPr>
            </w:pPr>
          </w:p>
        </w:tc>
      </w:tr>
    </w:tbl>
    <w:p w14:paraId="1BB340EE">
      <w:pPr>
        <w:widowControl w:val="0"/>
        <w:spacing w:after="120" w:afterLines="0" w:afterAutospacing="0"/>
        <w:ind w:left="0" w:leftChars="0" w:firstLine="0" w:firstLineChars="0"/>
        <w:jc w:val="both"/>
        <w:rPr>
          <w:rFonts w:ascii="等线" w:hAnsi="等线" w:eastAsia="宋体" w:cs="Times New Roman"/>
          <w:color w:val="auto"/>
          <w:kern w:val="2"/>
          <w:sz w:val="21"/>
          <w:szCs w:val="24"/>
          <w:highlight w:val="none"/>
          <w:lang w:val="en-US" w:eastAsia="zh-CN" w:bidi="ar-SA"/>
        </w:rPr>
        <w:sectPr>
          <w:pgSz w:w="16838" w:h="11906" w:orient="landscape"/>
          <w:pgMar w:top="1803" w:right="1440" w:bottom="1803" w:left="1440" w:header="851" w:footer="992" w:gutter="0"/>
          <w:pgBorders>
            <w:top w:val="none" w:sz="0" w:space="0"/>
            <w:left w:val="none" w:sz="0" w:space="0"/>
            <w:bottom w:val="none" w:sz="0" w:space="0"/>
            <w:right w:val="none" w:sz="0" w:space="0"/>
          </w:pgBorders>
          <w:pgNumType w:fmt="decimal"/>
          <w:cols w:space="0" w:num="1"/>
          <w:rtlGutter w:val="0"/>
          <w:docGrid w:type="lines" w:linePitch="319" w:charSpace="0"/>
        </w:sectPr>
      </w:pPr>
    </w:p>
    <w:p w14:paraId="0D3A8D42">
      <w:pPr>
        <w:widowControl/>
        <w:ind w:right="42"/>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4.2投标报价汇总表</w:t>
      </w:r>
    </w:p>
    <w:tbl>
      <w:tblPr>
        <w:tblStyle w:val="23"/>
        <w:tblW w:w="96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00"/>
        <w:gridCol w:w="1800"/>
        <w:gridCol w:w="1200"/>
        <w:gridCol w:w="4240"/>
        <w:gridCol w:w="20"/>
        <w:gridCol w:w="1400"/>
      </w:tblGrid>
      <w:tr w14:paraId="07C959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9660" w:type="dxa"/>
            <w:gridSpan w:val="6"/>
            <w:tcBorders>
              <w:top w:val="nil"/>
              <w:left w:val="nil"/>
              <w:bottom w:val="nil"/>
              <w:right w:val="nil"/>
            </w:tcBorders>
            <w:shd w:val="clear" w:color="auto" w:fill="FFFFFF"/>
            <w:vAlign w:val="top"/>
          </w:tcPr>
          <w:p w14:paraId="10755942">
            <w:pPr>
              <w:keepNext w:val="0"/>
              <w:keepLines w:val="0"/>
              <w:widowControl/>
              <w:suppressLineNumbers w:val="0"/>
              <w:jc w:val="center"/>
              <w:textAlignment w:val="top"/>
              <w:rPr>
                <w:rFonts w:hint="eastAsia" w:ascii="宋体" w:hAnsi="宋体" w:eastAsia="宋体" w:cs="宋体"/>
                <w:b/>
                <w:bCs/>
                <w:i w:val="0"/>
                <w:iCs w:val="0"/>
                <w:color w:val="auto"/>
                <w:sz w:val="36"/>
                <w:szCs w:val="36"/>
                <w:highlight w:val="none"/>
                <w:u w:val="none"/>
              </w:rPr>
            </w:pPr>
            <w:r>
              <w:rPr>
                <w:rFonts w:hint="eastAsia" w:ascii="宋体" w:hAnsi="宋体" w:eastAsia="宋体" w:cs="宋体"/>
                <w:b/>
                <w:bCs/>
                <w:i w:val="0"/>
                <w:iCs w:val="0"/>
                <w:color w:val="auto"/>
                <w:kern w:val="0"/>
                <w:sz w:val="36"/>
                <w:szCs w:val="36"/>
                <w:highlight w:val="none"/>
                <w:u w:val="none"/>
                <w:lang w:val="en-US" w:eastAsia="zh-CN" w:bidi="ar"/>
              </w:rPr>
              <w:t>工程量清单计价汇总表</w:t>
            </w:r>
          </w:p>
        </w:tc>
      </w:tr>
      <w:tr w14:paraId="6EF9A5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9660" w:type="dxa"/>
            <w:gridSpan w:val="6"/>
            <w:tcBorders>
              <w:top w:val="nil"/>
              <w:left w:val="nil"/>
              <w:bottom w:val="nil"/>
              <w:right w:val="nil"/>
            </w:tcBorders>
            <w:shd w:val="clear" w:color="auto" w:fill="FFFFFF"/>
            <w:vAlign w:val="center"/>
          </w:tcPr>
          <w:p w14:paraId="690B5E63">
            <w:pPr>
              <w:jc w:val="right"/>
              <w:rPr>
                <w:rFonts w:hint="eastAsia" w:ascii="宋体" w:hAnsi="宋体" w:eastAsia="宋体" w:cs="宋体"/>
                <w:i w:val="0"/>
                <w:iCs w:val="0"/>
                <w:color w:val="auto"/>
                <w:sz w:val="18"/>
                <w:szCs w:val="18"/>
                <w:highlight w:val="none"/>
                <w:u w:val="none"/>
              </w:rPr>
            </w:pPr>
          </w:p>
        </w:tc>
      </w:tr>
      <w:tr w14:paraId="74585A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4000" w:type="dxa"/>
            <w:gridSpan w:val="3"/>
            <w:tcBorders>
              <w:top w:val="nil"/>
              <w:left w:val="nil"/>
              <w:bottom w:val="nil"/>
              <w:right w:val="nil"/>
            </w:tcBorders>
            <w:shd w:val="clear" w:color="auto" w:fill="FFFFFF"/>
            <w:vAlign w:val="center"/>
          </w:tcPr>
          <w:p w14:paraId="1576BFC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项目名称：2026年新昌县G104京岚线关岭隧道上行维修加固工程</w:t>
            </w:r>
          </w:p>
        </w:tc>
        <w:tc>
          <w:tcPr>
            <w:tcW w:w="4240" w:type="dxa"/>
            <w:tcBorders>
              <w:top w:val="nil"/>
              <w:left w:val="nil"/>
              <w:bottom w:val="nil"/>
              <w:right w:val="nil"/>
            </w:tcBorders>
            <w:shd w:val="clear" w:color="auto" w:fill="FFFFFF"/>
            <w:vAlign w:val="center"/>
          </w:tcPr>
          <w:p w14:paraId="5AEBCED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合同段：2026年新昌县G104京岚线关岭隧道上行维修加固工程</w:t>
            </w:r>
          </w:p>
        </w:tc>
        <w:tc>
          <w:tcPr>
            <w:tcW w:w="1420" w:type="dxa"/>
            <w:gridSpan w:val="2"/>
            <w:tcBorders>
              <w:top w:val="nil"/>
              <w:left w:val="nil"/>
              <w:bottom w:val="nil"/>
              <w:right w:val="nil"/>
            </w:tcBorders>
            <w:shd w:val="clear" w:color="auto" w:fill="FFFFFF"/>
            <w:vAlign w:val="center"/>
          </w:tcPr>
          <w:p w14:paraId="0A7250B3">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计价表3</w:t>
            </w:r>
          </w:p>
        </w:tc>
      </w:tr>
      <w:tr w14:paraId="6B1111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000" w:type="dxa"/>
            <w:tcBorders>
              <w:top w:val="single" w:color="000000" w:sz="8" w:space="0"/>
              <w:left w:val="single" w:color="000000" w:sz="8" w:space="0"/>
              <w:bottom w:val="single" w:color="000000" w:sz="4" w:space="0"/>
              <w:right w:val="single" w:color="000000" w:sz="4" w:space="0"/>
            </w:tcBorders>
            <w:shd w:val="clear" w:color="auto" w:fill="FFFFFF"/>
            <w:vAlign w:val="center"/>
          </w:tcPr>
          <w:p w14:paraId="76B7657A">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序号</w:t>
            </w:r>
          </w:p>
        </w:tc>
        <w:tc>
          <w:tcPr>
            <w:tcW w:w="1800" w:type="dxa"/>
            <w:tcBorders>
              <w:top w:val="single" w:color="000000" w:sz="8" w:space="0"/>
              <w:left w:val="nil"/>
              <w:bottom w:val="single" w:color="000000" w:sz="4" w:space="0"/>
              <w:right w:val="single" w:color="000000" w:sz="4" w:space="0"/>
            </w:tcBorders>
            <w:shd w:val="clear" w:color="auto" w:fill="FFFFFF"/>
            <w:vAlign w:val="center"/>
          </w:tcPr>
          <w:p w14:paraId="2DBAE671">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章次</w:t>
            </w:r>
          </w:p>
        </w:tc>
        <w:tc>
          <w:tcPr>
            <w:tcW w:w="5460" w:type="dxa"/>
            <w:gridSpan w:val="3"/>
            <w:tcBorders>
              <w:top w:val="single" w:color="000000" w:sz="8" w:space="0"/>
              <w:left w:val="nil"/>
              <w:bottom w:val="single" w:color="000000" w:sz="4" w:space="0"/>
              <w:right w:val="single" w:color="000000" w:sz="4" w:space="0"/>
            </w:tcBorders>
            <w:shd w:val="clear" w:color="auto" w:fill="FFFFFF"/>
            <w:vAlign w:val="center"/>
          </w:tcPr>
          <w:p w14:paraId="72987F12">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科目名称</w:t>
            </w:r>
          </w:p>
        </w:tc>
        <w:tc>
          <w:tcPr>
            <w:tcW w:w="1400" w:type="dxa"/>
            <w:tcBorders>
              <w:top w:val="single" w:color="000000" w:sz="8" w:space="0"/>
              <w:left w:val="nil"/>
              <w:bottom w:val="single" w:color="000000" w:sz="4" w:space="0"/>
              <w:right w:val="single" w:color="000000" w:sz="8" w:space="0"/>
            </w:tcBorders>
            <w:shd w:val="clear" w:color="auto" w:fill="FFFFFF"/>
            <w:vAlign w:val="center"/>
          </w:tcPr>
          <w:p w14:paraId="4ABD6B12">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金额（元）</w:t>
            </w:r>
          </w:p>
        </w:tc>
      </w:tr>
      <w:tr w14:paraId="3B5210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1524617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1800" w:type="dxa"/>
            <w:tcBorders>
              <w:top w:val="nil"/>
              <w:left w:val="nil"/>
              <w:bottom w:val="single" w:color="000000" w:sz="4" w:space="0"/>
              <w:right w:val="single" w:color="000000" w:sz="4" w:space="0"/>
            </w:tcBorders>
            <w:shd w:val="clear" w:color="auto" w:fill="FFFFFF"/>
            <w:vAlign w:val="center"/>
          </w:tcPr>
          <w:p w14:paraId="1694FAE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第100章</w:t>
            </w:r>
          </w:p>
        </w:tc>
        <w:tc>
          <w:tcPr>
            <w:tcW w:w="5460" w:type="dxa"/>
            <w:gridSpan w:val="3"/>
            <w:tcBorders>
              <w:top w:val="nil"/>
              <w:left w:val="nil"/>
              <w:bottom w:val="single" w:color="000000" w:sz="4" w:space="0"/>
              <w:right w:val="single" w:color="000000" w:sz="4" w:space="0"/>
            </w:tcBorders>
            <w:shd w:val="clear" w:color="auto" w:fill="FFFFFF"/>
            <w:vAlign w:val="center"/>
          </w:tcPr>
          <w:p w14:paraId="27761A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总则</w:t>
            </w:r>
          </w:p>
        </w:tc>
        <w:tc>
          <w:tcPr>
            <w:tcW w:w="1400" w:type="dxa"/>
            <w:tcBorders>
              <w:top w:val="nil"/>
              <w:left w:val="nil"/>
              <w:bottom w:val="single" w:color="000000" w:sz="4" w:space="0"/>
              <w:right w:val="single" w:color="000000" w:sz="8" w:space="0"/>
            </w:tcBorders>
            <w:shd w:val="clear" w:color="auto" w:fill="FFFFFF"/>
            <w:vAlign w:val="center"/>
          </w:tcPr>
          <w:p w14:paraId="3C8988E5">
            <w:pPr>
              <w:jc w:val="center"/>
              <w:rPr>
                <w:rFonts w:hint="eastAsia" w:ascii="宋体" w:hAnsi="宋体" w:eastAsia="宋体" w:cs="宋体"/>
                <w:i w:val="0"/>
                <w:iCs w:val="0"/>
                <w:color w:val="auto"/>
                <w:sz w:val="18"/>
                <w:szCs w:val="18"/>
                <w:highlight w:val="none"/>
                <w:u w:val="none"/>
              </w:rPr>
            </w:pPr>
          </w:p>
        </w:tc>
      </w:tr>
      <w:tr w14:paraId="68B28A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62177E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1800" w:type="dxa"/>
            <w:tcBorders>
              <w:top w:val="nil"/>
              <w:left w:val="nil"/>
              <w:bottom w:val="single" w:color="000000" w:sz="4" w:space="0"/>
              <w:right w:val="single" w:color="000000" w:sz="4" w:space="0"/>
            </w:tcBorders>
            <w:shd w:val="clear" w:color="auto" w:fill="FFFFFF"/>
            <w:vAlign w:val="center"/>
          </w:tcPr>
          <w:p w14:paraId="36D7DF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第300章</w:t>
            </w:r>
          </w:p>
        </w:tc>
        <w:tc>
          <w:tcPr>
            <w:tcW w:w="5460" w:type="dxa"/>
            <w:gridSpan w:val="3"/>
            <w:tcBorders>
              <w:top w:val="nil"/>
              <w:left w:val="nil"/>
              <w:bottom w:val="single" w:color="000000" w:sz="4" w:space="0"/>
              <w:right w:val="single" w:color="000000" w:sz="4" w:space="0"/>
            </w:tcBorders>
            <w:shd w:val="clear" w:color="auto" w:fill="FFFFFF"/>
            <w:vAlign w:val="center"/>
          </w:tcPr>
          <w:p w14:paraId="3759F63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路面工程</w:t>
            </w:r>
          </w:p>
        </w:tc>
        <w:tc>
          <w:tcPr>
            <w:tcW w:w="1400" w:type="dxa"/>
            <w:tcBorders>
              <w:top w:val="nil"/>
              <w:left w:val="nil"/>
              <w:bottom w:val="single" w:color="000000" w:sz="4" w:space="0"/>
              <w:right w:val="single" w:color="000000" w:sz="8" w:space="0"/>
            </w:tcBorders>
            <w:shd w:val="clear" w:color="auto" w:fill="FFFFFF"/>
            <w:vAlign w:val="center"/>
          </w:tcPr>
          <w:p w14:paraId="09A34E12">
            <w:pPr>
              <w:jc w:val="center"/>
              <w:rPr>
                <w:rFonts w:hint="eastAsia" w:ascii="宋体" w:hAnsi="宋体" w:eastAsia="宋体" w:cs="宋体"/>
                <w:i w:val="0"/>
                <w:iCs w:val="0"/>
                <w:color w:val="auto"/>
                <w:sz w:val="18"/>
                <w:szCs w:val="18"/>
                <w:highlight w:val="none"/>
                <w:u w:val="none"/>
              </w:rPr>
            </w:pPr>
          </w:p>
        </w:tc>
      </w:tr>
      <w:tr w14:paraId="5C30C4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19F7EB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c>
          <w:tcPr>
            <w:tcW w:w="1800" w:type="dxa"/>
            <w:tcBorders>
              <w:top w:val="nil"/>
              <w:left w:val="nil"/>
              <w:bottom w:val="single" w:color="000000" w:sz="4" w:space="0"/>
              <w:right w:val="single" w:color="000000" w:sz="4" w:space="0"/>
            </w:tcBorders>
            <w:shd w:val="clear" w:color="auto" w:fill="FFFFFF"/>
            <w:vAlign w:val="center"/>
          </w:tcPr>
          <w:p w14:paraId="456065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第500章</w:t>
            </w:r>
          </w:p>
        </w:tc>
        <w:tc>
          <w:tcPr>
            <w:tcW w:w="5460" w:type="dxa"/>
            <w:gridSpan w:val="3"/>
            <w:tcBorders>
              <w:top w:val="nil"/>
              <w:left w:val="nil"/>
              <w:bottom w:val="single" w:color="000000" w:sz="4" w:space="0"/>
              <w:right w:val="single" w:color="000000" w:sz="4" w:space="0"/>
            </w:tcBorders>
            <w:shd w:val="clear" w:color="auto" w:fill="FFFFFF"/>
            <w:vAlign w:val="center"/>
          </w:tcPr>
          <w:p w14:paraId="16CE8D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  隧道工程</w:t>
            </w:r>
          </w:p>
        </w:tc>
        <w:tc>
          <w:tcPr>
            <w:tcW w:w="1400" w:type="dxa"/>
            <w:tcBorders>
              <w:top w:val="nil"/>
              <w:left w:val="nil"/>
              <w:bottom w:val="single" w:color="000000" w:sz="4" w:space="0"/>
              <w:right w:val="single" w:color="000000" w:sz="8" w:space="0"/>
            </w:tcBorders>
            <w:shd w:val="clear" w:color="auto" w:fill="FFFFFF"/>
            <w:vAlign w:val="center"/>
          </w:tcPr>
          <w:p w14:paraId="33176E73">
            <w:pPr>
              <w:jc w:val="center"/>
              <w:rPr>
                <w:rFonts w:hint="eastAsia" w:ascii="宋体" w:hAnsi="宋体" w:eastAsia="宋体" w:cs="宋体"/>
                <w:i w:val="0"/>
                <w:iCs w:val="0"/>
                <w:color w:val="auto"/>
                <w:sz w:val="18"/>
                <w:szCs w:val="18"/>
                <w:highlight w:val="none"/>
                <w:u w:val="none"/>
              </w:rPr>
            </w:pPr>
          </w:p>
        </w:tc>
      </w:tr>
      <w:tr w14:paraId="615034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4C57FE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1800" w:type="dxa"/>
            <w:tcBorders>
              <w:top w:val="nil"/>
              <w:left w:val="nil"/>
              <w:bottom w:val="single" w:color="000000" w:sz="4" w:space="0"/>
              <w:right w:val="single" w:color="000000" w:sz="4" w:space="0"/>
            </w:tcBorders>
            <w:shd w:val="clear" w:color="auto" w:fill="FFFFFF"/>
            <w:vAlign w:val="center"/>
          </w:tcPr>
          <w:p w14:paraId="794B01E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第600章</w:t>
            </w:r>
          </w:p>
        </w:tc>
        <w:tc>
          <w:tcPr>
            <w:tcW w:w="5460" w:type="dxa"/>
            <w:gridSpan w:val="3"/>
            <w:tcBorders>
              <w:top w:val="nil"/>
              <w:left w:val="nil"/>
              <w:bottom w:val="single" w:color="000000" w:sz="4" w:space="0"/>
              <w:right w:val="single" w:color="000000" w:sz="4" w:space="0"/>
            </w:tcBorders>
            <w:shd w:val="clear" w:color="auto" w:fill="FFFFFF"/>
            <w:vAlign w:val="center"/>
          </w:tcPr>
          <w:p w14:paraId="7AAE03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安全设施及预埋管线工程</w:t>
            </w:r>
          </w:p>
        </w:tc>
        <w:tc>
          <w:tcPr>
            <w:tcW w:w="1400" w:type="dxa"/>
            <w:tcBorders>
              <w:top w:val="nil"/>
              <w:left w:val="nil"/>
              <w:bottom w:val="single" w:color="000000" w:sz="4" w:space="0"/>
              <w:right w:val="single" w:color="000000" w:sz="8" w:space="0"/>
            </w:tcBorders>
            <w:shd w:val="clear" w:color="auto" w:fill="FFFFFF"/>
            <w:vAlign w:val="center"/>
          </w:tcPr>
          <w:p w14:paraId="291A33DB">
            <w:pPr>
              <w:jc w:val="center"/>
              <w:rPr>
                <w:rFonts w:hint="eastAsia" w:ascii="宋体" w:hAnsi="宋体" w:eastAsia="宋体" w:cs="宋体"/>
                <w:i w:val="0"/>
                <w:iCs w:val="0"/>
                <w:color w:val="auto"/>
                <w:sz w:val="18"/>
                <w:szCs w:val="18"/>
                <w:highlight w:val="none"/>
                <w:u w:val="none"/>
              </w:rPr>
            </w:pPr>
          </w:p>
        </w:tc>
      </w:tr>
      <w:tr w14:paraId="2A7427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3BA435F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1800" w:type="dxa"/>
            <w:tcBorders>
              <w:top w:val="nil"/>
              <w:left w:val="nil"/>
              <w:bottom w:val="single" w:color="000000" w:sz="4" w:space="0"/>
              <w:right w:val="single" w:color="000000" w:sz="4" w:space="0"/>
            </w:tcBorders>
            <w:shd w:val="clear" w:color="auto" w:fill="FFFFFF"/>
            <w:vAlign w:val="center"/>
          </w:tcPr>
          <w:p w14:paraId="11E71C9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第800章</w:t>
            </w:r>
          </w:p>
        </w:tc>
        <w:tc>
          <w:tcPr>
            <w:tcW w:w="5460" w:type="dxa"/>
            <w:gridSpan w:val="3"/>
            <w:tcBorders>
              <w:top w:val="nil"/>
              <w:left w:val="nil"/>
              <w:bottom w:val="single" w:color="000000" w:sz="4" w:space="0"/>
              <w:right w:val="single" w:color="000000" w:sz="4" w:space="0"/>
            </w:tcBorders>
            <w:shd w:val="clear" w:color="auto" w:fill="FFFFFF"/>
            <w:vAlign w:val="center"/>
          </w:tcPr>
          <w:p w14:paraId="451940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房屋建筑工程</w:t>
            </w:r>
          </w:p>
        </w:tc>
        <w:tc>
          <w:tcPr>
            <w:tcW w:w="1400" w:type="dxa"/>
            <w:tcBorders>
              <w:top w:val="nil"/>
              <w:left w:val="nil"/>
              <w:bottom w:val="single" w:color="000000" w:sz="4" w:space="0"/>
              <w:right w:val="single" w:color="000000" w:sz="8" w:space="0"/>
            </w:tcBorders>
            <w:shd w:val="clear" w:color="auto" w:fill="FFFFFF"/>
            <w:vAlign w:val="center"/>
          </w:tcPr>
          <w:p w14:paraId="342867F2">
            <w:pPr>
              <w:jc w:val="center"/>
              <w:rPr>
                <w:rFonts w:hint="eastAsia" w:ascii="宋体" w:hAnsi="宋体" w:eastAsia="宋体" w:cs="宋体"/>
                <w:i w:val="0"/>
                <w:iCs w:val="0"/>
                <w:color w:val="auto"/>
                <w:sz w:val="18"/>
                <w:szCs w:val="18"/>
                <w:highlight w:val="none"/>
                <w:u w:val="none"/>
              </w:rPr>
            </w:pPr>
          </w:p>
        </w:tc>
      </w:tr>
      <w:tr w14:paraId="2A9924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67C4CA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1800" w:type="dxa"/>
            <w:tcBorders>
              <w:top w:val="nil"/>
              <w:left w:val="nil"/>
              <w:bottom w:val="single" w:color="000000" w:sz="4" w:space="0"/>
              <w:right w:val="single" w:color="000000" w:sz="4" w:space="0"/>
            </w:tcBorders>
            <w:shd w:val="clear" w:color="auto" w:fill="FFFFFF"/>
            <w:vAlign w:val="center"/>
          </w:tcPr>
          <w:p w14:paraId="1F5BEC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第900章</w:t>
            </w:r>
          </w:p>
        </w:tc>
        <w:tc>
          <w:tcPr>
            <w:tcW w:w="5460" w:type="dxa"/>
            <w:gridSpan w:val="3"/>
            <w:tcBorders>
              <w:top w:val="nil"/>
              <w:left w:val="nil"/>
              <w:bottom w:val="single" w:color="000000" w:sz="4" w:space="0"/>
              <w:right w:val="single" w:color="000000" w:sz="4" w:space="0"/>
            </w:tcBorders>
            <w:shd w:val="clear" w:color="auto" w:fill="FFFFFF"/>
            <w:vAlign w:val="center"/>
          </w:tcPr>
          <w:p w14:paraId="26E426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机电工程</w:t>
            </w:r>
          </w:p>
        </w:tc>
        <w:tc>
          <w:tcPr>
            <w:tcW w:w="1400" w:type="dxa"/>
            <w:tcBorders>
              <w:top w:val="nil"/>
              <w:left w:val="nil"/>
              <w:bottom w:val="single" w:color="000000" w:sz="4" w:space="0"/>
              <w:right w:val="single" w:color="000000" w:sz="8" w:space="0"/>
            </w:tcBorders>
            <w:shd w:val="clear" w:color="auto" w:fill="FFFFFF"/>
            <w:vAlign w:val="center"/>
          </w:tcPr>
          <w:p w14:paraId="24250E04">
            <w:pPr>
              <w:jc w:val="center"/>
              <w:rPr>
                <w:rFonts w:hint="eastAsia" w:ascii="宋体" w:hAnsi="宋体" w:eastAsia="宋体" w:cs="宋体"/>
                <w:i w:val="0"/>
                <w:iCs w:val="0"/>
                <w:color w:val="auto"/>
                <w:sz w:val="18"/>
                <w:szCs w:val="18"/>
                <w:highlight w:val="none"/>
                <w:u w:val="none"/>
              </w:rPr>
            </w:pPr>
          </w:p>
        </w:tc>
      </w:tr>
      <w:tr w14:paraId="085205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3EE5C3E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7260" w:type="dxa"/>
            <w:gridSpan w:val="4"/>
            <w:tcBorders>
              <w:top w:val="nil"/>
              <w:left w:val="nil"/>
              <w:bottom w:val="single" w:color="000000" w:sz="4" w:space="0"/>
              <w:right w:val="single" w:color="000000" w:sz="4" w:space="0"/>
            </w:tcBorders>
            <w:shd w:val="clear" w:color="auto" w:fill="FFFFFF"/>
            <w:vAlign w:val="center"/>
          </w:tcPr>
          <w:p w14:paraId="1690F7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100章～900章清单合计</w:t>
            </w:r>
          </w:p>
        </w:tc>
        <w:tc>
          <w:tcPr>
            <w:tcW w:w="1400" w:type="dxa"/>
            <w:tcBorders>
              <w:top w:val="nil"/>
              <w:left w:val="nil"/>
              <w:bottom w:val="single" w:color="000000" w:sz="4" w:space="0"/>
              <w:right w:val="single" w:color="000000" w:sz="8" w:space="0"/>
            </w:tcBorders>
            <w:shd w:val="clear" w:color="auto" w:fill="FFFFFF"/>
            <w:vAlign w:val="center"/>
          </w:tcPr>
          <w:p w14:paraId="2C0AB512">
            <w:pPr>
              <w:jc w:val="center"/>
              <w:rPr>
                <w:rFonts w:hint="eastAsia" w:ascii="宋体" w:hAnsi="宋体" w:eastAsia="宋体" w:cs="宋体"/>
                <w:i w:val="0"/>
                <w:iCs w:val="0"/>
                <w:color w:val="auto"/>
                <w:sz w:val="18"/>
                <w:szCs w:val="18"/>
                <w:highlight w:val="none"/>
                <w:u w:val="none"/>
              </w:rPr>
            </w:pPr>
          </w:p>
        </w:tc>
      </w:tr>
      <w:tr w14:paraId="0659CB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08E1DF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7260" w:type="dxa"/>
            <w:gridSpan w:val="4"/>
            <w:tcBorders>
              <w:top w:val="nil"/>
              <w:left w:val="nil"/>
              <w:bottom w:val="single" w:color="000000" w:sz="4" w:space="0"/>
              <w:right w:val="single" w:color="000000" w:sz="4" w:space="0"/>
            </w:tcBorders>
            <w:shd w:val="clear" w:color="auto" w:fill="FFFFFF"/>
            <w:vAlign w:val="center"/>
          </w:tcPr>
          <w:p w14:paraId="6ABF05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已包含在清单合计中的专项暂定金额小计</w:t>
            </w:r>
          </w:p>
        </w:tc>
        <w:tc>
          <w:tcPr>
            <w:tcW w:w="1400" w:type="dxa"/>
            <w:tcBorders>
              <w:top w:val="nil"/>
              <w:left w:val="nil"/>
              <w:bottom w:val="single" w:color="000000" w:sz="4" w:space="0"/>
              <w:right w:val="single" w:color="000000" w:sz="8" w:space="0"/>
            </w:tcBorders>
            <w:shd w:val="clear" w:color="auto" w:fill="FFFFFF"/>
            <w:vAlign w:val="center"/>
          </w:tcPr>
          <w:p w14:paraId="398FB306">
            <w:pPr>
              <w:jc w:val="center"/>
              <w:rPr>
                <w:rFonts w:hint="eastAsia" w:ascii="宋体" w:hAnsi="宋体" w:eastAsia="宋体" w:cs="宋体"/>
                <w:i w:val="0"/>
                <w:iCs w:val="0"/>
                <w:color w:val="auto"/>
                <w:sz w:val="18"/>
                <w:szCs w:val="18"/>
                <w:highlight w:val="none"/>
                <w:u w:val="none"/>
              </w:rPr>
            </w:pPr>
          </w:p>
        </w:tc>
      </w:tr>
      <w:tr w14:paraId="043C20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040043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w:t>
            </w:r>
          </w:p>
        </w:tc>
        <w:tc>
          <w:tcPr>
            <w:tcW w:w="7260" w:type="dxa"/>
            <w:gridSpan w:val="4"/>
            <w:tcBorders>
              <w:top w:val="nil"/>
              <w:left w:val="nil"/>
              <w:bottom w:val="single" w:color="000000" w:sz="4" w:space="0"/>
              <w:right w:val="single" w:color="000000" w:sz="4" w:space="0"/>
            </w:tcBorders>
            <w:shd w:val="clear" w:color="auto" w:fill="FFFFFF"/>
            <w:vAlign w:val="center"/>
          </w:tcPr>
          <w:p w14:paraId="697998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清单合计减去专项暂定金额</w:t>
            </w:r>
          </w:p>
        </w:tc>
        <w:tc>
          <w:tcPr>
            <w:tcW w:w="1400" w:type="dxa"/>
            <w:tcBorders>
              <w:top w:val="nil"/>
              <w:left w:val="nil"/>
              <w:bottom w:val="single" w:color="000000" w:sz="4" w:space="0"/>
              <w:right w:val="single" w:color="000000" w:sz="8" w:space="0"/>
            </w:tcBorders>
            <w:shd w:val="clear" w:color="auto" w:fill="FFFFFF"/>
            <w:vAlign w:val="center"/>
          </w:tcPr>
          <w:p w14:paraId="41B77D12">
            <w:pPr>
              <w:jc w:val="center"/>
              <w:rPr>
                <w:rFonts w:hint="eastAsia" w:ascii="宋体" w:hAnsi="宋体" w:eastAsia="宋体" w:cs="宋体"/>
                <w:i w:val="0"/>
                <w:iCs w:val="0"/>
                <w:color w:val="auto"/>
                <w:sz w:val="18"/>
                <w:szCs w:val="18"/>
                <w:highlight w:val="none"/>
                <w:u w:val="none"/>
              </w:rPr>
            </w:pPr>
          </w:p>
        </w:tc>
      </w:tr>
      <w:tr w14:paraId="7E8055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36AF3C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7260" w:type="dxa"/>
            <w:gridSpan w:val="4"/>
            <w:tcBorders>
              <w:top w:val="nil"/>
              <w:left w:val="nil"/>
              <w:bottom w:val="single" w:color="000000" w:sz="4" w:space="0"/>
              <w:right w:val="single" w:color="000000" w:sz="4" w:space="0"/>
            </w:tcBorders>
            <w:shd w:val="clear" w:color="auto" w:fill="FFFFFF"/>
            <w:vAlign w:val="center"/>
          </w:tcPr>
          <w:p w14:paraId="0DE218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计日工合计</w:t>
            </w:r>
          </w:p>
        </w:tc>
        <w:tc>
          <w:tcPr>
            <w:tcW w:w="1400" w:type="dxa"/>
            <w:tcBorders>
              <w:top w:val="nil"/>
              <w:left w:val="nil"/>
              <w:bottom w:val="single" w:color="000000" w:sz="4" w:space="0"/>
              <w:right w:val="single" w:color="000000" w:sz="8" w:space="0"/>
            </w:tcBorders>
            <w:shd w:val="clear" w:color="auto" w:fill="FFFFFF"/>
            <w:vAlign w:val="center"/>
          </w:tcPr>
          <w:p w14:paraId="605B417C">
            <w:pPr>
              <w:jc w:val="center"/>
              <w:rPr>
                <w:rFonts w:hint="eastAsia" w:ascii="宋体" w:hAnsi="宋体" w:eastAsia="宋体" w:cs="宋体"/>
                <w:i w:val="0"/>
                <w:iCs w:val="0"/>
                <w:color w:val="auto"/>
                <w:sz w:val="18"/>
                <w:szCs w:val="18"/>
                <w:highlight w:val="none"/>
                <w:u w:val="none"/>
              </w:rPr>
            </w:pPr>
          </w:p>
        </w:tc>
      </w:tr>
      <w:tr w14:paraId="171810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721E10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w:t>
            </w:r>
          </w:p>
        </w:tc>
        <w:tc>
          <w:tcPr>
            <w:tcW w:w="7260" w:type="dxa"/>
            <w:gridSpan w:val="4"/>
            <w:tcBorders>
              <w:top w:val="nil"/>
              <w:left w:val="nil"/>
              <w:bottom w:val="single" w:color="000000" w:sz="4" w:space="0"/>
              <w:right w:val="single" w:color="000000" w:sz="4" w:space="0"/>
            </w:tcBorders>
            <w:shd w:val="clear" w:color="auto" w:fill="FFFFFF"/>
            <w:vAlign w:val="center"/>
          </w:tcPr>
          <w:p w14:paraId="0A6911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暂列金额</w:t>
            </w:r>
          </w:p>
        </w:tc>
        <w:tc>
          <w:tcPr>
            <w:tcW w:w="1400" w:type="dxa"/>
            <w:tcBorders>
              <w:top w:val="nil"/>
              <w:left w:val="nil"/>
              <w:bottom w:val="single" w:color="000000" w:sz="4" w:space="0"/>
              <w:right w:val="single" w:color="000000" w:sz="8" w:space="0"/>
            </w:tcBorders>
            <w:shd w:val="clear" w:color="auto" w:fill="FFFFFF"/>
            <w:vAlign w:val="center"/>
          </w:tcPr>
          <w:p w14:paraId="7FF288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471151</w:t>
            </w:r>
          </w:p>
        </w:tc>
      </w:tr>
      <w:tr w14:paraId="0356C4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1B416F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w:t>
            </w:r>
          </w:p>
        </w:tc>
        <w:tc>
          <w:tcPr>
            <w:tcW w:w="7260" w:type="dxa"/>
            <w:gridSpan w:val="4"/>
            <w:tcBorders>
              <w:top w:val="nil"/>
              <w:left w:val="nil"/>
              <w:bottom w:val="single" w:color="000000" w:sz="4" w:space="0"/>
              <w:right w:val="single" w:color="000000" w:sz="4" w:space="0"/>
            </w:tcBorders>
            <w:shd w:val="clear" w:color="auto" w:fill="FFFFFF"/>
            <w:vAlign w:val="center"/>
          </w:tcPr>
          <w:p w14:paraId="7F9DF1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投标价</w:t>
            </w:r>
          </w:p>
        </w:tc>
        <w:tc>
          <w:tcPr>
            <w:tcW w:w="1400" w:type="dxa"/>
            <w:tcBorders>
              <w:top w:val="nil"/>
              <w:left w:val="nil"/>
              <w:bottom w:val="single" w:color="000000" w:sz="4" w:space="0"/>
              <w:right w:val="single" w:color="000000" w:sz="8" w:space="0"/>
            </w:tcBorders>
            <w:shd w:val="clear" w:color="auto" w:fill="FFFFFF"/>
            <w:vAlign w:val="center"/>
          </w:tcPr>
          <w:p w14:paraId="1BDEE6CC">
            <w:pPr>
              <w:jc w:val="center"/>
              <w:rPr>
                <w:rFonts w:hint="eastAsia" w:ascii="宋体" w:hAnsi="宋体" w:eastAsia="宋体" w:cs="宋体"/>
                <w:i w:val="0"/>
                <w:iCs w:val="0"/>
                <w:color w:val="auto"/>
                <w:sz w:val="18"/>
                <w:szCs w:val="18"/>
                <w:highlight w:val="none"/>
                <w:u w:val="none"/>
              </w:rPr>
            </w:pPr>
          </w:p>
        </w:tc>
      </w:tr>
      <w:tr w14:paraId="4768EB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78" w:hRule="atLeast"/>
          <w:jc w:val="center"/>
        </w:trPr>
        <w:tc>
          <w:tcPr>
            <w:tcW w:w="1000" w:type="dxa"/>
            <w:tcBorders>
              <w:top w:val="nil"/>
              <w:left w:val="single" w:color="000000" w:sz="8" w:space="0"/>
              <w:bottom w:val="single" w:color="000000" w:sz="4" w:space="0"/>
              <w:right w:val="single" w:color="000000" w:sz="4" w:space="0"/>
            </w:tcBorders>
            <w:shd w:val="clear" w:color="auto" w:fill="FFFFFF"/>
            <w:vAlign w:val="center"/>
          </w:tcPr>
          <w:p w14:paraId="036BD402">
            <w:pPr>
              <w:jc w:val="center"/>
              <w:rPr>
                <w:rFonts w:hint="eastAsia" w:ascii="宋体" w:hAnsi="宋体" w:eastAsia="宋体" w:cs="宋体"/>
                <w:i w:val="0"/>
                <w:iCs w:val="0"/>
                <w:color w:val="auto"/>
                <w:sz w:val="18"/>
                <w:szCs w:val="18"/>
                <w:highlight w:val="none"/>
                <w:u w:val="none"/>
              </w:rPr>
            </w:pPr>
          </w:p>
        </w:tc>
        <w:tc>
          <w:tcPr>
            <w:tcW w:w="7260" w:type="dxa"/>
            <w:gridSpan w:val="4"/>
            <w:tcBorders>
              <w:top w:val="nil"/>
              <w:left w:val="nil"/>
              <w:bottom w:val="single" w:color="000000" w:sz="4" w:space="0"/>
              <w:right w:val="single" w:color="000000" w:sz="4" w:space="0"/>
            </w:tcBorders>
            <w:shd w:val="clear" w:color="auto" w:fill="FFFFFF"/>
            <w:vAlign w:val="center"/>
          </w:tcPr>
          <w:p w14:paraId="3ABE9066">
            <w:pPr>
              <w:jc w:val="center"/>
              <w:rPr>
                <w:rFonts w:hint="eastAsia" w:ascii="宋体" w:hAnsi="宋体" w:eastAsia="宋体" w:cs="宋体"/>
                <w:i w:val="0"/>
                <w:iCs w:val="0"/>
                <w:color w:val="auto"/>
                <w:sz w:val="18"/>
                <w:szCs w:val="18"/>
                <w:highlight w:val="none"/>
                <w:u w:val="none"/>
              </w:rPr>
            </w:pPr>
          </w:p>
        </w:tc>
        <w:tc>
          <w:tcPr>
            <w:tcW w:w="1400" w:type="dxa"/>
            <w:tcBorders>
              <w:top w:val="nil"/>
              <w:left w:val="nil"/>
              <w:bottom w:val="single" w:color="000000" w:sz="4" w:space="0"/>
              <w:right w:val="single" w:color="000000" w:sz="8" w:space="0"/>
            </w:tcBorders>
            <w:shd w:val="clear" w:color="auto" w:fill="FFFFFF"/>
            <w:vAlign w:val="center"/>
          </w:tcPr>
          <w:p w14:paraId="27F3401F">
            <w:pPr>
              <w:jc w:val="center"/>
              <w:rPr>
                <w:rFonts w:hint="eastAsia" w:ascii="宋体" w:hAnsi="宋体" w:eastAsia="宋体" w:cs="宋体"/>
                <w:i w:val="0"/>
                <w:iCs w:val="0"/>
                <w:color w:val="auto"/>
                <w:sz w:val="18"/>
                <w:szCs w:val="18"/>
                <w:highlight w:val="none"/>
                <w:u w:val="none"/>
              </w:rPr>
            </w:pPr>
          </w:p>
        </w:tc>
      </w:tr>
    </w:tbl>
    <w:p w14:paraId="51C4DDF4">
      <w:pPr>
        <w:widowControl/>
        <w:ind w:left="42" w:right="42"/>
        <w:jc w:val="both"/>
        <w:rPr>
          <w:rFonts w:hint="default" w:ascii="Calibri" w:hAnsi="Calibri" w:eastAsia="宋体" w:cs="Calibri"/>
          <w:color w:val="auto"/>
          <w:kern w:val="2"/>
          <w:sz w:val="21"/>
          <w:szCs w:val="21"/>
          <w:highlight w:val="none"/>
          <w:lang w:val="en-US" w:eastAsia="zh-CN" w:bidi="ar-SA"/>
        </w:rPr>
      </w:pPr>
    </w:p>
    <w:p w14:paraId="355734F1">
      <w:pPr>
        <w:pStyle w:val="44"/>
        <w:bidi w:val="0"/>
        <w:rPr>
          <w:color w:val="auto"/>
          <w:highlight w:val="none"/>
        </w:rPr>
      </w:pPr>
    </w:p>
    <w:p w14:paraId="27185D08">
      <w:pPr>
        <w:pStyle w:val="62"/>
        <w:widowControl/>
        <w:ind w:left="42" w:right="42"/>
        <w:jc w:val="center"/>
        <w:rPr>
          <w:color w:val="auto"/>
          <w:highlight w:val="none"/>
        </w:rPr>
      </w:pPr>
      <w:r>
        <w:rPr>
          <w:color w:val="auto"/>
          <w:highlight w:val="none"/>
        </w:rPr>
        <w:br w:type="page"/>
      </w:r>
    </w:p>
    <w:bookmarkEnd w:id="732"/>
    <w:p w14:paraId="6229029C">
      <w:pPr>
        <w:pStyle w:val="9"/>
        <w:keepNext/>
        <w:keepLines/>
        <w:pageBreakBefore/>
        <w:spacing w:line="600" w:lineRule="exact"/>
        <w:rPr>
          <w:rFonts w:ascii="黑体" w:eastAsia="黑体"/>
          <w:color w:val="auto"/>
          <w:sz w:val="48"/>
          <w:szCs w:val="48"/>
          <w:highlight w:val="none"/>
        </w:rPr>
      </w:pPr>
      <w:r>
        <w:rPr>
          <w:color w:val="auto"/>
          <w:highlight w:val="none"/>
        </w:rPr>
        <w:drawing>
          <wp:anchor distT="0" distB="0" distL="114300" distR="114300" simplePos="0" relativeHeight="251659264" behindDoc="0" locked="0" layoutInCell="1" allowOverlap="1">
            <wp:simplePos x="0" y="0"/>
            <wp:positionH relativeFrom="column">
              <wp:posOffset>-161925</wp:posOffset>
            </wp:positionH>
            <wp:positionV relativeFrom="paragraph">
              <wp:posOffset>-19050</wp:posOffset>
            </wp:positionV>
            <wp:extent cx="5700395" cy="8047990"/>
            <wp:effectExtent l="0" t="0" r="14605" b="10160"/>
            <wp:wrapTopAndBottom/>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pic:cNvPicPr>
                  </pic:nvPicPr>
                  <pic:blipFill>
                    <a:blip r:embed="rId9"/>
                    <a:stretch>
                      <a:fillRect/>
                    </a:stretch>
                  </pic:blipFill>
                  <pic:spPr>
                    <a:xfrm>
                      <a:off x="0" y="0"/>
                      <a:ext cx="5700395" cy="8047990"/>
                    </a:xfrm>
                    <a:prstGeom prst="rect">
                      <a:avLst/>
                    </a:prstGeom>
                    <a:noFill/>
                    <a:ln>
                      <a:noFill/>
                    </a:ln>
                  </pic:spPr>
                </pic:pic>
              </a:graphicData>
            </a:graphic>
          </wp:anchor>
        </w:drawing>
      </w:r>
    </w:p>
    <w:p w14:paraId="11B7D851">
      <w:pPr>
        <w:pStyle w:val="9"/>
        <w:spacing w:line="600" w:lineRule="exact"/>
        <w:rPr>
          <w:rFonts w:ascii="黑体" w:eastAsia="黑体"/>
          <w:color w:val="auto"/>
          <w:sz w:val="48"/>
          <w:szCs w:val="48"/>
          <w:highlight w:val="none"/>
        </w:rPr>
      </w:pPr>
    </w:p>
    <w:p w14:paraId="339AC559">
      <w:pPr>
        <w:pStyle w:val="9"/>
        <w:spacing w:line="600" w:lineRule="exact"/>
        <w:rPr>
          <w:rFonts w:ascii="黑体" w:eastAsia="黑体"/>
          <w:color w:val="auto"/>
          <w:sz w:val="48"/>
          <w:szCs w:val="48"/>
          <w:highlight w:val="none"/>
        </w:rPr>
      </w:pPr>
    </w:p>
    <w:p w14:paraId="02D0208E">
      <w:pPr>
        <w:pStyle w:val="9"/>
        <w:spacing w:line="600" w:lineRule="exact"/>
        <w:rPr>
          <w:rFonts w:ascii="黑体" w:eastAsia="黑体"/>
          <w:color w:val="auto"/>
          <w:sz w:val="48"/>
          <w:szCs w:val="48"/>
          <w:highlight w:val="none"/>
        </w:rPr>
      </w:pPr>
    </w:p>
    <w:p w14:paraId="6AD597B8">
      <w:pPr>
        <w:pStyle w:val="9"/>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黑体" w:eastAsia="黑体"/>
          <w:color w:val="auto"/>
          <w:sz w:val="48"/>
          <w:szCs w:val="48"/>
          <w:highlight w:val="none"/>
        </w:rPr>
      </w:pPr>
    </w:p>
    <w:p w14:paraId="3EBD85B7">
      <w:pPr>
        <w:pStyle w:val="9"/>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黑体" w:eastAsia="黑体"/>
          <w:color w:val="auto"/>
          <w:sz w:val="48"/>
          <w:szCs w:val="48"/>
          <w:highlight w:val="none"/>
        </w:rPr>
      </w:pPr>
    </w:p>
    <w:p w14:paraId="1BC8D649">
      <w:pPr>
        <w:pStyle w:val="9"/>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黑体" w:eastAsia="黑体"/>
          <w:color w:val="auto"/>
          <w:sz w:val="48"/>
          <w:szCs w:val="48"/>
          <w:highlight w:val="none"/>
        </w:rPr>
      </w:pPr>
    </w:p>
    <w:p w14:paraId="7C1C9957">
      <w:pPr>
        <w:pStyle w:val="9"/>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黑体" w:hAnsi="黑体" w:eastAsia="黑体"/>
          <w:color w:val="auto"/>
          <w:sz w:val="84"/>
          <w:szCs w:val="84"/>
          <w:highlight w:val="none"/>
        </w:rPr>
      </w:pPr>
    </w:p>
    <w:p w14:paraId="44F40C79">
      <w:pPr>
        <w:pStyle w:val="9"/>
        <w:jc w:val="center"/>
        <w:outlineLvl w:val="0"/>
        <w:rPr>
          <w:rFonts w:hint="eastAsia" w:ascii="黑体" w:hAnsi="黑体" w:eastAsia="黑体"/>
          <w:color w:val="auto"/>
          <w:sz w:val="84"/>
          <w:szCs w:val="84"/>
          <w:highlight w:val="none"/>
        </w:rPr>
      </w:pPr>
      <w:bookmarkStart w:id="746" w:name="_Toc1487"/>
      <w:r>
        <w:rPr>
          <w:rFonts w:hint="eastAsia" w:ascii="黑体" w:hAnsi="黑体" w:eastAsia="黑体"/>
          <w:color w:val="auto"/>
          <w:sz w:val="84"/>
          <w:szCs w:val="84"/>
          <w:highlight w:val="none"/>
        </w:rPr>
        <w:t>第二卷</w:t>
      </w:r>
      <w:bookmarkEnd w:id="746"/>
    </w:p>
    <w:p w14:paraId="33798763">
      <w:pPr>
        <w:pStyle w:val="9"/>
        <w:keepNext/>
        <w:keepLines/>
        <w:pageBreakBefore/>
        <w:spacing w:line="600" w:lineRule="exact"/>
        <w:rPr>
          <w:rFonts w:ascii="黑体" w:eastAsia="黑体"/>
          <w:color w:val="auto"/>
          <w:sz w:val="48"/>
          <w:szCs w:val="48"/>
          <w:highlight w:val="none"/>
        </w:rPr>
      </w:pPr>
    </w:p>
    <w:p w14:paraId="06E7CA00">
      <w:pPr>
        <w:pStyle w:val="9"/>
        <w:spacing w:line="600" w:lineRule="exact"/>
        <w:rPr>
          <w:rFonts w:ascii="黑体" w:eastAsia="黑体"/>
          <w:color w:val="auto"/>
          <w:sz w:val="48"/>
          <w:szCs w:val="48"/>
          <w:highlight w:val="none"/>
        </w:rPr>
      </w:pPr>
    </w:p>
    <w:p w14:paraId="3FA9485E">
      <w:pPr>
        <w:pStyle w:val="9"/>
        <w:spacing w:line="600" w:lineRule="exact"/>
        <w:rPr>
          <w:rFonts w:ascii="黑体" w:eastAsia="黑体"/>
          <w:color w:val="auto"/>
          <w:sz w:val="48"/>
          <w:szCs w:val="48"/>
          <w:highlight w:val="none"/>
        </w:rPr>
      </w:pPr>
    </w:p>
    <w:p w14:paraId="7547A006">
      <w:pPr>
        <w:pStyle w:val="9"/>
        <w:spacing w:line="600" w:lineRule="exact"/>
        <w:rPr>
          <w:rFonts w:ascii="黑体" w:eastAsia="黑体"/>
          <w:color w:val="auto"/>
          <w:sz w:val="48"/>
          <w:szCs w:val="48"/>
          <w:highlight w:val="none"/>
        </w:rPr>
      </w:pPr>
    </w:p>
    <w:p w14:paraId="45044910">
      <w:pPr>
        <w:pStyle w:val="9"/>
        <w:spacing w:line="600" w:lineRule="exact"/>
        <w:rPr>
          <w:rFonts w:ascii="黑体" w:eastAsia="黑体"/>
          <w:color w:val="auto"/>
          <w:sz w:val="48"/>
          <w:szCs w:val="48"/>
          <w:highlight w:val="none"/>
        </w:rPr>
      </w:pPr>
    </w:p>
    <w:p w14:paraId="6F0EAAD5">
      <w:pPr>
        <w:pStyle w:val="9"/>
        <w:spacing w:line="600" w:lineRule="exact"/>
        <w:rPr>
          <w:rFonts w:ascii="黑体" w:eastAsia="黑体"/>
          <w:color w:val="auto"/>
          <w:sz w:val="48"/>
          <w:szCs w:val="48"/>
          <w:highlight w:val="none"/>
        </w:rPr>
      </w:pPr>
    </w:p>
    <w:p w14:paraId="5B80C0C3">
      <w:pPr>
        <w:pStyle w:val="9"/>
        <w:spacing w:line="600" w:lineRule="exact"/>
        <w:rPr>
          <w:rFonts w:ascii="黑体" w:eastAsia="黑体"/>
          <w:color w:val="auto"/>
          <w:sz w:val="48"/>
          <w:szCs w:val="48"/>
          <w:highlight w:val="none"/>
        </w:rPr>
      </w:pPr>
    </w:p>
    <w:p w14:paraId="2E77305B">
      <w:pPr>
        <w:pStyle w:val="9"/>
        <w:jc w:val="center"/>
        <w:outlineLvl w:val="1"/>
        <w:rPr>
          <w:rFonts w:ascii="黑体" w:hAnsi="黑体" w:eastAsia="黑体"/>
          <w:b/>
          <w:color w:val="auto"/>
          <w:sz w:val="32"/>
          <w:szCs w:val="32"/>
          <w:highlight w:val="none"/>
        </w:rPr>
      </w:pPr>
      <w:bookmarkStart w:id="747" w:name="_Toc31650"/>
      <w:r>
        <w:rPr>
          <w:rFonts w:hint="eastAsia" w:ascii="黑体" w:hAnsi="黑体" w:eastAsia="黑体"/>
          <w:b/>
          <w:color w:val="auto"/>
          <w:sz w:val="32"/>
          <w:szCs w:val="32"/>
          <w:highlight w:val="none"/>
        </w:rPr>
        <w:t>第六章  图纸（另册）</w:t>
      </w:r>
      <w:bookmarkEnd w:id="747"/>
    </w:p>
    <w:p w14:paraId="4AD59EDB">
      <w:pPr>
        <w:pStyle w:val="9"/>
        <w:tabs>
          <w:tab w:val="left" w:pos="2790"/>
        </w:tabs>
        <w:spacing w:line="220" w:lineRule="exact"/>
        <w:rPr>
          <w:rFonts w:ascii="宋体"/>
          <w:color w:val="auto"/>
          <w:sz w:val="24"/>
          <w:highlight w:val="none"/>
        </w:rPr>
      </w:pPr>
    </w:p>
    <w:p w14:paraId="75D9FFF0">
      <w:pPr>
        <w:pStyle w:val="9"/>
        <w:keepNext/>
        <w:keepLines/>
        <w:pageBreakBefore/>
        <w:spacing w:line="360" w:lineRule="auto"/>
        <w:rPr>
          <w:rFonts w:ascii="宋体" w:hAnsi="宋体"/>
          <w:color w:val="auto"/>
          <w:szCs w:val="21"/>
          <w:highlight w:val="none"/>
        </w:rPr>
      </w:pPr>
    </w:p>
    <w:p w14:paraId="3079680E">
      <w:pPr>
        <w:pStyle w:val="9"/>
        <w:rPr>
          <w:color w:val="auto"/>
          <w:highlight w:val="none"/>
        </w:rPr>
      </w:pPr>
    </w:p>
    <w:p w14:paraId="79B0ABFD">
      <w:pPr>
        <w:pStyle w:val="9"/>
        <w:spacing w:line="360" w:lineRule="auto"/>
        <w:rPr>
          <w:color w:val="auto"/>
          <w:highlight w:val="none"/>
        </w:rPr>
      </w:pPr>
    </w:p>
    <w:p w14:paraId="0AEDB7E2">
      <w:pPr>
        <w:pStyle w:val="9"/>
        <w:spacing w:line="360" w:lineRule="auto"/>
        <w:rPr>
          <w:color w:val="auto"/>
          <w:highlight w:val="none"/>
        </w:rPr>
      </w:pPr>
    </w:p>
    <w:p w14:paraId="373FC582">
      <w:pPr>
        <w:pStyle w:val="9"/>
        <w:spacing w:line="360" w:lineRule="auto"/>
        <w:rPr>
          <w:color w:val="auto"/>
          <w:highlight w:val="none"/>
        </w:rPr>
      </w:pPr>
    </w:p>
    <w:p w14:paraId="6327F08C">
      <w:pPr>
        <w:pStyle w:val="9"/>
        <w:spacing w:line="360" w:lineRule="auto"/>
        <w:rPr>
          <w:color w:val="auto"/>
          <w:highlight w:val="none"/>
        </w:rPr>
      </w:pPr>
    </w:p>
    <w:p w14:paraId="5F2D3510">
      <w:pPr>
        <w:pStyle w:val="9"/>
        <w:spacing w:line="360" w:lineRule="auto"/>
        <w:rPr>
          <w:color w:val="auto"/>
          <w:highlight w:val="none"/>
        </w:rPr>
      </w:pPr>
    </w:p>
    <w:p w14:paraId="60441373">
      <w:pPr>
        <w:pStyle w:val="9"/>
        <w:spacing w:line="360" w:lineRule="auto"/>
        <w:rPr>
          <w:color w:val="auto"/>
          <w:highlight w:val="none"/>
        </w:rPr>
      </w:pPr>
    </w:p>
    <w:p w14:paraId="290F36FD">
      <w:pPr>
        <w:pStyle w:val="9"/>
        <w:spacing w:line="360" w:lineRule="auto"/>
        <w:rPr>
          <w:color w:val="auto"/>
          <w:highlight w:val="none"/>
        </w:rPr>
      </w:pPr>
    </w:p>
    <w:p w14:paraId="212B3D8F">
      <w:pPr>
        <w:pStyle w:val="9"/>
        <w:spacing w:line="360" w:lineRule="auto"/>
        <w:rPr>
          <w:color w:val="auto"/>
          <w:highlight w:val="none"/>
        </w:rPr>
      </w:pPr>
    </w:p>
    <w:p w14:paraId="06D97F8E">
      <w:pPr>
        <w:pStyle w:val="9"/>
        <w:spacing w:line="360" w:lineRule="auto"/>
        <w:rPr>
          <w:color w:val="auto"/>
          <w:highlight w:val="none"/>
        </w:rPr>
      </w:pPr>
    </w:p>
    <w:p w14:paraId="1A951D4F">
      <w:pPr>
        <w:pStyle w:val="9"/>
        <w:spacing w:line="360" w:lineRule="auto"/>
        <w:rPr>
          <w:color w:val="auto"/>
          <w:highlight w:val="none"/>
        </w:rPr>
      </w:pPr>
    </w:p>
    <w:p w14:paraId="6760242C">
      <w:pPr>
        <w:pStyle w:val="9"/>
        <w:spacing w:line="360" w:lineRule="auto"/>
        <w:rPr>
          <w:color w:val="auto"/>
          <w:highlight w:val="none"/>
        </w:rPr>
      </w:pPr>
    </w:p>
    <w:p w14:paraId="0D16378B">
      <w:pPr>
        <w:pStyle w:val="9"/>
        <w:jc w:val="center"/>
        <w:outlineLvl w:val="0"/>
        <w:rPr>
          <w:rFonts w:hint="eastAsia" w:ascii="黑体" w:hAnsi="黑体" w:eastAsia="黑体"/>
          <w:color w:val="auto"/>
          <w:sz w:val="84"/>
          <w:szCs w:val="84"/>
          <w:highlight w:val="none"/>
        </w:rPr>
      </w:pPr>
      <w:bookmarkStart w:id="748" w:name="_Toc2807"/>
      <w:r>
        <w:rPr>
          <w:rFonts w:hint="eastAsia" w:ascii="黑体" w:hAnsi="黑体" w:eastAsia="黑体"/>
          <w:color w:val="auto"/>
          <w:sz w:val="84"/>
          <w:szCs w:val="84"/>
          <w:highlight w:val="none"/>
        </w:rPr>
        <w:t>第三卷</w:t>
      </w:r>
      <w:bookmarkEnd w:id="748"/>
    </w:p>
    <w:p w14:paraId="62EA1914">
      <w:pPr>
        <w:pStyle w:val="41"/>
        <w:pageBreakBefore/>
        <w:spacing w:before="0" w:after="0" w:line="700" w:lineRule="exact"/>
        <w:jc w:val="center"/>
        <w:rPr>
          <w:rFonts w:hint="eastAsia"/>
          <w:color w:val="auto"/>
          <w:highlight w:val="none"/>
        </w:rPr>
      </w:pPr>
      <w:bookmarkStart w:id="749" w:name="_Toc23741"/>
      <w:r>
        <w:rPr>
          <w:rFonts w:hint="eastAsia"/>
          <w:color w:val="auto"/>
          <w:highlight w:val="none"/>
        </w:rPr>
        <w:t>第七章  技术规范</w:t>
      </w:r>
      <w:bookmarkEnd w:id="749"/>
    </w:p>
    <w:p w14:paraId="526E879A">
      <w:pPr>
        <w:pStyle w:val="40"/>
        <w:spacing w:line="700" w:lineRule="exact"/>
        <w:jc w:val="center"/>
        <w:rPr>
          <w:rFonts w:hint="eastAsia" w:ascii="黑体" w:hAnsi="黑体" w:eastAsia="黑体" w:cs="Calibri"/>
          <w:color w:val="auto"/>
          <w:kern w:val="2"/>
          <w:szCs w:val="32"/>
          <w:highlight w:val="none"/>
          <w:lang w:val="en-US" w:eastAsia="zh-CN"/>
        </w:rPr>
      </w:pPr>
      <w:bookmarkStart w:id="750" w:name="_Toc17929"/>
      <w:bookmarkEnd w:id="750"/>
      <w:bookmarkStart w:id="751" w:name="_Toc12688"/>
      <w:bookmarkStart w:id="752" w:name="EBfea99dccdedb451ba1e8a758078c5567"/>
      <w:r>
        <w:rPr>
          <w:rFonts w:hint="eastAsia" w:ascii="黑体" w:hAnsi="黑体" w:eastAsia="黑体" w:cs="Calibri"/>
          <w:color w:val="auto"/>
          <w:kern w:val="2"/>
          <w:szCs w:val="32"/>
          <w:highlight w:val="none"/>
          <w:lang w:val="en-US" w:eastAsia="zh-CN"/>
        </w:rPr>
        <w:t>（一） 通用技术规范</w:t>
      </w:r>
      <w:bookmarkEnd w:id="751"/>
    </w:p>
    <w:p w14:paraId="39C0B97A">
      <w:pPr>
        <w:pStyle w:val="9"/>
        <w:spacing w:before="156" w:beforeLines="50" w:line="360" w:lineRule="exact"/>
        <w:jc w:val="left"/>
        <w:rPr>
          <w:rFonts w:hint="eastAsia"/>
          <w:color w:val="auto"/>
          <w:szCs w:val="21"/>
          <w:highlight w:val="none"/>
        </w:rPr>
      </w:pPr>
      <w:r>
        <w:rPr>
          <w:rFonts w:hint="eastAsia"/>
          <w:color w:val="auto"/>
          <w:szCs w:val="21"/>
          <w:highlight w:val="none"/>
        </w:rPr>
        <w:t>“通用技术规范”采用《浙江省公路养护工程施工招标文件范本》（下册）《技术规范》。</w:t>
      </w:r>
    </w:p>
    <w:p w14:paraId="0BD727FA">
      <w:pPr>
        <w:pStyle w:val="9"/>
        <w:spacing w:line="360" w:lineRule="exact"/>
        <w:ind w:firstLine="480" w:firstLineChars="200"/>
        <w:jc w:val="left"/>
        <w:rPr>
          <w:rFonts w:hint="eastAsia"/>
          <w:color w:val="auto"/>
          <w:sz w:val="24"/>
          <w:highlight w:val="none"/>
        </w:rPr>
      </w:pPr>
    </w:p>
    <w:p w14:paraId="405ED8BA">
      <w:pPr>
        <w:pStyle w:val="40"/>
        <w:spacing w:line="700" w:lineRule="exact"/>
        <w:jc w:val="center"/>
        <w:rPr>
          <w:rFonts w:hint="eastAsia" w:ascii="黑体" w:hAnsi="黑体" w:eastAsia="黑体" w:cs="Calibri"/>
          <w:color w:val="auto"/>
          <w:kern w:val="2"/>
          <w:szCs w:val="32"/>
          <w:highlight w:val="none"/>
          <w:lang w:val="en-US" w:eastAsia="zh-CN"/>
        </w:rPr>
      </w:pPr>
      <w:bookmarkStart w:id="753" w:name="_Toc522564636"/>
      <w:bookmarkStart w:id="754" w:name="_Toc451870946"/>
      <w:bookmarkStart w:id="755" w:name="_Toc450490867"/>
      <w:bookmarkStart w:id="756" w:name="_Toc29536"/>
      <w:bookmarkStart w:id="757" w:name="_Toc30380"/>
      <w:bookmarkStart w:id="758" w:name="_Toc462311026"/>
      <w:bookmarkStart w:id="759" w:name="_Toc448489960"/>
      <w:bookmarkStart w:id="760" w:name="_Toc179859671"/>
      <w:bookmarkStart w:id="761" w:name="_Toc255463652"/>
      <w:bookmarkStart w:id="762" w:name="_Toc180569691"/>
      <w:bookmarkStart w:id="763" w:name="_Toc283740335"/>
      <w:bookmarkStart w:id="764" w:name="_Toc270751706"/>
      <w:bookmarkStart w:id="765" w:name="_Toc169592779"/>
      <w:bookmarkStart w:id="766" w:name="_Toc179879578"/>
      <w:bookmarkStart w:id="767" w:name="_Toc225650245"/>
      <w:bookmarkStart w:id="768" w:name="_Toc178838726"/>
      <w:bookmarkStart w:id="769" w:name="_Toc283744381"/>
      <w:bookmarkStart w:id="770" w:name="_Toc178838846"/>
      <w:bookmarkStart w:id="771" w:name="_Toc270752801"/>
      <w:bookmarkStart w:id="772" w:name="_Toc283648040"/>
      <w:bookmarkStart w:id="773" w:name="_Toc283651273"/>
      <w:bookmarkStart w:id="774" w:name="_Toc180300996"/>
      <w:bookmarkStart w:id="775" w:name="_Toc270700984"/>
      <w:bookmarkStart w:id="776" w:name="_Toc255465078"/>
      <w:bookmarkStart w:id="777" w:name="_Toc283744694"/>
      <w:bookmarkStart w:id="778" w:name="_Toc288548861"/>
      <w:bookmarkStart w:id="779" w:name="_Toc254872580"/>
      <w:bookmarkStart w:id="780" w:name="_Toc270752569"/>
      <w:bookmarkStart w:id="781" w:name="_Toc270687362"/>
      <w:bookmarkStart w:id="782" w:name="_Toc270752453"/>
      <w:bookmarkStart w:id="783" w:name="_Toc178838236"/>
      <w:bookmarkStart w:id="784" w:name="_Toc179107662"/>
      <w:bookmarkStart w:id="785" w:name="_Toc288550096"/>
      <w:bookmarkStart w:id="786" w:name="_Toc172340702"/>
      <w:bookmarkStart w:id="787" w:name="_Toc288549677"/>
      <w:bookmarkStart w:id="788" w:name="_Toc179700003"/>
      <w:bookmarkStart w:id="789" w:name="_Toc20960"/>
      <w:bookmarkStart w:id="790" w:name="_Toc283649483"/>
      <w:bookmarkStart w:id="791" w:name="_Toc169588375"/>
      <w:bookmarkStart w:id="792" w:name="_Toc255468009"/>
      <w:bookmarkStart w:id="793" w:name="_Toc283740606"/>
      <w:bookmarkStart w:id="794" w:name="_Toc289067413"/>
      <w:bookmarkStart w:id="795" w:name="_Toc283739797"/>
      <w:bookmarkStart w:id="796" w:name="_Toc181005751"/>
      <w:bookmarkStart w:id="797" w:name="_Toc255462831"/>
      <w:bookmarkStart w:id="798" w:name="_Toc283739594"/>
      <w:bookmarkStart w:id="799" w:name="_Toc288548161"/>
      <w:bookmarkStart w:id="800" w:name="_Toc270752337"/>
      <w:r>
        <w:rPr>
          <w:rFonts w:hint="eastAsia" w:ascii="黑体" w:hAnsi="黑体" w:eastAsia="黑体" w:cs="Calibri"/>
          <w:color w:val="auto"/>
          <w:kern w:val="2"/>
          <w:szCs w:val="32"/>
          <w:highlight w:val="none"/>
          <w:lang w:val="en-US" w:eastAsia="zh-CN"/>
        </w:rPr>
        <w:br w:type="page"/>
      </w:r>
      <w:bookmarkEnd w:id="753"/>
      <w:bookmarkEnd w:id="754"/>
      <w:bookmarkEnd w:id="755"/>
      <w:bookmarkEnd w:id="756"/>
      <w:bookmarkEnd w:id="757"/>
      <w:bookmarkEnd w:id="758"/>
      <w:bookmarkEnd w:id="759"/>
    </w:p>
    <w:bookmarkEnd w:id="752"/>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p w14:paraId="19C3D485">
      <w:pPr>
        <w:pStyle w:val="11"/>
        <w:rPr>
          <w:color w:val="auto"/>
          <w:highlight w:val="none"/>
        </w:rPr>
      </w:pPr>
    </w:p>
    <w:p w14:paraId="522561E4">
      <w:pPr>
        <w:pStyle w:val="9"/>
        <w:rPr>
          <w:color w:val="auto"/>
          <w:highlight w:val="none"/>
        </w:rPr>
      </w:pPr>
    </w:p>
    <w:p w14:paraId="52C77EEC">
      <w:pPr>
        <w:pStyle w:val="9"/>
        <w:rPr>
          <w:color w:val="auto"/>
          <w:highlight w:val="none"/>
        </w:rPr>
      </w:pPr>
    </w:p>
    <w:p w14:paraId="1ACFA4D9">
      <w:pPr>
        <w:pStyle w:val="9"/>
        <w:rPr>
          <w:color w:val="auto"/>
          <w:highlight w:val="none"/>
        </w:rPr>
      </w:pPr>
    </w:p>
    <w:p w14:paraId="32A85812">
      <w:pPr>
        <w:pStyle w:val="9"/>
        <w:rPr>
          <w:color w:val="auto"/>
          <w:highlight w:val="none"/>
        </w:rPr>
      </w:pPr>
    </w:p>
    <w:p w14:paraId="11CCEA21">
      <w:pPr>
        <w:pStyle w:val="9"/>
        <w:rPr>
          <w:color w:val="auto"/>
          <w:highlight w:val="none"/>
        </w:rPr>
      </w:pPr>
    </w:p>
    <w:p w14:paraId="38B160DA">
      <w:pPr>
        <w:pStyle w:val="9"/>
        <w:rPr>
          <w:color w:val="auto"/>
          <w:highlight w:val="none"/>
        </w:rPr>
      </w:pPr>
    </w:p>
    <w:p w14:paraId="70CDF9AF">
      <w:pPr>
        <w:pStyle w:val="9"/>
        <w:rPr>
          <w:color w:val="auto"/>
          <w:highlight w:val="none"/>
        </w:rPr>
      </w:pPr>
    </w:p>
    <w:p w14:paraId="18C28470">
      <w:pPr>
        <w:pStyle w:val="9"/>
        <w:rPr>
          <w:color w:val="auto"/>
          <w:highlight w:val="none"/>
        </w:rPr>
      </w:pPr>
    </w:p>
    <w:p w14:paraId="74D5478A">
      <w:pPr>
        <w:pStyle w:val="9"/>
        <w:rPr>
          <w:color w:val="auto"/>
          <w:highlight w:val="none"/>
        </w:rPr>
      </w:pPr>
    </w:p>
    <w:p w14:paraId="73286BB2">
      <w:pPr>
        <w:pStyle w:val="9"/>
        <w:rPr>
          <w:rFonts w:hint="eastAsia"/>
          <w:color w:val="auto"/>
          <w:highlight w:val="none"/>
        </w:rPr>
      </w:pPr>
    </w:p>
    <w:p w14:paraId="496910E2">
      <w:pPr>
        <w:pStyle w:val="9"/>
        <w:jc w:val="center"/>
        <w:outlineLvl w:val="0"/>
        <w:rPr>
          <w:rFonts w:ascii="黑体" w:hAnsi="黑体" w:eastAsia="黑体"/>
          <w:color w:val="auto"/>
          <w:sz w:val="84"/>
          <w:szCs w:val="84"/>
          <w:highlight w:val="none"/>
        </w:rPr>
      </w:pPr>
      <w:bookmarkStart w:id="801" w:name="_Toc10543"/>
      <w:r>
        <w:rPr>
          <w:rFonts w:hint="eastAsia" w:ascii="黑体" w:hAnsi="黑体" w:eastAsia="黑体"/>
          <w:color w:val="auto"/>
          <w:sz w:val="84"/>
          <w:szCs w:val="84"/>
          <w:highlight w:val="none"/>
        </w:rPr>
        <w:t>第四卷</w:t>
      </w:r>
      <w:bookmarkEnd w:id="801"/>
    </w:p>
    <w:p w14:paraId="1EE9A24F">
      <w:pPr>
        <w:pStyle w:val="9"/>
        <w:rPr>
          <w:color w:val="auto"/>
          <w:highlight w:val="none"/>
        </w:rPr>
      </w:pPr>
    </w:p>
    <w:p w14:paraId="76CD2156">
      <w:pPr>
        <w:pStyle w:val="9"/>
        <w:rPr>
          <w:color w:val="auto"/>
          <w:highlight w:val="none"/>
        </w:rPr>
      </w:pPr>
    </w:p>
    <w:p w14:paraId="7A28669E">
      <w:pPr>
        <w:pStyle w:val="9"/>
        <w:rPr>
          <w:color w:val="auto"/>
          <w:highlight w:val="none"/>
        </w:rPr>
      </w:pPr>
    </w:p>
    <w:p w14:paraId="47CBB44C">
      <w:pPr>
        <w:pStyle w:val="9"/>
        <w:rPr>
          <w:color w:val="auto"/>
          <w:highlight w:val="none"/>
        </w:rPr>
      </w:pPr>
    </w:p>
    <w:p w14:paraId="00F61C68">
      <w:pPr>
        <w:pStyle w:val="9"/>
        <w:rPr>
          <w:color w:val="auto"/>
          <w:highlight w:val="none"/>
        </w:rPr>
      </w:pPr>
    </w:p>
    <w:p w14:paraId="3C269056">
      <w:pPr>
        <w:pStyle w:val="9"/>
        <w:rPr>
          <w:color w:val="auto"/>
          <w:highlight w:val="none"/>
        </w:rPr>
      </w:pPr>
    </w:p>
    <w:p w14:paraId="62AD9F7C">
      <w:pPr>
        <w:pStyle w:val="9"/>
        <w:rPr>
          <w:color w:val="auto"/>
          <w:highlight w:val="none"/>
        </w:rPr>
      </w:pPr>
    </w:p>
    <w:p w14:paraId="44F1487D">
      <w:pPr>
        <w:pStyle w:val="9"/>
        <w:rPr>
          <w:color w:val="auto"/>
          <w:highlight w:val="none"/>
        </w:rPr>
      </w:pPr>
    </w:p>
    <w:p w14:paraId="4CD625CF">
      <w:pPr>
        <w:pStyle w:val="9"/>
        <w:rPr>
          <w:color w:val="auto"/>
          <w:highlight w:val="none"/>
        </w:rPr>
      </w:pPr>
    </w:p>
    <w:p w14:paraId="4A21EB8E">
      <w:pPr>
        <w:pStyle w:val="9"/>
        <w:rPr>
          <w:color w:val="auto"/>
          <w:highlight w:val="none"/>
        </w:rPr>
      </w:pPr>
    </w:p>
    <w:p w14:paraId="7962E4E6">
      <w:pPr>
        <w:pStyle w:val="9"/>
        <w:rPr>
          <w:color w:val="auto"/>
          <w:highlight w:val="none"/>
        </w:rPr>
      </w:pPr>
    </w:p>
    <w:p w14:paraId="299C5FEC">
      <w:pPr>
        <w:pStyle w:val="9"/>
        <w:rPr>
          <w:color w:val="auto"/>
          <w:highlight w:val="none"/>
        </w:rPr>
      </w:pPr>
    </w:p>
    <w:p w14:paraId="47065513">
      <w:pPr>
        <w:pStyle w:val="9"/>
        <w:rPr>
          <w:color w:val="auto"/>
          <w:highlight w:val="none"/>
        </w:rPr>
      </w:pPr>
    </w:p>
    <w:p w14:paraId="4DA5F71A">
      <w:pPr>
        <w:pStyle w:val="9"/>
        <w:rPr>
          <w:color w:val="auto"/>
          <w:highlight w:val="none"/>
        </w:rPr>
      </w:pPr>
    </w:p>
    <w:p w14:paraId="3616D065">
      <w:pPr>
        <w:pStyle w:val="9"/>
        <w:rPr>
          <w:color w:val="auto"/>
          <w:highlight w:val="none"/>
        </w:rPr>
      </w:pPr>
    </w:p>
    <w:p w14:paraId="0C9E10F2">
      <w:pPr>
        <w:pStyle w:val="9"/>
        <w:rPr>
          <w:color w:val="auto"/>
          <w:highlight w:val="none"/>
        </w:rPr>
      </w:pPr>
    </w:p>
    <w:p w14:paraId="27EA7D51">
      <w:pPr>
        <w:pStyle w:val="9"/>
        <w:rPr>
          <w:color w:val="auto"/>
          <w:highlight w:val="none"/>
        </w:rPr>
      </w:pPr>
    </w:p>
    <w:p w14:paraId="5CBC6BB5">
      <w:pPr>
        <w:pStyle w:val="9"/>
        <w:rPr>
          <w:color w:val="auto"/>
          <w:highlight w:val="none"/>
        </w:rPr>
      </w:pPr>
    </w:p>
    <w:p w14:paraId="33333CEE">
      <w:pPr>
        <w:pStyle w:val="9"/>
        <w:rPr>
          <w:color w:val="auto"/>
          <w:highlight w:val="none"/>
        </w:rPr>
      </w:pPr>
    </w:p>
    <w:p w14:paraId="67651C72">
      <w:pPr>
        <w:pStyle w:val="9"/>
        <w:rPr>
          <w:color w:val="auto"/>
          <w:highlight w:val="none"/>
        </w:rPr>
      </w:pPr>
    </w:p>
    <w:p w14:paraId="323BB063">
      <w:pPr>
        <w:pStyle w:val="9"/>
        <w:rPr>
          <w:color w:val="auto"/>
          <w:highlight w:val="none"/>
        </w:rPr>
      </w:pPr>
    </w:p>
    <w:p w14:paraId="42D85961">
      <w:pPr>
        <w:pStyle w:val="9"/>
        <w:rPr>
          <w:color w:val="auto"/>
          <w:highlight w:val="none"/>
        </w:rPr>
      </w:pPr>
    </w:p>
    <w:p w14:paraId="10CA90EB">
      <w:pPr>
        <w:pStyle w:val="9"/>
        <w:rPr>
          <w:color w:val="auto"/>
          <w:highlight w:val="none"/>
        </w:rPr>
      </w:pPr>
    </w:p>
    <w:p w14:paraId="7F4F6000">
      <w:pPr>
        <w:pStyle w:val="9"/>
        <w:rPr>
          <w:color w:val="auto"/>
          <w:highlight w:val="none"/>
        </w:rPr>
      </w:pPr>
    </w:p>
    <w:p w14:paraId="601B6C71">
      <w:pPr>
        <w:pStyle w:val="41"/>
        <w:pageBreakBefore/>
        <w:kinsoku/>
        <w:wordWrap/>
        <w:overflowPunct/>
        <w:topLinePunct w:val="0"/>
        <w:bidi w:val="0"/>
        <w:adjustRightInd/>
        <w:snapToGrid/>
        <w:spacing w:line="415" w:lineRule="auto"/>
        <w:jc w:val="center"/>
        <w:textAlignment w:val="auto"/>
        <w:outlineLvl w:val="9"/>
        <w:rPr>
          <w:rFonts w:hint="eastAsia"/>
          <w:color w:val="auto"/>
          <w:highlight w:val="none"/>
        </w:rPr>
      </w:pPr>
      <w:bookmarkStart w:id="802" w:name="_Hlk17797206"/>
    </w:p>
    <w:p w14:paraId="145B0992">
      <w:pPr>
        <w:pStyle w:val="9"/>
        <w:kinsoku/>
        <w:wordWrap/>
        <w:overflowPunct/>
        <w:topLinePunct w:val="0"/>
        <w:bidi w:val="0"/>
        <w:adjustRightInd/>
        <w:snapToGrid/>
        <w:textAlignment w:val="auto"/>
        <w:outlineLvl w:val="9"/>
        <w:rPr>
          <w:rFonts w:hint="eastAsia"/>
          <w:color w:val="auto"/>
          <w:highlight w:val="none"/>
        </w:rPr>
      </w:pPr>
    </w:p>
    <w:p w14:paraId="68618728">
      <w:pPr>
        <w:pStyle w:val="11"/>
        <w:kinsoku/>
        <w:wordWrap/>
        <w:overflowPunct/>
        <w:topLinePunct w:val="0"/>
        <w:bidi w:val="0"/>
        <w:adjustRightInd/>
        <w:snapToGrid/>
        <w:textAlignment w:val="auto"/>
        <w:outlineLvl w:val="9"/>
        <w:rPr>
          <w:rFonts w:hint="eastAsia"/>
          <w:color w:val="auto"/>
          <w:highlight w:val="none"/>
        </w:rPr>
      </w:pPr>
    </w:p>
    <w:p w14:paraId="1416B185">
      <w:pPr>
        <w:kinsoku/>
        <w:wordWrap/>
        <w:overflowPunct/>
        <w:topLinePunct w:val="0"/>
        <w:bidi w:val="0"/>
        <w:adjustRightInd/>
        <w:snapToGrid/>
        <w:textAlignment w:val="auto"/>
        <w:outlineLvl w:val="9"/>
        <w:rPr>
          <w:rFonts w:hint="eastAsia"/>
          <w:color w:val="auto"/>
          <w:highlight w:val="none"/>
        </w:rPr>
      </w:pPr>
    </w:p>
    <w:p w14:paraId="69286FA4">
      <w:pPr>
        <w:pStyle w:val="37"/>
        <w:kinsoku/>
        <w:wordWrap/>
        <w:overflowPunct/>
        <w:topLinePunct w:val="0"/>
        <w:bidi w:val="0"/>
        <w:adjustRightInd/>
        <w:snapToGrid/>
        <w:textAlignment w:val="auto"/>
        <w:outlineLvl w:val="9"/>
        <w:rPr>
          <w:rFonts w:hint="eastAsia"/>
          <w:color w:val="auto"/>
          <w:highlight w:val="none"/>
        </w:rPr>
      </w:pPr>
    </w:p>
    <w:p w14:paraId="53237D54">
      <w:pPr>
        <w:pStyle w:val="37"/>
        <w:kinsoku/>
        <w:wordWrap/>
        <w:overflowPunct/>
        <w:topLinePunct w:val="0"/>
        <w:bidi w:val="0"/>
        <w:adjustRightInd/>
        <w:snapToGrid/>
        <w:textAlignment w:val="auto"/>
        <w:outlineLvl w:val="9"/>
        <w:rPr>
          <w:rFonts w:hint="eastAsia"/>
          <w:color w:val="auto"/>
          <w:highlight w:val="none"/>
        </w:rPr>
      </w:pPr>
    </w:p>
    <w:p w14:paraId="0E5BD352">
      <w:pPr>
        <w:pStyle w:val="37"/>
        <w:kinsoku/>
        <w:wordWrap/>
        <w:overflowPunct/>
        <w:topLinePunct w:val="0"/>
        <w:bidi w:val="0"/>
        <w:adjustRightInd/>
        <w:snapToGrid/>
        <w:textAlignment w:val="auto"/>
        <w:outlineLvl w:val="9"/>
        <w:rPr>
          <w:rFonts w:hint="eastAsia"/>
          <w:color w:val="auto"/>
          <w:highlight w:val="none"/>
        </w:rPr>
      </w:pPr>
    </w:p>
    <w:p w14:paraId="5C80CF51">
      <w:pPr>
        <w:pStyle w:val="37"/>
        <w:kinsoku/>
        <w:wordWrap/>
        <w:overflowPunct/>
        <w:topLinePunct w:val="0"/>
        <w:bidi w:val="0"/>
        <w:adjustRightInd/>
        <w:snapToGrid/>
        <w:textAlignment w:val="auto"/>
        <w:outlineLvl w:val="9"/>
        <w:rPr>
          <w:rFonts w:hint="eastAsia"/>
          <w:color w:val="auto"/>
          <w:highlight w:val="none"/>
        </w:rPr>
      </w:pPr>
    </w:p>
    <w:p w14:paraId="067FC944">
      <w:pPr>
        <w:pStyle w:val="9"/>
        <w:spacing w:line="360" w:lineRule="auto"/>
        <w:jc w:val="center"/>
        <w:outlineLvl w:val="1"/>
        <w:rPr>
          <w:rFonts w:hint="eastAsia" w:ascii="黑体" w:hAnsi="宋体" w:eastAsia="黑体" w:cs="Times New Roman"/>
          <w:b/>
          <w:color w:val="auto"/>
          <w:sz w:val="48"/>
          <w:szCs w:val="48"/>
          <w:highlight w:val="none"/>
        </w:rPr>
      </w:pPr>
      <w:bookmarkStart w:id="803" w:name="_Toc18507"/>
      <w:r>
        <w:rPr>
          <w:rFonts w:hint="eastAsia" w:ascii="黑体" w:hAnsi="宋体" w:eastAsia="黑体" w:cs="Times New Roman"/>
          <w:b/>
          <w:color w:val="auto"/>
          <w:sz w:val="48"/>
          <w:szCs w:val="48"/>
          <w:highlight w:val="none"/>
        </w:rPr>
        <w:t>第八章  投标文件格式</w:t>
      </w:r>
      <w:bookmarkEnd w:id="803"/>
    </w:p>
    <w:bookmarkEnd w:id="802"/>
    <w:p w14:paraId="6564D1AD">
      <w:pPr>
        <w:pStyle w:val="9"/>
        <w:rPr>
          <w:color w:val="auto"/>
          <w:highlight w:val="none"/>
        </w:rPr>
      </w:pPr>
    </w:p>
    <w:p w14:paraId="44EEF550">
      <w:pPr>
        <w:pStyle w:val="9"/>
        <w:rPr>
          <w:color w:val="auto"/>
          <w:highlight w:val="none"/>
        </w:rPr>
      </w:pPr>
    </w:p>
    <w:p w14:paraId="7B8222E9">
      <w:pPr>
        <w:pStyle w:val="9"/>
        <w:rPr>
          <w:color w:val="auto"/>
          <w:highlight w:val="none"/>
        </w:rPr>
      </w:pPr>
    </w:p>
    <w:p w14:paraId="6800E367">
      <w:pPr>
        <w:pStyle w:val="9"/>
        <w:rPr>
          <w:color w:val="auto"/>
          <w:highlight w:val="none"/>
        </w:rPr>
      </w:pPr>
    </w:p>
    <w:p w14:paraId="3FA4B075">
      <w:pPr>
        <w:pStyle w:val="9"/>
        <w:rPr>
          <w:color w:val="auto"/>
          <w:highlight w:val="none"/>
        </w:rPr>
      </w:pPr>
    </w:p>
    <w:p w14:paraId="2A1E7406">
      <w:pPr>
        <w:pStyle w:val="9"/>
        <w:rPr>
          <w:color w:val="auto"/>
          <w:highlight w:val="none"/>
        </w:rPr>
      </w:pPr>
    </w:p>
    <w:p w14:paraId="19A7ADCF">
      <w:pPr>
        <w:pStyle w:val="9"/>
        <w:rPr>
          <w:color w:val="auto"/>
          <w:highlight w:val="none"/>
        </w:rPr>
      </w:pPr>
    </w:p>
    <w:p w14:paraId="635567D4">
      <w:pPr>
        <w:pStyle w:val="9"/>
        <w:rPr>
          <w:rFonts w:hint="eastAsia"/>
          <w:color w:val="auto"/>
          <w:highlight w:val="none"/>
        </w:rPr>
      </w:pPr>
    </w:p>
    <w:p w14:paraId="4EABFE69">
      <w:pPr>
        <w:pStyle w:val="9"/>
        <w:rPr>
          <w:color w:val="auto"/>
          <w:highlight w:val="none"/>
        </w:rPr>
      </w:pPr>
      <w:bookmarkStart w:id="804" w:name="EBc259e825c4da44d2b429099ca5719e91"/>
      <w:r>
        <w:rPr>
          <w:color w:val="auto"/>
          <w:highlight w:val="none"/>
        </w:rPr>
        <w:br w:type="page"/>
      </w:r>
    </w:p>
    <w:p w14:paraId="0380DB90">
      <w:pPr>
        <w:pStyle w:val="10"/>
        <w:spacing w:after="100" w:afterAutospacing="1"/>
        <w:jc w:val="center"/>
        <w:rPr>
          <w:color w:val="auto"/>
          <w:highlight w:val="none"/>
        </w:rPr>
      </w:pPr>
    </w:p>
    <w:p w14:paraId="05BFB49E">
      <w:pPr>
        <w:pStyle w:val="9"/>
        <w:jc w:val="center"/>
        <w:rPr>
          <w:rFonts w:eastAsia="黑体"/>
          <w:color w:val="auto"/>
          <w:sz w:val="36"/>
          <w:szCs w:val="36"/>
          <w:highlight w:val="none"/>
        </w:rPr>
      </w:pPr>
      <w:r>
        <w:rPr>
          <w:rFonts w:eastAsia="黑体"/>
          <w:color w:val="auto"/>
          <w:sz w:val="36"/>
          <w:szCs w:val="36"/>
          <w:highlight w:val="none"/>
          <w:u w:val="single"/>
        </w:rPr>
        <w:t xml:space="preserve">          </w:t>
      </w:r>
      <w:r>
        <w:rPr>
          <w:rFonts w:eastAsia="黑体"/>
          <w:color w:val="auto"/>
          <w:sz w:val="36"/>
          <w:szCs w:val="36"/>
          <w:highlight w:val="none"/>
        </w:rPr>
        <w:t>（项目名称</w:t>
      </w:r>
      <w:r>
        <w:rPr>
          <w:rFonts w:hint="eastAsia" w:eastAsia="黑体"/>
          <w:color w:val="auto"/>
          <w:sz w:val="36"/>
          <w:szCs w:val="36"/>
          <w:highlight w:val="none"/>
          <w:lang w:eastAsia="zh-CN"/>
        </w:rPr>
        <w:t>）</w:t>
      </w:r>
      <w:r>
        <w:rPr>
          <w:rFonts w:hint="eastAsia" w:eastAsia="黑体"/>
          <w:color w:val="auto"/>
          <w:sz w:val="36"/>
          <w:szCs w:val="36"/>
          <w:highlight w:val="none"/>
          <w:lang w:val="en-US" w:eastAsia="zh-CN"/>
        </w:rPr>
        <w:t>施工</w:t>
      </w:r>
      <w:r>
        <w:rPr>
          <w:rFonts w:hint="eastAsia" w:eastAsia="黑体"/>
          <w:color w:val="auto"/>
          <w:sz w:val="36"/>
          <w:szCs w:val="36"/>
          <w:highlight w:val="none"/>
        </w:rPr>
        <w:t>招标</w:t>
      </w:r>
    </w:p>
    <w:p w14:paraId="1AACAFFD">
      <w:pPr>
        <w:pStyle w:val="9"/>
        <w:rPr>
          <w:rFonts w:eastAsia="黑体"/>
          <w:color w:val="auto"/>
          <w:sz w:val="20"/>
          <w:szCs w:val="20"/>
          <w:highlight w:val="none"/>
        </w:rPr>
      </w:pPr>
    </w:p>
    <w:p w14:paraId="1318A38C">
      <w:pPr>
        <w:pStyle w:val="9"/>
        <w:rPr>
          <w:rFonts w:eastAsia="黑体"/>
          <w:color w:val="auto"/>
          <w:sz w:val="20"/>
          <w:szCs w:val="20"/>
          <w:highlight w:val="none"/>
        </w:rPr>
      </w:pPr>
    </w:p>
    <w:p w14:paraId="5349D3CF">
      <w:pPr>
        <w:pStyle w:val="9"/>
        <w:rPr>
          <w:rFonts w:eastAsia="黑体"/>
          <w:color w:val="auto"/>
          <w:sz w:val="20"/>
          <w:szCs w:val="20"/>
          <w:highlight w:val="none"/>
        </w:rPr>
      </w:pPr>
    </w:p>
    <w:p w14:paraId="707A8CC7">
      <w:pPr>
        <w:pStyle w:val="9"/>
        <w:rPr>
          <w:rFonts w:eastAsia="黑体"/>
          <w:color w:val="auto"/>
          <w:sz w:val="20"/>
          <w:szCs w:val="20"/>
          <w:highlight w:val="none"/>
        </w:rPr>
      </w:pPr>
    </w:p>
    <w:p w14:paraId="55AF2C27">
      <w:pPr>
        <w:pStyle w:val="9"/>
        <w:rPr>
          <w:rFonts w:eastAsia="黑体"/>
          <w:color w:val="auto"/>
          <w:sz w:val="20"/>
          <w:szCs w:val="20"/>
          <w:highlight w:val="none"/>
        </w:rPr>
      </w:pPr>
    </w:p>
    <w:p w14:paraId="3025DCAE">
      <w:pPr>
        <w:pStyle w:val="9"/>
        <w:rPr>
          <w:rFonts w:eastAsia="黑体"/>
          <w:color w:val="auto"/>
          <w:sz w:val="20"/>
          <w:szCs w:val="20"/>
          <w:highlight w:val="none"/>
        </w:rPr>
      </w:pPr>
    </w:p>
    <w:p w14:paraId="79FDAF9F">
      <w:pPr>
        <w:pStyle w:val="9"/>
        <w:rPr>
          <w:rFonts w:eastAsia="黑体"/>
          <w:color w:val="auto"/>
          <w:sz w:val="20"/>
          <w:szCs w:val="20"/>
          <w:highlight w:val="none"/>
        </w:rPr>
      </w:pPr>
    </w:p>
    <w:p w14:paraId="0B04A465">
      <w:pPr>
        <w:pStyle w:val="9"/>
        <w:rPr>
          <w:rFonts w:eastAsia="黑体"/>
          <w:color w:val="auto"/>
          <w:sz w:val="20"/>
          <w:szCs w:val="20"/>
          <w:highlight w:val="none"/>
        </w:rPr>
      </w:pPr>
    </w:p>
    <w:p w14:paraId="48FD3BA6">
      <w:pPr>
        <w:pStyle w:val="9"/>
        <w:rPr>
          <w:rFonts w:eastAsia="黑体"/>
          <w:color w:val="auto"/>
          <w:sz w:val="20"/>
          <w:szCs w:val="20"/>
          <w:highlight w:val="none"/>
        </w:rPr>
      </w:pPr>
    </w:p>
    <w:p w14:paraId="16B8E7AC">
      <w:pPr>
        <w:pStyle w:val="9"/>
        <w:rPr>
          <w:rFonts w:eastAsia="黑体"/>
          <w:color w:val="auto"/>
          <w:sz w:val="20"/>
          <w:szCs w:val="20"/>
          <w:highlight w:val="none"/>
        </w:rPr>
      </w:pPr>
    </w:p>
    <w:p w14:paraId="43BFD62C">
      <w:pPr>
        <w:pStyle w:val="9"/>
        <w:jc w:val="center"/>
        <w:rPr>
          <w:rFonts w:eastAsia="黑体"/>
          <w:color w:val="auto"/>
          <w:sz w:val="84"/>
          <w:szCs w:val="84"/>
          <w:highlight w:val="none"/>
        </w:rPr>
      </w:pPr>
      <w:r>
        <w:rPr>
          <w:rFonts w:eastAsia="黑体"/>
          <w:color w:val="auto"/>
          <w:sz w:val="84"/>
          <w:szCs w:val="84"/>
          <w:highlight w:val="none"/>
        </w:rPr>
        <w:t>投 标 文 件</w:t>
      </w:r>
    </w:p>
    <w:p w14:paraId="037506D7">
      <w:pPr>
        <w:pStyle w:val="9"/>
        <w:keepNext w:val="0"/>
        <w:keepLines w:val="0"/>
        <w:pageBreakBefore w:val="0"/>
        <w:widowControl w:val="0"/>
        <w:kinsoku/>
        <w:wordWrap/>
        <w:overflowPunct/>
        <w:topLinePunct w:val="0"/>
        <w:autoSpaceDE/>
        <w:autoSpaceDN/>
        <w:bidi w:val="0"/>
        <w:adjustRightInd/>
        <w:snapToGrid/>
        <w:spacing w:before="157" w:beforeLines="50" w:line="360" w:lineRule="auto"/>
        <w:jc w:val="center"/>
        <w:textAlignment w:val="auto"/>
        <w:outlineLvl w:val="2"/>
        <w:rPr>
          <w:rFonts w:hint="default" w:eastAsia="黑体"/>
          <w:color w:val="auto"/>
          <w:sz w:val="28"/>
          <w:szCs w:val="28"/>
          <w:highlight w:val="none"/>
          <w:lang w:val="en-US" w:eastAsia="zh-CN"/>
        </w:rPr>
      </w:pPr>
      <w:bookmarkStart w:id="805" w:name="_Toc21114"/>
      <w:r>
        <w:rPr>
          <w:rFonts w:hint="eastAsia" w:eastAsia="黑体"/>
          <w:color w:val="auto"/>
          <w:sz w:val="28"/>
          <w:szCs w:val="28"/>
          <w:highlight w:val="none"/>
          <w:lang w:val="en-US" w:eastAsia="zh-CN"/>
        </w:rPr>
        <w:t>第一信封（商务及养护工程作业方案）</w:t>
      </w:r>
      <w:bookmarkEnd w:id="805"/>
    </w:p>
    <w:p w14:paraId="1077DAF3">
      <w:pPr>
        <w:pStyle w:val="9"/>
        <w:rPr>
          <w:rFonts w:eastAsia="黑体"/>
          <w:color w:val="auto"/>
          <w:sz w:val="28"/>
          <w:szCs w:val="28"/>
          <w:highlight w:val="none"/>
        </w:rPr>
      </w:pPr>
    </w:p>
    <w:p w14:paraId="59DBB31B">
      <w:pPr>
        <w:pStyle w:val="9"/>
        <w:rPr>
          <w:rFonts w:eastAsia="黑体"/>
          <w:color w:val="auto"/>
          <w:sz w:val="28"/>
          <w:szCs w:val="28"/>
          <w:highlight w:val="none"/>
        </w:rPr>
      </w:pPr>
    </w:p>
    <w:p w14:paraId="6BB98B75">
      <w:pPr>
        <w:pStyle w:val="9"/>
        <w:rPr>
          <w:rFonts w:eastAsia="黑体"/>
          <w:color w:val="auto"/>
          <w:sz w:val="28"/>
          <w:szCs w:val="28"/>
          <w:highlight w:val="none"/>
        </w:rPr>
      </w:pPr>
    </w:p>
    <w:p w14:paraId="2793CF5E">
      <w:pPr>
        <w:pStyle w:val="9"/>
        <w:rPr>
          <w:rFonts w:eastAsia="黑体"/>
          <w:color w:val="auto"/>
          <w:sz w:val="28"/>
          <w:szCs w:val="28"/>
          <w:highlight w:val="none"/>
        </w:rPr>
      </w:pPr>
    </w:p>
    <w:p w14:paraId="5AD75D4D">
      <w:pPr>
        <w:pStyle w:val="9"/>
        <w:rPr>
          <w:rFonts w:eastAsia="黑体"/>
          <w:color w:val="auto"/>
          <w:sz w:val="28"/>
          <w:szCs w:val="28"/>
          <w:highlight w:val="none"/>
        </w:rPr>
      </w:pPr>
    </w:p>
    <w:p w14:paraId="26837C1C">
      <w:pPr>
        <w:pStyle w:val="9"/>
        <w:rPr>
          <w:rFonts w:eastAsia="黑体"/>
          <w:color w:val="auto"/>
          <w:sz w:val="28"/>
          <w:szCs w:val="28"/>
          <w:highlight w:val="none"/>
        </w:rPr>
      </w:pPr>
    </w:p>
    <w:p w14:paraId="06C965B9">
      <w:pPr>
        <w:pStyle w:val="9"/>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eastAsia="黑体"/>
          <w:color w:val="auto"/>
          <w:sz w:val="28"/>
          <w:szCs w:val="28"/>
          <w:highlight w:val="none"/>
          <w:u w:val="single"/>
        </w:rPr>
      </w:pPr>
      <w:r>
        <w:rPr>
          <w:rFonts w:eastAsia="黑体"/>
          <w:color w:val="auto"/>
          <w:sz w:val="28"/>
          <w:szCs w:val="28"/>
          <w:highlight w:val="none"/>
        </w:rPr>
        <w:t>投标人：</w:t>
      </w:r>
      <w:r>
        <w:rPr>
          <w:rFonts w:eastAsia="黑体"/>
          <w:color w:val="auto"/>
          <w:sz w:val="28"/>
          <w:szCs w:val="28"/>
          <w:highlight w:val="none"/>
          <w:u w:val="single"/>
        </w:rPr>
        <w:t xml:space="preserve">                </w:t>
      </w:r>
      <w:r>
        <w:rPr>
          <w:rFonts w:eastAsia="黑体"/>
          <w:color w:val="auto"/>
          <w:sz w:val="28"/>
          <w:szCs w:val="28"/>
          <w:highlight w:val="none"/>
        </w:rPr>
        <w:t>（盖单位</w:t>
      </w:r>
      <w:r>
        <w:rPr>
          <w:rFonts w:hint="eastAsia" w:eastAsia="黑体"/>
          <w:color w:val="auto"/>
          <w:sz w:val="28"/>
          <w:szCs w:val="28"/>
          <w:highlight w:val="none"/>
        </w:rPr>
        <w:t>电子公</w:t>
      </w:r>
      <w:r>
        <w:rPr>
          <w:rFonts w:eastAsia="黑体"/>
          <w:color w:val="auto"/>
          <w:sz w:val="28"/>
          <w:szCs w:val="28"/>
          <w:highlight w:val="none"/>
        </w:rPr>
        <w:t>章）</w:t>
      </w:r>
    </w:p>
    <w:p w14:paraId="6F4F96EE">
      <w:pPr>
        <w:pStyle w:val="9"/>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eastAsia="黑体"/>
          <w:color w:val="auto"/>
          <w:sz w:val="28"/>
          <w:szCs w:val="28"/>
          <w:highlight w:val="none"/>
        </w:rPr>
      </w:pPr>
      <w:r>
        <w:rPr>
          <w:rFonts w:eastAsia="黑体"/>
          <w:color w:val="auto"/>
          <w:sz w:val="28"/>
          <w:szCs w:val="28"/>
          <w:highlight w:val="none"/>
          <w:u w:val="single"/>
        </w:rPr>
        <w:t xml:space="preserve">        </w:t>
      </w:r>
      <w:r>
        <w:rPr>
          <w:rFonts w:eastAsia="黑体"/>
          <w:color w:val="auto"/>
          <w:sz w:val="28"/>
          <w:szCs w:val="28"/>
          <w:highlight w:val="none"/>
        </w:rPr>
        <w:t>年</w:t>
      </w:r>
      <w:r>
        <w:rPr>
          <w:rFonts w:eastAsia="黑体"/>
          <w:color w:val="auto"/>
          <w:sz w:val="28"/>
          <w:szCs w:val="28"/>
          <w:highlight w:val="none"/>
          <w:u w:val="single"/>
        </w:rPr>
        <w:t xml:space="preserve">        </w:t>
      </w:r>
      <w:r>
        <w:rPr>
          <w:rFonts w:eastAsia="黑体"/>
          <w:color w:val="auto"/>
          <w:sz w:val="28"/>
          <w:szCs w:val="28"/>
          <w:highlight w:val="none"/>
        </w:rPr>
        <w:t>月</w:t>
      </w:r>
      <w:r>
        <w:rPr>
          <w:rFonts w:eastAsia="黑体"/>
          <w:color w:val="auto"/>
          <w:sz w:val="28"/>
          <w:szCs w:val="28"/>
          <w:highlight w:val="none"/>
          <w:u w:val="single"/>
        </w:rPr>
        <w:t xml:space="preserve">        </w:t>
      </w:r>
      <w:r>
        <w:rPr>
          <w:rFonts w:eastAsia="黑体"/>
          <w:color w:val="auto"/>
          <w:sz w:val="28"/>
          <w:szCs w:val="28"/>
          <w:highlight w:val="none"/>
        </w:rPr>
        <w:t>日</w:t>
      </w:r>
    </w:p>
    <w:p w14:paraId="350D1C64">
      <w:pPr>
        <w:pStyle w:val="9"/>
        <w:spacing w:line="440" w:lineRule="exact"/>
        <w:rPr>
          <w:rFonts w:eastAsia="黑体"/>
          <w:color w:val="auto"/>
          <w:sz w:val="20"/>
          <w:szCs w:val="20"/>
          <w:highlight w:val="none"/>
        </w:rPr>
      </w:pPr>
    </w:p>
    <w:p w14:paraId="43DAE634">
      <w:pPr>
        <w:pStyle w:val="9"/>
        <w:spacing w:line="400" w:lineRule="exact"/>
        <w:rPr>
          <w:color w:val="auto"/>
          <w:highlight w:val="none"/>
        </w:rPr>
      </w:pPr>
      <w:r>
        <w:rPr>
          <w:color w:val="auto"/>
          <w:highlight w:val="none"/>
        </w:rPr>
        <w:br w:type="page"/>
      </w:r>
    </w:p>
    <w:p w14:paraId="06838165">
      <w:pPr>
        <w:pStyle w:val="10"/>
        <w:keepNext w:val="0"/>
        <w:keepLines w:val="0"/>
        <w:pageBreakBefore w:val="0"/>
        <w:widowControl/>
        <w:kinsoku/>
        <w:wordWrap/>
        <w:overflowPunct/>
        <w:topLinePunct w:val="0"/>
        <w:autoSpaceDE/>
        <w:autoSpaceDN/>
        <w:bidi w:val="0"/>
        <w:adjustRightInd/>
        <w:snapToGrid/>
        <w:spacing w:after="100" w:afterAutospacing="1"/>
        <w:jc w:val="center"/>
        <w:textAlignment w:val="auto"/>
        <w:outlineLvl w:val="2"/>
        <w:rPr>
          <w:rFonts w:hint="eastAsia" w:ascii="宋体" w:hAnsi="宋体" w:eastAsia="宋体" w:cs="宋体"/>
          <w:b/>
          <w:bCs/>
          <w:color w:val="auto"/>
          <w:sz w:val="32"/>
          <w:szCs w:val="32"/>
          <w:highlight w:val="none"/>
        </w:rPr>
      </w:pPr>
      <w:bookmarkStart w:id="806" w:name="_Toc2071"/>
      <w:r>
        <w:rPr>
          <w:rFonts w:hint="eastAsia" w:ascii="宋体" w:hAnsi="宋体" w:eastAsia="宋体" w:cs="宋体"/>
          <w:b/>
          <w:bCs/>
          <w:color w:val="auto"/>
          <w:sz w:val="32"/>
          <w:szCs w:val="32"/>
          <w:highlight w:val="none"/>
        </w:rPr>
        <w:t>目</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录</w:t>
      </w:r>
      <w:bookmarkEnd w:id="806"/>
    </w:p>
    <w:p w14:paraId="0A4C0C8F">
      <w:pPr>
        <w:pStyle w:val="9"/>
        <w:spacing w:line="5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一、投标函及投标函附录</w:t>
      </w:r>
    </w:p>
    <w:p w14:paraId="1048A552">
      <w:pPr>
        <w:pStyle w:val="9"/>
        <w:spacing w:line="5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二、法定代表人身份证明及授权委托书</w:t>
      </w:r>
    </w:p>
    <w:p w14:paraId="4B662C13">
      <w:pPr>
        <w:pStyle w:val="9"/>
        <w:spacing w:line="5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三、</w:t>
      </w:r>
      <w:r>
        <w:rPr>
          <w:rFonts w:hint="eastAsia" w:ascii="宋体" w:hAnsi="宋体" w:eastAsia="宋体" w:cs="宋体"/>
          <w:b w:val="0"/>
          <w:bCs w:val="0"/>
          <w:color w:val="auto"/>
          <w:sz w:val="24"/>
          <w:szCs w:val="24"/>
          <w:highlight w:val="none"/>
          <w:lang w:val="en-US" w:eastAsia="zh-CN"/>
        </w:rPr>
        <w:t>联合体协议书（如有）</w:t>
      </w:r>
    </w:p>
    <w:p w14:paraId="506644B3">
      <w:pPr>
        <w:pStyle w:val="9"/>
        <w:spacing w:line="5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四</w:t>
      </w:r>
      <w:r>
        <w:rPr>
          <w:rFonts w:hint="eastAsia" w:ascii="宋体" w:hAnsi="宋体" w:eastAsia="宋体" w:cs="宋体"/>
          <w:b w:val="0"/>
          <w:bCs w:val="0"/>
          <w:color w:val="auto"/>
          <w:sz w:val="24"/>
          <w:szCs w:val="24"/>
          <w:highlight w:val="none"/>
        </w:rPr>
        <w:t>、投标保证金</w:t>
      </w:r>
    </w:p>
    <w:p w14:paraId="3CFFA46A">
      <w:pPr>
        <w:pStyle w:val="9"/>
        <w:spacing w:line="5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五、</w:t>
      </w:r>
      <w:r>
        <w:rPr>
          <w:rFonts w:hint="eastAsia" w:ascii="宋体" w:hAnsi="宋体" w:eastAsia="宋体" w:cs="宋体"/>
          <w:b w:val="0"/>
          <w:bCs w:val="0"/>
          <w:color w:val="auto"/>
          <w:sz w:val="24"/>
          <w:szCs w:val="24"/>
          <w:highlight w:val="none"/>
          <w:lang w:val="en-US" w:eastAsia="zh-CN"/>
        </w:rPr>
        <w:t>养护工程作业方案</w:t>
      </w:r>
    </w:p>
    <w:p w14:paraId="0C4367EA">
      <w:pPr>
        <w:pStyle w:val="9"/>
        <w:spacing w:line="5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六、项目管理机构</w:t>
      </w:r>
    </w:p>
    <w:p w14:paraId="010602E3">
      <w:pPr>
        <w:pStyle w:val="9"/>
        <w:spacing w:line="5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七、资格审查资料</w:t>
      </w:r>
    </w:p>
    <w:p w14:paraId="475979F4">
      <w:pPr>
        <w:pStyle w:val="9"/>
        <w:spacing w:line="5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八、承诺函</w:t>
      </w:r>
    </w:p>
    <w:p w14:paraId="04D10E17">
      <w:pPr>
        <w:pStyle w:val="9"/>
        <w:spacing w:line="5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九、投标人须知前附表规定的其他材料</w:t>
      </w:r>
    </w:p>
    <w:p w14:paraId="7ECB1DA0">
      <w:pPr>
        <w:pStyle w:val="9"/>
        <w:spacing w:line="540" w:lineRule="exact"/>
        <w:rPr>
          <w:color w:val="auto"/>
          <w:highlight w:val="none"/>
        </w:rPr>
      </w:pPr>
    </w:p>
    <w:p w14:paraId="7B0DAA83">
      <w:pPr>
        <w:pStyle w:val="9"/>
        <w:spacing w:line="540" w:lineRule="exact"/>
        <w:rPr>
          <w:color w:val="auto"/>
          <w:highlight w:val="none"/>
        </w:rPr>
      </w:pPr>
    </w:p>
    <w:p w14:paraId="5872A2AA">
      <w:pPr>
        <w:pStyle w:val="9"/>
        <w:spacing w:line="540" w:lineRule="exact"/>
        <w:rPr>
          <w:color w:val="auto"/>
          <w:highlight w:val="none"/>
        </w:rPr>
      </w:pPr>
    </w:p>
    <w:p w14:paraId="6A854D3B">
      <w:pPr>
        <w:pStyle w:val="9"/>
        <w:spacing w:line="540" w:lineRule="exact"/>
        <w:rPr>
          <w:color w:val="auto"/>
          <w:highlight w:val="none"/>
        </w:rPr>
      </w:pPr>
    </w:p>
    <w:p w14:paraId="32991D83">
      <w:pPr>
        <w:pStyle w:val="9"/>
        <w:spacing w:line="540" w:lineRule="exact"/>
        <w:rPr>
          <w:color w:val="auto"/>
          <w:highlight w:val="none"/>
        </w:rPr>
      </w:pPr>
    </w:p>
    <w:p w14:paraId="6D430EF4">
      <w:pPr>
        <w:pStyle w:val="9"/>
        <w:spacing w:line="540" w:lineRule="exact"/>
        <w:rPr>
          <w:color w:val="auto"/>
          <w:highlight w:val="none"/>
        </w:rPr>
      </w:pPr>
    </w:p>
    <w:p w14:paraId="60837D21">
      <w:pPr>
        <w:pStyle w:val="9"/>
        <w:spacing w:line="540" w:lineRule="exact"/>
        <w:rPr>
          <w:color w:val="auto"/>
          <w:highlight w:val="none"/>
        </w:rPr>
      </w:pPr>
    </w:p>
    <w:p w14:paraId="59BC6214">
      <w:pPr>
        <w:pStyle w:val="9"/>
        <w:spacing w:line="540" w:lineRule="exact"/>
        <w:rPr>
          <w:color w:val="auto"/>
          <w:highlight w:val="none"/>
        </w:rPr>
      </w:pPr>
    </w:p>
    <w:p w14:paraId="4AD87B50">
      <w:pPr>
        <w:pStyle w:val="9"/>
        <w:spacing w:line="540" w:lineRule="exact"/>
        <w:rPr>
          <w:color w:val="auto"/>
          <w:highlight w:val="none"/>
        </w:rPr>
      </w:pPr>
    </w:p>
    <w:p w14:paraId="3B606234">
      <w:pPr>
        <w:pStyle w:val="9"/>
        <w:spacing w:line="540" w:lineRule="exact"/>
        <w:rPr>
          <w:color w:val="auto"/>
          <w:highlight w:val="none"/>
        </w:rPr>
      </w:pPr>
    </w:p>
    <w:p w14:paraId="4036D50E">
      <w:pPr>
        <w:pStyle w:val="9"/>
        <w:spacing w:line="540" w:lineRule="exact"/>
        <w:rPr>
          <w:color w:val="auto"/>
          <w:highlight w:val="none"/>
        </w:rPr>
      </w:pPr>
    </w:p>
    <w:p w14:paraId="6E54154C">
      <w:pPr>
        <w:pStyle w:val="9"/>
        <w:spacing w:line="540" w:lineRule="exact"/>
        <w:rPr>
          <w:color w:val="auto"/>
          <w:highlight w:val="none"/>
        </w:rPr>
      </w:pPr>
    </w:p>
    <w:p w14:paraId="733D20B2">
      <w:pPr>
        <w:pStyle w:val="9"/>
        <w:spacing w:line="540" w:lineRule="exact"/>
        <w:rPr>
          <w:color w:val="auto"/>
          <w:highlight w:val="none"/>
        </w:rPr>
      </w:pPr>
    </w:p>
    <w:p w14:paraId="2015CA77">
      <w:pPr>
        <w:pStyle w:val="9"/>
        <w:spacing w:line="540" w:lineRule="exact"/>
        <w:rPr>
          <w:color w:val="auto"/>
          <w:highlight w:val="none"/>
        </w:rPr>
      </w:pPr>
    </w:p>
    <w:p w14:paraId="65B577BC">
      <w:pPr>
        <w:pStyle w:val="9"/>
        <w:keepNext/>
        <w:keepLines/>
        <w:pageBreakBefore w:val="0"/>
        <w:widowControl w:val="0"/>
        <w:kinsoku/>
        <w:wordWrap/>
        <w:overflowPunct/>
        <w:topLinePunct w:val="0"/>
        <w:autoSpaceDE/>
        <w:autoSpaceDN/>
        <w:bidi w:val="0"/>
        <w:adjustRightInd/>
        <w:snapToGrid/>
        <w:spacing w:line="700" w:lineRule="exact"/>
        <w:jc w:val="center"/>
        <w:textAlignment w:val="auto"/>
        <w:outlineLvl w:val="2"/>
        <w:rPr>
          <w:rFonts w:eastAsia="黑体"/>
          <w:color w:val="auto"/>
          <w:sz w:val="30"/>
          <w:szCs w:val="30"/>
          <w:highlight w:val="none"/>
        </w:rPr>
      </w:pPr>
      <w:bookmarkStart w:id="807" w:name="_Toc2746"/>
      <w:r>
        <w:rPr>
          <w:rFonts w:eastAsia="黑体"/>
          <w:color w:val="auto"/>
          <w:sz w:val="30"/>
          <w:szCs w:val="30"/>
          <w:highlight w:val="none"/>
        </w:rPr>
        <w:t>一、投标函及投标函附录</w:t>
      </w:r>
      <w:bookmarkEnd w:id="807"/>
    </w:p>
    <w:p w14:paraId="471B97D6">
      <w:pPr>
        <w:pStyle w:val="9"/>
        <w:keepNext/>
        <w:keepLines/>
        <w:pageBreakBefore w:val="0"/>
        <w:widowControl w:val="0"/>
        <w:kinsoku/>
        <w:wordWrap/>
        <w:overflowPunct/>
        <w:topLinePunct w:val="0"/>
        <w:autoSpaceDE/>
        <w:autoSpaceDN/>
        <w:bidi w:val="0"/>
        <w:adjustRightInd/>
        <w:snapToGrid/>
        <w:spacing w:line="700" w:lineRule="exact"/>
        <w:jc w:val="center"/>
        <w:textAlignment w:val="auto"/>
        <w:outlineLvl w:val="2"/>
        <w:rPr>
          <w:rFonts w:eastAsia="黑体" w:cs="宋体"/>
          <w:color w:val="auto"/>
          <w:sz w:val="30"/>
          <w:szCs w:val="30"/>
          <w:highlight w:val="none"/>
        </w:rPr>
      </w:pPr>
      <w:bookmarkStart w:id="808" w:name="_Toc415561280"/>
      <w:bookmarkStart w:id="809" w:name="_Toc30866"/>
      <w:bookmarkStart w:id="810" w:name="_Toc6519"/>
      <w:r>
        <w:rPr>
          <w:rFonts w:eastAsia="黑体" w:cs="宋体"/>
          <w:color w:val="auto"/>
          <w:sz w:val="30"/>
          <w:szCs w:val="30"/>
          <w:highlight w:val="none"/>
        </w:rPr>
        <w:t>（一）投标函</w:t>
      </w:r>
      <w:bookmarkEnd w:id="808"/>
      <w:bookmarkEnd w:id="809"/>
      <w:bookmarkEnd w:id="810"/>
    </w:p>
    <w:p w14:paraId="009A3825">
      <w:pPr>
        <w:pStyle w:val="9"/>
        <w:spacing w:line="400" w:lineRule="exact"/>
        <w:rPr>
          <w:color w:val="auto"/>
          <w:szCs w:val="21"/>
          <w:highlight w:val="none"/>
          <w:u w:val="single"/>
        </w:rPr>
      </w:pPr>
    </w:p>
    <w:p w14:paraId="18CDCB3A">
      <w:pPr>
        <w:pStyle w:val="9"/>
        <w:spacing w:line="440" w:lineRule="exact"/>
        <w:rPr>
          <w:color w:val="auto"/>
          <w:szCs w:val="21"/>
          <w:highlight w:val="none"/>
        </w:rPr>
      </w:pPr>
      <w:r>
        <w:rPr>
          <w:color w:val="auto"/>
          <w:szCs w:val="21"/>
          <w:highlight w:val="none"/>
          <w:u w:val="single"/>
        </w:rPr>
        <w:t xml:space="preserve">                        </w:t>
      </w:r>
      <w:r>
        <w:rPr>
          <w:color w:val="auto"/>
          <w:szCs w:val="21"/>
          <w:highlight w:val="none"/>
        </w:rPr>
        <w:t>（招标人名称）：</w:t>
      </w:r>
    </w:p>
    <w:p w14:paraId="3D8B4C99">
      <w:pPr>
        <w:pStyle w:val="9"/>
        <w:keepNext w:val="0"/>
        <w:keepLines w:val="0"/>
        <w:pageBreakBefore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rPr>
        <w:t>1．我方已仔细研究了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（项目名称）施工招标文件的全部内容（含补遗书第____号至第____号）</w:t>
      </w:r>
      <w:r>
        <w:rPr>
          <w:rFonts w:hint="eastAsia" w:ascii="宋体" w:hAnsi="宋体" w:eastAsia="宋体" w:cs="宋体"/>
          <w:color w:val="auto"/>
          <w:sz w:val="21"/>
          <w:szCs w:val="21"/>
          <w:highlight w:val="none"/>
          <w:lang w:val="en-US" w:eastAsia="zh-CN"/>
        </w:rPr>
        <w:t>后</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并经过对施工现场的踏勘，澄清疑问，已充分理解并掌握了本项目招标的全部有关情况。在此郑重表示，愿意按照递交的商务文件及技术文件确定的投入力量和工作方法，遵照招标文件中提出的各项要求，承担并完成本工程的所有工作，</w:t>
      </w:r>
      <w:r>
        <w:rPr>
          <w:rFonts w:hint="eastAsia" w:ascii="宋体" w:hAnsi="宋体" w:eastAsia="宋体" w:cs="宋体"/>
          <w:color w:val="auto"/>
          <w:sz w:val="21"/>
          <w:szCs w:val="21"/>
          <w:highlight w:val="none"/>
        </w:rPr>
        <w:t>工期</w:t>
      </w:r>
      <w:r>
        <w:rPr>
          <w:rFonts w:hint="eastAsia" w:ascii="宋体" w:hAnsi="宋体" w:eastAsia="宋体" w:cs="宋体"/>
          <w:color w:val="auto"/>
          <w:sz w:val="21"/>
          <w:szCs w:val="21"/>
          <w:highlight w:val="none"/>
          <w:lang w:val="en-US" w:eastAsia="zh-CN"/>
        </w:rPr>
        <w:t>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日历天，质量</w:t>
      </w:r>
      <w:r>
        <w:rPr>
          <w:rFonts w:hint="eastAsia" w:ascii="宋体" w:hAnsi="宋体" w:eastAsia="宋体" w:cs="宋体"/>
          <w:color w:val="auto"/>
          <w:sz w:val="21"/>
          <w:szCs w:val="21"/>
          <w:highlight w:val="none"/>
          <w:lang w:val="en-US" w:eastAsia="zh-CN"/>
        </w:rPr>
        <w:t>目标为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项目经理：</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（姓名），职称：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，身份证号码：</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w:t>
      </w:r>
    </w:p>
    <w:p w14:paraId="29E0C99B">
      <w:pPr>
        <w:keepNext w:val="0"/>
        <w:keepLines w:val="0"/>
        <w:pageBreakBefore w:val="0"/>
        <w:widowControl/>
        <w:suppressLineNumbers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2.我们同意从投标截止之日起在</w:t>
      </w:r>
      <w:r>
        <w:rPr>
          <w:rFonts w:hint="eastAsia" w:ascii="宋体" w:hAnsi="宋体" w:eastAsia="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 xml:space="preserve">天的有效期内恪守本投标文件，我方承诺在投标有效期内不修改、撤销投标文件。在此期限期满之前的任何时间，本投标书全部条款内容对我方具有约束力。 </w:t>
      </w:r>
    </w:p>
    <w:p w14:paraId="129CD6F9">
      <w:pPr>
        <w:keepNext w:val="0"/>
        <w:keepLines w:val="0"/>
        <w:pageBreakBefore w:val="0"/>
        <w:widowControl/>
        <w:suppressLineNumbers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3.随同本投标函提交投标保证金一份，金额为人民币（小写）</w:t>
      </w:r>
      <w:r>
        <w:rPr>
          <w:rFonts w:hint="eastAsia" w:ascii="宋体" w:hAnsi="宋体" w:eastAsia="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 xml:space="preserve">元（人民币）。 </w:t>
      </w:r>
    </w:p>
    <w:p w14:paraId="4852231B">
      <w:pPr>
        <w:keepNext w:val="0"/>
        <w:keepLines w:val="0"/>
        <w:pageBreakBefore w:val="0"/>
        <w:widowControl/>
        <w:suppressLineNumbers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4.如由我方中标，在接到你方发出的中标通知书后按招标文件的要求递交履约保证金，并按中标通知书、招标文件和本投标函的约定与你方签订合同，履行规定的一切责任和义务。 </w:t>
      </w:r>
    </w:p>
    <w:p w14:paraId="438AF753">
      <w:pPr>
        <w:keepNext w:val="0"/>
        <w:keepLines w:val="0"/>
        <w:pageBreakBefore w:val="0"/>
        <w:widowControl/>
        <w:numPr>
          <w:ilvl w:val="0"/>
          <w:numId w:val="2"/>
        </w:numPr>
        <w:suppressLineNumbers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 xml:space="preserve">（招标人的其他补充说明）。 </w:t>
      </w:r>
    </w:p>
    <w:p w14:paraId="5B322B5D">
      <w:pPr>
        <w:keepNext w:val="0"/>
        <w:keepLines w:val="0"/>
        <w:pageBreakBefore w:val="0"/>
        <w:widowControl/>
        <w:suppressLineNumbers w:val="0"/>
        <w:kinsoku/>
        <w:wordWrap/>
        <w:overflowPunct/>
        <w:topLinePunct w:val="0"/>
        <w:autoSpaceDE/>
        <w:autoSpaceDN/>
        <w:bidi w:val="0"/>
        <w:adjustRightInd/>
        <w:snapToGrid/>
        <w:spacing w:line="440" w:lineRule="exact"/>
        <w:ind w:firstLine="420" w:firstLineChars="200"/>
        <w:jc w:val="left"/>
        <w:textAlignment w:val="auto"/>
        <w:rPr>
          <w:rFonts w:hint="default"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6.联合体成员</w:t>
      </w:r>
      <w:r>
        <w:rPr>
          <w:rFonts w:hint="eastAsia" w:ascii="宋体" w:hAnsi="宋体" w:eastAsia="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 xml:space="preserve"> （如是联合体单位请填写联合体成员名单，用英文逗号隔开）。</w:t>
      </w:r>
    </w:p>
    <w:p w14:paraId="63AF7ACE">
      <w:pPr>
        <w:pStyle w:val="9"/>
        <w:keepNext w:val="0"/>
        <w:keepLines w:val="0"/>
        <w:pageBreakBefore w:val="0"/>
        <w:kinsoku/>
        <w:wordWrap/>
        <w:overflowPunct/>
        <w:topLinePunct w:val="0"/>
        <w:autoSpaceDE/>
        <w:autoSpaceDN/>
        <w:bidi w:val="0"/>
        <w:adjustRightInd/>
        <w:snapToGrid/>
        <w:spacing w:line="440" w:lineRule="exact"/>
        <w:ind w:firstLine="3675" w:firstLineChars="1750"/>
        <w:textAlignment w:val="auto"/>
        <w:rPr>
          <w:rFonts w:hint="eastAsia" w:ascii="宋体" w:hAnsi="宋体" w:eastAsia="宋体" w:cs="宋体"/>
          <w:color w:val="auto"/>
          <w:sz w:val="21"/>
          <w:szCs w:val="21"/>
          <w:highlight w:val="none"/>
        </w:rPr>
      </w:pPr>
    </w:p>
    <w:p w14:paraId="288159F8">
      <w:pPr>
        <w:pStyle w:val="9"/>
        <w:spacing w:line="500" w:lineRule="exact"/>
        <w:ind w:firstLine="3675" w:firstLineChars="1750"/>
        <w:rPr>
          <w:color w:val="auto"/>
          <w:szCs w:val="21"/>
          <w:highlight w:val="none"/>
        </w:rPr>
      </w:pPr>
      <w:r>
        <w:rPr>
          <w:color w:val="auto"/>
          <w:szCs w:val="21"/>
          <w:highlight w:val="none"/>
        </w:rPr>
        <w:t>投 标 人：</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（盖单位</w:t>
      </w:r>
      <w:r>
        <w:rPr>
          <w:rFonts w:hint="eastAsia"/>
          <w:color w:val="auto"/>
          <w:szCs w:val="21"/>
          <w:highlight w:val="none"/>
        </w:rPr>
        <w:t>电子</w:t>
      </w:r>
      <w:r>
        <w:rPr>
          <w:color w:val="auto"/>
          <w:szCs w:val="21"/>
          <w:highlight w:val="none"/>
        </w:rPr>
        <w:t>章）</w:t>
      </w:r>
    </w:p>
    <w:p w14:paraId="3F150C2D">
      <w:pPr>
        <w:pStyle w:val="9"/>
        <w:spacing w:line="500" w:lineRule="exact"/>
        <w:ind w:firstLine="3675" w:firstLineChars="1750"/>
        <w:rPr>
          <w:color w:val="auto"/>
          <w:szCs w:val="21"/>
          <w:highlight w:val="none"/>
        </w:rPr>
      </w:pPr>
      <w:bookmarkStart w:id="811" w:name="_Hlk17797765"/>
      <w:r>
        <w:rPr>
          <w:color w:val="auto"/>
          <w:szCs w:val="21"/>
          <w:highlight w:val="none"/>
        </w:rPr>
        <w:t>法定代表人：</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w:t>
      </w:r>
      <w:r>
        <w:rPr>
          <w:rFonts w:hint="eastAsia"/>
          <w:color w:val="auto"/>
          <w:szCs w:val="21"/>
          <w:highlight w:val="none"/>
        </w:rPr>
        <w:t>盖法定代表人电子章</w:t>
      </w:r>
      <w:r>
        <w:rPr>
          <w:color w:val="auto"/>
          <w:szCs w:val="21"/>
          <w:highlight w:val="none"/>
        </w:rPr>
        <w:t>）</w:t>
      </w:r>
    </w:p>
    <w:bookmarkEnd w:id="811"/>
    <w:p w14:paraId="6D353068">
      <w:pPr>
        <w:pStyle w:val="9"/>
        <w:spacing w:line="500" w:lineRule="exact"/>
        <w:ind w:firstLine="5040" w:firstLineChars="2400"/>
        <w:rPr>
          <w:color w:val="auto"/>
          <w:szCs w:val="21"/>
          <w:highlight w:val="none"/>
        </w:rPr>
      </w:pPr>
      <w:r>
        <w:rPr>
          <w:rFonts w:hint="eastAsia"/>
          <w:color w:val="auto"/>
          <w:szCs w:val="21"/>
          <w:highlight w:val="none"/>
          <w:u w:val="single"/>
        </w:rPr>
        <w:t xml:space="preserve">        </w:t>
      </w:r>
      <w:r>
        <w:rPr>
          <w:color w:val="auto"/>
          <w:szCs w:val="21"/>
          <w:highlight w:val="none"/>
        </w:rPr>
        <w:t>年</w:t>
      </w:r>
      <w:r>
        <w:rPr>
          <w:rFonts w:hint="eastAsia"/>
          <w:color w:val="auto"/>
          <w:szCs w:val="21"/>
          <w:highlight w:val="none"/>
          <w:u w:val="single"/>
        </w:rPr>
        <w:t xml:space="preserve">        </w:t>
      </w:r>
      <w:r>
        <w:rPr>
          <w:color w:val="auto"/>
          <w:szCs w:val="21"/>
          <w:highlight w:val="none"/>
        </w:rPr>
        <w:t>月</w:t>
      </w:r>
      <w:r>
        <w:rPr>
          <w:rFonts w:hint="eastAsia"/>
          <w:color w:val="auto"/>
          <w:szCs w:val="21"/>
          <w:highlight w:val="none"/>
          <w:u w:val="single"/>
        </w:rPr>
        <w:t xml:space="preserve">        </w:t>
      </w:r>
      <w:r>
        <w:rPr>
          <w:color w:val="auto"/>
          <w:szCs w:val="21"/>
          <w:highlight w:val="none"/>
        </w:rPr>
        <w:t>日</w:t>
      </w:r>
    </w:p>
    <w:p w14:paraId="2B6CCA9D">
      <w:pPr>
        <w:pStyle w:val="9"/>
        <w:spacing w:line="500" w:lineRule="exact"/>
        <w:rPr>
          <w:color w:val="auto"/>
          <w:highlight w:val="none"/>
        </w:rPr>
      </w:pPr>
    </w:p>
    <w:p w14:paraId="0FDB341B">
      <w:pPr>
        <w:pStyle w:val="9"/>
        <w:spacing w:line="540" w:lineRule="exact"/>
        <w:rPr>
          <w:color w:val="auto"/>
          <w:highlight w:val="none"/>
        </w:rPr>
      </w:pPr>
    </w:p>
    <w:p w14:paraId="2AD715E3">
      <w:pPr>
        <w:pStyle w:val="9"/>
        <w:spacing w:line="540" w:lineRule="exact"/>
        <w:rPr>
          <w:color w:val="auto"/>
          <w:highlight w:val="none"/>
        </w:rPr>
      </w:pPr>
    </w:p>
    <w:p w14:paraId="7F30AB1F">
      <w:pPr>
        <w:pStyle w:val="9"/>
        <w:spacing w:line="540" w:lineRule="exact"/>
        <w:rPr>
          <w:color w:val="auto"/>
          <w:highlight w:val="none"/>
        </w:rPr>
      </w:pPr>
    </w:p>
    <w:p w14:paraId="38FF5873">
      <w:pPr>
        <w:pStyle w:val="9"/>
        <w:keepNext/>
        <w:keepLines/>
        <w:spacing w:after="156" w:afterLines="50" w:line="600" w:lineRule="exact"/>
        <w:jc w:val="center"/>
        <w:outlineLvl w:val="2"/>
        <w:rPr>
          <w:rFonts w:ascii="Times New Roman" w:hAnsi="Times New Roman" w:eastAsia="黑体" w:cs="宋体"/>
          <w:color w:val="auto"/>
          <w:sz w:val="30"/>
          <w:szCs w:val="30"/>
          <w:highlight w:val="none"/>
        </w:rPr>
      </w:pPr>
      <w:r>
        <w:rPr>
          <w:rFonts w:eastAsia="黑体" w:cs="宋体"/>
          <w:color w:val="auto"/>
          <w:sz w:val="30"/>
          <w:szCs w:val="30"/>
          <w:highlight w:val="none"/>
        </w:rPr>
        <w:br w:type="page"/>
      </w:r>
      <w:bookmarkStart w:id="812" w:name="_Toc27957"/>
      <w:r>
        <w:rPr>
          <w:rFonts w:ascii="Times New Roman" w:hAnsi="Times New Roman" w:eastAsia="黑体" w:cs="宋体"/>
          <w:color w:val="auto"/>
          <w:sz w:val="30"/>
          <w:szCs w:val="30"/>
          <w:highlight w:val="none"/>
        </w:rPr>
        <w:t>（二）投标函附录</w:t>
      </w:r>
      <w:bookmarkEnd w:id="812"/>
    </w:p>
    <w:tbl>
      <w:tblPr>
        <w:tblStyle w:val="23"/>
        <w:tblW w:w="9202" w:type="dxa"/>
        <w:tblInd w:w="-272"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649"/>
        <w:gridCol w:w="2103"/>
        <w:gridCol w:w="1125"/>
        <w:gridCol w:w="4575"/>
        <w:gridCol w:w="750"/>
      </w:tblGrid>
      <w:tr w14:paraId="61D6D7D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82" w:hRule="atLeast"/>
        </w:trPr>
        <w:tc>
          <w:tcPr>
            <w:tcW w:w="649" w:type="dxa"/>
            <w:tcBorders>
              <w:tl2br w:val="nil"/>
              <w:tr2bl w:val="nil"/>
            </w:tcBorders>
            <w:noWrap w:val="0"/>
            <w:vAlign w:val="center"/>
          </w:tcPr>
          <w:p w14:paraId="213679FF">
            <w:pPr>
              <w:pStyle w:val="9"/>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序号</w:t>
            </w:r>
          </w:p>
        </w:tc>
        <w:tc>
          <w:tcPr>
            <w:tcW w:w="2103" w:type="dxa"/>
            <w:tcBorders>
              <w:tl2br w:val="nil"/>
              <w:tr2bl w:val="nil"/>
            </w:tcBorders>
            <w:noWrap w:val="0"/>
            <w:vAlign w:val="center"/>
          </w:tcPr>
          <w:p w14:paraId="4C7C76FA">
            <w:pPr>
              <w:pStyle w:val="9"/>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条款名称</w:t>
            </w:r>
          </w:p>
        </w:tc>
        <w:tc>
          <w:tcPr>
            <w:tcW w:w="1125" w:type="dxa"/>
            <w:tcBorders>
              <w:tl2br w:val="nil"/>
              <w:tr2bl w:val="nil"/>
            </w:tcBorders>
            <w:noWrap w:val="0"/>
            <w:vAlign w:val="center"/>
          </w:tcPr>
          <w:p w14:paraId="505EA677">
            <w:pPr>
              <w:pStyle w:val="9"/>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合同条</w:t>
            </w:r>
            <w:r>
              <w:rPr>
                <w:rFonts w:hint="eastAsia" w:ascii="宋体" w:hAnsi="宋体" w:eastAsia="宋体" w:cs="宋体"/>
                <w:b/>
                <w:color w:val="auto"/>
                <w:sz w:val="18"/>
                <w:szCs w:val="18"/>
                <w:highlight w:val="none"/>
                <w:lang w:val="en-US" w:eastAsia="zh-CN"/>
              </w:rPr>
              <w:t>目</w:t>
            </w:r>
            <w:r>
              <w:rPr>
                <w:rFonts w:hint="eastAsia" w:ascii="宋体" w:hAnsi="宋体" w:eastAsia="宋体" w:cs="宋体"/>
                <w:b/>
                <w:color w:val="auto"/>
                <w:sz w:val="18"/>
                <w:szCs w:val="18"/>
                <w:highlight w:val="none"/>
              </w:rPr>
              <w:t>号</w:t>
            </w:r>
          </w:p>
        </w:tc>
        <w:tc>
          <w:tcPr>
            <w:tcW w:w="4575" w:type="dxa"/>
            <w:tcBorders>
              <w:tl2br w:val="nil"/>
              <w:tr2bl w:val="nil"/>
            </w:tcBorders>
            <w:noWrap w:val="0"/>
            <w:vAlign w:val="center"/>
          </w:tcPr>
          <w:p w14:paraId="749068FE">
            <w:pPr>
              <w:pStyle w:val="9"/>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约定内容</w:t>
            </w:r>
          </w:p>
        </w:tc>
        <w:tc>
          <w:tcPr>
            <w:tcW w:w="750" w:type="dxa"/>
            <w:tcBorders>
              <w:tl2br w:val="nil"/>
              <w:tr2bl w:val="nil"/>
            </w:tcBorders>
            <w:noWrap w:val="0"/>
            <w:vAlign w:val="center"/>
          </w:tcPr>
          <w:p w14:paraId="075063D4">
            <w:pPr>
              <w:pStyle w:val="9"/>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备注</w:t>
            </w:r>
          </w:p>
        </w:tc>
      </w:tr>
      <w:tr w14:paraId="2A2D458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649" w:type="dxa"/>
            <w:tcBorders>
              <w:tl2br w:val="nil"/>
              <w:tr2bl w:val="nil"/>
            </w:tcBorders>
            <w:noWrap w:val="0"/>
            <w:vAlign w:val="center"/>
          </w:tcPr>
          <w:p w14:paraId="7CEA3403">
            <w:pPr>
              <w:pStyle w:val="9"/>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p>
        </w:tc>
        <w:tc>
          <w:tcPr>
            <w:tcW w:w="2103" w:type="dxa"/>
            <w:tcBorders>
              <w:tl2br w:val="nil"/>
              <w:tr2bl w:val="nil"/>
            </w:tcBorders>
            <w:noWrap w:val="0"/>
            <w:vAlign w:val="center"/>
          </w:tcPr>
          <w:p w14:paraId="78848774">
            <w:pPr>
              <w:pStyle w:val="9"/>
              <w:spacing w:line="32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缺陷责任期</w:t>
            </w:r>
          </w:p>
        </w:tc>
        <w:tc>
          <w:tcPr>
            <w:tcW w:w="1125" w:type="dxa"/>
            <w:tcBorders>
              <w:tl2br w:val="nil"/>
              <w:tr2bl w:val="nil"/>
            </w:tcBorders>
            <w:noWrap w:val="0"/>
            <w:vAlign w:val="center"/>
          </w:tcPr>
          <w:p w14:paraId="07D9BFE9">
            <w:pPr>
              <w:pStyle w:val="9"/>
              <w:spacing w:line="32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1.1.4.5</w:t>
            </w:r>
          </w:p>
        </w:tc>
        <w:tc>
          <w:tcPr>
            <w:tcW w:w="4575" w:type="dxa"/>
            <w:tcBorders>
              <w:tl2br w:val="nil"/>
              <w:tr2bl w:val="nil"/>
            </w:tcBorders>
            <w:noWrap w:val="0"/>
            <w:vAlign w:val="center"/>
          </w:tcPr>
          <w:p w14:paraId="353C88D0">
            <w:pPr>
              <w:pStyle w:val="9"/>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Cs w:val="21"/>
                <w:highlight w:val="none"/>
                <w:lang w:val="en-US" w:eastAsia="zh-CN"/>
              </w:rPr>
              <w:t>根据招标文件要求</w:t>
            </w:r>
          </w:p>
        </w:tc>
        <w:tc>
          <w:tcPr>
            <w:tcW w:w="750" w:type="dxa"/>
            <w:tcBorders>
              <w:tl2br w:val="nil"/>
              <w:tr2bl w:val="nil"/>
            </w:tcBorders>
            <w:noWrap w:val="0"/>
            <w:vAlign w:val="center"/>
          </w:tcPr>
          <w:p w14:paraId="133E8D4E">
            <w:pPr>
              <w:pStyle w:val="9"/>
              <w:spacing w:line="480" w:lineRule="atLeast"/>
              <w:rPr>
                <w:rFonts w:hint="eastAsia" w:ascii="宋体" w:hAnsi="宋体" w:eastAsia="宋体" w:cs="宋体"/>
                <w:color w:val="auto"/>
                <w:sz w:val="18"/>
                <w:szCs w:val="18"/>
                <w:highlight w:val="none"/>
              </w:rPr>
            </w:pPr>
          </w:p>
        </w:tc>
      </w:tr>
      <w:tr w14:paraId="613C5C6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649" w:type="dxa"/>
            <w:tcBorders>
              <w:tl2br w:val="nil"/>
              <w:tr2bl w:val="nil"/>
            </w:tcBorders>
            <w:noWrap w:val="0"/>
            <w:vAlign w:val="center"/>
          </w:tcPr>
          <w:p w14:paraId="6EF35998">
            <w:pPr>
              <w:pStyle w:val="9"/>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w:t>
            </w:r>
          </w:p>
        </w:tc>
        <w:tc>
          <w:tcPr>
            <w:tcW w:w="2103" w:type="dxa"/>
            <w:tcBorders>
              <w:tl2br w:val="nil"/>
              <w:tr2bl w:val="nil"/>
            </w:tcBorders>
            <w:noWrap w:val="0"/>
            <w:vAlign w:val="center"/>
          </w:tcPr>
          <w:p w14:paraId="7F3575CF">
            <w:pPr>
              <w:pStyle w:val="9"/>
              <w:spacing w:line="32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逾期交工违约金</w:t>
            </w:r>
          </w:p>
        </w:tc>
        <w:tc>
          <w:tcPr>
            <w:tcW w:w="1125" w:type="dxa"/>
            <w:tcBorders>
              <w:tl2br w:val="nil"/>
              <w:tr2bl w:val="nil"/>
            </w:tcBorders>
            <w:noWrap w:val="0"/>
            <w:vAlign w:val="center"/>
          </w:tcPr>
          <w:p w14:paraId="1AADA090">
            <w:pPr>
              <w:pStyle w:val="9"/>
              <w:spacing w:line="32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11.5</w:t>
            </w:r>
          </w:p>
        </w:tc>
        <w:tc>
          <w:tcPr>
            <w:tcW w:w="4575" w:type="dxa"/>
            <w:tcBorders>
              <w:tl2br w:val="nil"/>
              <w:tr2bl w:val="nil"/>
            </w:tcBorders>
            <w:noWrap w:val="0"/>
            <w:vAlign w:val="center"/>
          </w:tcPr>
          <w:p w14:paraId="770ACB07">
            <w:pPr>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Cs w:val="21"/>
                <w:highlight w:val="none"/>
                <w:lang w:val="en-US" w:eastAsia="zh-CN"/>
              </w:rPr>
              <w:t>根据招标文件要求</w:t>
            </w:r>
          </w:p>
        </w:tc>
        <w:tc>
          <w:tcPr>
            <w:tcW w:w="750" w:type="dxa"/>
            <w:tcBorders>
              <w:tl2br w:val="nil"/>
              <w:tr2bl w:val="nil"/>
            </w:tcBorders>
            <w:noWrap w:val="0"/>
            <w:vAlign w:val="center"/>
          </w:tcPr>
          <w:p w14:paraId="08558A7D">
            <w:pPr>
              <w:pStyle w:val="9"/>
              <w:spacing w:line="480" w:lineRule="atLeast"/>
              <w:rPr>
                <w:rFonts w:hint="eastAsia" w:ascii="宋体" w:hAnsi="宋体" w:eastAsia="宋体" w:cs="宋体"/>
                <w:color w:val="auto"/>
                <w:sz w:val="18"/>
                <w:szCs w:val="18"/>
                <w:highlight w:val="none"/>
              </w:rPr>
            </w:pPr>
          </w:p>
        </w:tc>
      </w:tr>
      <w:tr w14:paraId="416DCB3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649" w:type="dxa"/>
            <w:tcBorders>
              <w:tl2br w:val="nil"/>
              <w:tr2bl w:val="nil"/>
            </w:tcBorders>
            <w:noWrap w:val="0"/>
            <w:vAlign w:val="center"/>
          </w:tcPr>
          <w:p w14:paraId="05D4C2F8">
            <w:pPr>
              <w:pStyle w:val="9"/>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w:t>
            </w:r>
          </w:p>
        </w:tc>
        <w:tc>
          <w:tcPr>
            <w:tcW w:w="2103" w:type="dxa"/>
            <w:tcBorders>
              <w:tl2br w:val="nil"/>
              <w:tr2bl w:val="nil"/>
            </w:tcBorders>
            <w:noWrap w:val="0"/>
            <w:vAlign w:val="center"/>
          </w:tcPr>
          <w:p w14:paraId="73C2BFDC">
            <w:pPr>
              <w:pStyle w:val="9"/>
              <w:spacing w:line="32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逾期交工违约金限额</w:t>
            </w:r>
          </w:p>
        </w:tc>
        <w:tc>
          <w:tcPr>
            <w:tcW w:w="1125" w:type="dxa"/>
            <w:tcBorders>
              <w:tl2br w:val="nil"/>
              <w:tr2bl w:val="nil"/>
            </w:tcBorders>
            <w:noWrap w:val="0"/>
            <w:vAlign w:val="center"/>
          </w:tcPr>
          <w:p w14:paraId="7D7B38BC">
            <w:pPr>
              <w:pStyle w:val="9"/>
              <w:spacing w:line="32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11.5</w:t>
            </w:r>
          </w:p>
        </w:tc>
        <w:tc>
          <w:tcPr>
            <w:tcW w:w="4575" w:type="dxa"/>
            <w:tcBorders>
              <w:tl2br w:val="nil"/>
              <w:tr2bl w:val="nil"/>
            </w:tcBorders>
            <w:noWrap w:val="0"/>
            <w:vAlign w:val="center"/>
          </w:tcPr>
          <w:p w14:paraId="53BF6E96">
            <w:pPr>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Cs w:val="21"/>
                <w:highlight w:val="none"/>
                <w:lang w:val="en-US" w:eastAsia="zh-CN"/>
              </w:rPr>
              <w:t>根据招标文件要求</w:t>
            </w:r>
          </w:p>
        </w:tc>
        <w:tc>
          <w:tcPr>
            <w:tcW w:w="750" w:type="dxa"/>
            <w:tcBorders>
              <w:tl2br w:val="nil"/>
              <w:tr2bl w:val="nil"/>
            </w:tcBorders>
            <w:noWrap w:val="0"/>
            <w:vAlign w:val="center"/>
          </w:tcPr>
          <w:p w14:paraId="515A3C82">
            <w:pPr>
              <w:pStyle w:val="9"/>
              <w:spacing w:line="480" w:lineRule="atLeast"/>
              <w:rPr>
                <w:rFonts w:hint="eastAsia" w:ascii="宋体" w:hAnsi="宋体" w:eastAsia="宋体" w:cs="宋体"/>
                <w:color w:val="auto"/>
                <w:sz w:val="18"/>
                <w:szCs w:val="18"/>
                <w:highlight w:val="none"/>
              </w:rPr>
            </w:pPr>
          </w:p>
        </w:tc>
      </w:tr>
      <w:tr w14:paraId="7EF2BF8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649" w:type="dxa"/>
            <w:tcBorders>
              <w:tl2br w:val="nil"/>
              <w:tr2bl w:val="nil"/>
            </w:tcBorders>
            <w:noWrap w:val="0"/>
            <w:vAlign w:val="center"/>
          </w:tcPr>
          <w:p w14:paraId="5A674FB0">
            <w:pPr>
              <w:pStyle w:val="9"/>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4</w:t>
            </w:r>
          </w:p>
        </w:tc>
        <w:tc>
          <w:tcPr>
            <w:tcW w:w="2103" w:type="dxa"/>
            <w:tcBorders>
              <w:tl2br w:val="nil"/>
              <w:tr2bl w:val="nil"/>
            </w:tcBorders>
            <w:noWrap w:val="0"/>
            <w:vAlign w:val="center"/>
          </w:tcPr>
          <w:p w14:paraId="5012F50E">
            <w:pPr>
              <w:pStyle w:val="9"/>
              <w:spacing w:line="32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提前交工的奖金</w:t>
            </w:r>
          </w:p>
        </w:tc>
        <w:tc>
          <w:tcPr>
            <w:tcW w:w="1125" w:type="dxa"/>
            <w:tcBorders>
              <w:tl2br w:val="nil"/>
              <w:tr2bl w:val="nil"/>
            </w:tcBorders>
            <w:noWrap w:val="0"/>
            <w:vAlign w:val="center"/>
          </w:tcPr>
          <w:p w14:paraId="7A2CE391">
            <w:pPr>
              <w:pStyle w:val="9"/>
              <w:spacing w:line="32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11.6</w:t>
            </w:r>
          </w:p>
        </w:tc>
        <w:tc>
          <w:tcPr>
            <w:tcW w:w="4575" w:type="dxa"/>
            <w:tcBorders>
              <w:tl2br w:val="nil"/>
              <w:tr2bl w:val="nil"/>
            </w:tcBorders>
            <w:noWrap w:val="0"/>
            <w:vAlign w:val="center"/>
          </w:tcPr>
          <w:p w14:paraId="75201ADE">
            <w:pPr>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Cs w:val="21"/>
                <w:highlight w:val="none"/>
                <w:lang w:val="en-US" w:eastAsia="zh-CN"/>
              </w:rPr>
              <w:t>根据招标文件要求</w:t>
            </w:r>
          </w:p>
        </w:tc>
        <w:tc>
          <w:tcPr>
            <w:tcW w:w="750" w:type="dxa"/>
            <w:tcBorders>
              <w:tl2br w:val="nil"/>
              <w:tr2bl w:val="nil"/>
            </w:tcBorders>
            <w:noWrap w:val="0"/>
            <w:vAlign w:val="center"/>
          </w:tcPr>
          <w:p w14:paraId="6D031639">
            <w:pPr>
              <w:pStyle w:val="9"/>
              <w:spacing w:line="480" w:lineRule="atLeast"/>
              <w:rPr>
                <w:rFonts w:hint="eastAsia" w:ascii="宋体" w:hAnsi="宋体" w:eastAsia="宋体" w:cs="宋体"/>
                <w:color w:val="auto"/>
                <w:sz w:val="18"/>
                <w:szCs w:val="18"/>
                <w:highlight w:val="none"/>
              </w:rPr>
            </w:pPr>
          </w:p>
        </w:tc>
      </w:tr>
      <w:tr w14:paraId="622E0A1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649" w:type="dxa"/>
            <w:tcBorders>
              <w:tl2br w:val="nil"/>
              <w:tr2bl w:val="nil"/>
            </w:tcBorders>
            <w:noWrap w:val="0"/>
            <w:vAlign w:val="center"/>
          </w:tcPr>
          <w:p w14:paraId="60864646">
            <w:pPr>
              <w:pStyle w:val="9"/>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w:t>
            </w:r>
          </w:p>
        </w:tc>
        <w:tc>
          <w:tcPr>
            <w:tcW w:w="2103" w:type="dxa"/>
            <w:tcBorders>
              <w:tl2br w:val="nil"/>
              <w:tr2bl w:val="nil"/>
            </w:tcBorders>
            <w:noWrap w:val="0"/>
            <w:vAlign w:val="center"/>
          </w:tcPr>
          <w:p w14:paraId="5BA6890E">
            <w:pPr>
              <w:pStyle w:val="9"/>
              <w:spacing w:line="32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提前交工的奖金限额</w:t>
            </w:r>
          </w:p>
        </w:tc>
        <w:tc>
          <w:tcPr>
            <w:tcW w:w="1125" w:type="dxa"/>
            <w:tcBorders>
              <w:tl2br w:val="nil"/>
              <w:tr2bl w:val="nil"/>
            </w:tcBorders>
            <w:noWrap w:val="0"/>
            <w:vAlign w:val="center"/>
          </w:tcPr>
          <w:p w14:paraId="14F14392">
            <w:pPr>
              <w:pStyle w:val="9"/>
              <w:spacing w:line="32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11.6</w:t>
            </w:r>
          </w:p>
        </w:tc>
        <w:tc>
          <w:tcPr>
            <w:tcW w:w="4575" w:type="dxa"/>
            <w:tcBorders>
              <w:tl2br w:val="nil"/>
              <w:tr2bl w:val="nil"/>
            </w:tcBorders>
            <w:noWrap w:val="0"/>
            <w:vAlign w:val="center"/>
          </w:tcPr>
          <w:p w14:paraId="7264490E">
            <w:pPr>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Cs w:val="21"/>
                <w:highlight w:val="none"/>
                <w:lang w:val="en-US" w:eastAsia="zh-CN"/>
              </w:rPr>
              <w:t>根据招标文件要求</w:t>
            </w:r>
          </w:p>
        </w:tc>
        <w:tc>
          <w:tcPr>
            <w:tcW w:w="750" w:type="dxa"/>
            <w:tcBorders>
              <w:tl2br w:val="nil"/>
              <w:tr2bl w:val="nil"/>
            </w:tcBorders>
            <w:noWrap w:val="0"/>
            <w:vAlign w:val="center"/>
          </w:tcPr>
          <w:p w14:paraId="5F96F1D8">
            <w:pPr>
              <w:pStyle w:val="9"/>
              <w:spacing w:line="480" w:lineRule="atLeast"/>
              <w:rPr>
                <w:rFonts w:hint="eastAsia" w:ascii="宋体" w:hAnsi="宋体" w:eastAsia="宋体" w:cs="宋体"/>
                <w:color w:val="auto"/>
                <w:sz w:val="18"/>
                <w:szCs w:val="18"/>
                <w:highlight w:val="none"/>
              </w:rPr>
            </w:pPr>
          </w:p>
        </w:tc>
      </w:tr>
      <w:tr w14:paraId="7729E4F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649" w:type="dxa"/>
            <w:tcBorders>
              <w:tl2br w:val="nil"/>
              <w:tr2bl w:val="nil"/>
            </w:tcBorders>
            <w:noWrap w:val="0"/>
            <w:vAlign w:val="center"/>
          </w:tcPr>
          <w:p w14:paraId="2C3400DF">
            <w:pPr>
              <w:pStyle w:val="9"/>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6</w:t>
            </w:r>
          </w:p>
        </w:tc>
        <w:tc>
          <w:tcPr>
            <w:tcW w:w="2103" w:type="dxa"/>
            <w:tcBorders>
              <w:tl2br w:val="nil"/>
              <w:tr2bl w:val="nil"/>
            </w:tcBorders>
            <w:noWrap w:val="0"/>
            <w:vAlign w:val="center"/>
          </w:tcPr>
          <w:p w14:paraId="55113DC7">
            <w:pPr>
              <w:pStyle w:val="9"/>
              <w:spacing w:line="32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价格调整的差额计算</w:t>
            </w:r>
          </w:p>
        </w:tc>
        <w:tc>
          <w:tcPr>
            <w:tcW w:w="1125" w:type="dxa"/>
            <w:tcBorders>
              <w:tl2br w:val="nil"/>
              <w:tr2bl w:val="nil"/>
            </w:tcBorders>
            <w:noWrap w:val="0"/>
            <w:vAlign w:val="center"/>
          </w:tcPr>
          <w:p w14:paraId="7B168586">
            <w:pPr>
              <w:pStyle w:val="9"/>
              <w:spacing w:line="32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16.1</w:t>
            </w:r>
          </w:p>
        </w:tc>
        <w:tc>
          <w:tcPr>
            <w:tcW w:w="4575" w:type="dxa"/>
            <w:tcBorders>
              <w:tl2br w:val="nil"/>
              <w:tr2bl w:val="nil"/>
            </w:tcBorders>
            <w:noWrap w:val="0"/>
            <w:vAlign w:val="center"/>
          </w:tcPr>
          <w:p w14:paraId="19D5DEDE">
            <w:pPr>
              <w:keepNext w:val="0"/>
              <w:keepLines w:val="0"/>
              <w:widowControl/>
              <w:suppressLineNumbers w:val="0"/>
              <w:jc w:val="left"/>
              <w:rPr>
                <w:rFonts w:hint="default" w:ascii="宋体" w:hAnsi="宋体" w:eastAsia="宋体" w:cs="宋体"/>
                <w:color w:val="auto"/>
                <w:sz w:val="18"/>
                <w:szCs w:val="18"/>
                <w:highlight w:val="none"/>
                <w:lang w:val="en-US"/>
              </w:rPr>
            </w:pPr>
            <w:r>
              <w:rPr>
                <w:rFonts w:hint="eastAsia" w:ascii="宋体" w:hAnsi="宋体" w:eastAsia="宋体" w:cs="宋体"/>
                <w:color w:val="auto"/>
                <w:szCs w:val="21"/>
                <w:highlight w:val="none"/>
                <w:lang w:val="en-US" w:eastAsia="zh-CN"/>
              </w:rPr>
              <w:t>根据招标文件要求</w:t>
            </w:r>
          </w:p>
        </w:tc>
        <w:tc>
          <w:tcPr>
            <w:tcW w:w="750" w:type="dxa"/>
            <w:tcBorders>
              <w:tl2br w:val="nil"/>
              <w:tr2bl w:val="nil"/>
            </w:tcBorders>
            <w:noWrap w:val="0"/>
            <w:vAlign w:val="center"/>
          </w:tcPr>
          <w:p w14:paraId="32D2CC02">
            <w:pPr>
              <w:pStyle w:val="9"/>
              <w:spacing w:line="480" w:lineRule="atLeast"/>
              <w:rPr>
                <w:rFonts w:hint="eastAsia" w:ascii="宋体" w:hAnsi="宋体" w:eastAsia="宋体" w:cs="宋体"/>
                <w:color w:val="auto"/>
                <w:sz w:val="18"/>
                <w:szCs w:val="18"/>
                <w:highlight w:val="none"/>
              </w:rPr>
            </w:pPr>
          </w:p>
        </w:tc>
      </w:tr>
      <w:tr w14:paraId="04108FC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649" w:type="dxa"/>
            <w:tcBorders>
              <w:tl2br w:val="nil"/>
              <w:tr2bl w:val="nil"/>
            </w:tcBorders>
            <w:noWrap w:val="0"/>
            <w:vAlign w:val="center"/>
          </w:tcPr>
          <w:p w14:paraId="7674EB28">
            <w:pPr>
              <w:pStyle w:val="9"/>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7</w:t>
            </w:r>
          </w:p>
        </w:tc>
        <w:tc>
          <w:tcPr>
            <w:tcW w:w="2103" w:type="dxa"/>
            <w:tcBorders>
              <w:tl2br w:val="nil"/>
              <w:tr2bl w:val="nil"/>
            </w:tcBorders>
            <w:noWrap w:val="0"/>
            <w:vAlign w:val="center"/>
          </w:tcPr>
          <w:p w14:paraId="1E7DEACF">
            <w:pPr>
              <w:pStyle w:val="9"/>
              <w:spacing w:line="32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开工预付款金额</w:t>
            </w:r>
          </w:p>
        </w:tc>
        <w:tc>
          <w:tcPr>
            <w:tcW w:w="1125" w:type="dxa"/>
            <w:tcBorders>
              <w:tl2br w:val="nil"/>
              <w:tr2bl w:val="nil"/>
            </w:tcBorders>
            <w:noWrap w:val="0"/>
            <w:vAlign w:val="center"/>
          </w:tcPr>
          <w:p w14:paraId="4E271C0C">
            <w:pPr>
              <w:pStyle w:val="9"/>
              <w:spacing w:line="32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17.2.1</w:t>
            </w:r>
          </w:p>
        </w:tc>
        <w:tc>
          <w:tcPr>
            <w:tcW w:w="4575" w:type="dxa"/>
            <w:tcBorders>
              <w:tl2br w:val="nil"/>
              <w:tr2bl w:val="nil"/>
            </w:tcBorders>
            <w:noWrap w:val="0"/>
            <w:vAlign w:val="center"/>
          </w:tcPr>
          <w:p w14:paraId="628610CC">
            <w:pPr>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Cs w:val="21"/>
                <w:highlight w:val="none"/>
                <w:lang w:val="en-US" w:eastAsia="zh-CN"/>
              </w:rPr>
              <w:t>根据招标文件要求</w:t>
            </w:r>
          </w:p>
        </w:tc>
        <w:tc>
          <w:tcPr>
            <w:tcW w:w="750" w:type="dxa"/>
            <w:tcBorders>
              <w:tl2br w:val="nil"/>
              <w:tr2bl w:val="nil"/>
            </w:tcBorders>
            <w:noWrap w:val="0"/>
            <w:vAlign w:val="center"/>
          </w:tcPr>
          <w:p w14:paraId="1A1E9580">
            <w:pPr>
              <w:pStyle w:val="9"/>
              <w:spacing w:line="480" w:lineRule="atLeast"/>
              <w:rPr>
                <w:rFonts w:hint="eastAsia" w:ascii="宋体" w:hAnsi="宋体" w:eastAsia="宋体" w:cs="宋体"/>
                <w:color w:val="auto"/>
                <w:sz w:val="18"/>
                <w:szCs w:val="18"/>
                <w:highlight w:val="none"/>
              </w:rPr>
            </w:pPr>
          </w:p>
        </w:tc>
      </w:tr>
      <w:tr w14:paraId="0F511A0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649" w:type="dxa"/>
            <w:tcBorders>
              <w:tl2br w:val="nil"/>
              <w:tr2bl w:val="nil"/>
            </w:tcBorders>
            <w:noWrap w:val="0"/>
            <w:vAlign w:val="center"/>
          </w:tcPr>
          <w:p w14:paraId="0894FC33">
            <w:pPr>
              <w:pStyle w:val="9"/>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8</w:t>
            </w:r>
          </w:p>
        </w:tc>
        <w:tc>
          <w:tcPr>
            <w:tcW w:w="2103" w:type="dxa"/>
            <w:tcBorders>
              <w:tl2br w:val="nil"/>
              <w:tr2bl w:val="nil"/>
            </w:tcBorders>
            <w:noWrap w:val="0"/>
            <w:vAlign w:val="center"/>
          </w:tcPr>
          <w:p w14:paraId="7A46ACDA">
            <w:pPr>
              <w:pStyle w:val="9"/>
              <w:spacing w:line="32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材料预付款比例</w:t>
            </w:r>
          </w:p>
        </w:tc>
        <w:tc>
          <w:tcPr>
            <w:tcW w:w="1125" w:type="dxa"/>
            <w:tcBorders>
              <w:tl2br w:val="nil"/>
              <w:tr2bl w:val="nil"/>
            </w:tcBorders>
            <w:noWrap w:val="0"/>
            <w:vAlign w:val="center"/>
          </w:tcPr>
          <w:p w14:paraId="76184974">
            <w:pPr>
              <w:pStyle w:val="9"/>
              <w:spacing w:line="32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17.2.1</w:t>
            </w:r>
          </w:p>
        </w:tc>
        <w:tc>
          <w:tcPr>
            <w:tcW w:w="4575" w:type="dxa"/>
            <w:tcBorders>
              <w:tl2br w:val="nil"/>
              <w:tr2bl w:val="nil"/>
            </w:tcBorders>
            <w:noWrap w:val="0"/>
            <w:vAlign w:val="center"/>
          </w:tcPr>
          <w:p w14:paraId="59260D72">
            <w:pPr>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Cs w:val="21"/>
                <w:highlight w:val="none"/>
                <w:lang w:val="en-US" w:eastAsia="zh-CN"/>
              </w:rPr>
              <w:t>根据招标文件要求</w:t>
            </w:r>
          </w:p>
        </w:tc>
        <w:tc>
          <w:tcPr>
            <w:tcW w:w="750" w:type="dxa"/>
            <w:tcBorders>
              <w:tl2br w:val="nil"/>
              <w:tr2bl w:val="nil"/>
            </w:tcBorders>
            <w:noWrap w:val="0"/>
            <w:vAlign w:val="center"/>
          </w:tcPr>
          <w:p w14:paraId="53F35857">
            <w:pPr>
              <w:pStyle w:val="9"/>
              <w:spacing w:line="480" w:lineRule="atLeast"/>
              <w:rPr>
                <w:rFonts w:hint="eastAsia" w:ascii="宋体" w:hAnsi="宋体" w:eastAsia="宋体" w:cs="宋体"/>
                <w:color w:val="auto"/>
                <w:sz w:val="18"/>
                <w:szCs w:val="18"/>
                <w:highlight w:val="none"/>
              </w:rPr>
            </w:pPr>
          </w:p>
        </w:tc>
      </w:tr>
      <w:tr w14:paraId="1D8D0B0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649" w:type="dxa"/>
            <w:tcBorders>
              <w:tl2br w:val="nil"/>
              <w:tr2bl w:val="nil"/>
            </w:tcBorders>
            <w:noWrap w:val="0"/>
            <w:vAlign w:val="center"/>
          </w:tcPr>
          <w:p w14:paraId="7F4A30E3">
            <w:pPr>
              <w:pStyle w:val="9"/>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9</w:t>
            </w:r>
          </w:p>
        </w:tc>
        <w:tc>
          <w:tcPr>
            <w:tcW w:w="2103" w:type="dxa"/>
            <w:tcBorders>
              <w:tl2br w:val="nil"/>
              <w:tr2bl w:val="nil"/>
            </w:tcBorders>
            <w:noWrap w:val="0"/>
            <w:vAlign w:val="center"/>
          </w:tcPr>
          <w:p w14:paraId="78AB8D2E">
            <w:pPr>
              <w:pStyle w:val="9"/>
              <w:spacing w:line="32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进度付款证书最低限额</w:t>
            </w:r>
          </w:p>
        </w:tc>
        <w:tc>
          <w:tcPr>
            <w:tcW w:w="1125" w:type="dxa"/>
            <w:tcBorders>
              <w:tl2br w:val="nil"/>
              <w:tr2bl w:val="nil"/>
            </w:tcBorders>
            <w:noWrap w:val="0"/>
            <w:vAlign w:val="center"/>
          </w:tcPr>
          <w:p w14:paraId="02DB558D">
            <w:pPr>
              <w:pStyle w:val="9"/>
              <w:spacing w:line="32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17.3.3（1）</w:t>
            </w:r>
          </w:p>
        </w:tc>
        <w:tc>
          <w:tcPr>
            <w:tcW w:w="4575" w:type="dxa"/>
            <w:tcBorders>
              <w:tl2br w:val="nil"/>
              <w:tr2bl w:val="nil"/>
            </w:tcBorders>
            <w:noWrap w:val="0"/>
            <w:vAlign w:val="center"/>
          </w:tcPr>
          <w:p w14:paraId="735501C4">
            <w:pPr>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Cs w:val="21"/>
                <w:highlight w:val="none"/>
                <w:lang w:val="en-US" w:eastAsia="zh-CN"/>
              </w:rPr>
              <w:t>根据招标文件要求</w:t>
            </w:r>
          </w:p>
        </w:tc>
        <w:tc>
          <w:tcPr>
            <w:tcW w:w="750" w:type="dxa"/>
            <w:tcBorders>
              <w:tl2br w:val="nil"/>
              <w:tr2bl w:val="nil"/>
            </w:tcBorders>
            <w:noWrap w:val="0"/>
            <w:vAlign w:val="center"/>
          </w:tcPr>
          <w:p w14:paraId="020CB8BC">
            <w:pPr>
              <w:pStyle w:val="9"/>
              <w:spacing w:line="480" w:lineRule="atLeast"/>
              <w:rPr>
                <w:rFonts w:hint="eastAsia" w:ascii="宋体" w:hAnsi="宋体" w:eastAsia="宋体" w:cs="宋体"/>
                <w:color w:val="auto"/>
                <w:sz w:val="18"/>
                <w:szCs w:val="18"/>
                <w:highlight w:val="none"/>
              </w:rPr>
            </w:pPr>
          </w:p>
        </w:tc>
      </w:tr>
      <w:tr w14:paraId="7398C74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647" w:hRule="atLeast"/>
        </w:trPr>
        <w:tc>
          <w:tcPr>
            <w:tcW w:w="649" w:type="dxa"/>
            <w:tcBorders>
              <w:tl2br w:val="nil"/>
              <w:tr2bl w:val="nil"/>
            </w:tcBorders>
            <w:noWrap w:val="0"/>
            <w:vAlign w:val="center"/>
          </w:tcPr>
          <w:p w14:paraId="4BAC7BE8">
            <w:pPr>
              <w:pStyle w:val="9"/>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p>
        </w:tc>
        <w:tc>
          <w:tcPr>
            <w:tcW w:w="2103" w:type="dxa"/>
            <w:tcBorders>
              <w:tl2br w:val="nil"/>
              <w:tr2bl w:val="nil"/>
            </w:tcBorders>
            <w:noWrap w:val="0"/>
            <w:vAlign w:val="center"/>
          </w:tcPr>
          <w:p w14:paraId="6945FA1A">
            <w:pPr>
              <w:pStyle w:val="9"/>
              <w:spacing w:line="32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逾期付款违约金的利率</w:t>
            </w:r>
          </w:p>
        </w:tc>
        <w:tc>
          <w:tcPr>
            <w:tcW w:w="1125" w:type="dxa"/>
            <w:tcBorders>
              <w:tl2br w:val="nil"/>
              <w:tr2bl w:val="nil"/>
            </w:tcBorders>
            <w:noWrap w:val="0"/>
            <w:vAlign w:val="center"/>
          </w:tcPr>
          <w:p w14:paraId="71E03F3C">
            <w:pPr>
              <w:pStyle w:val="9"/>
              <w:spacing w:line="32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17.3.3（2）</w:t>
            </w:r>
          </w:p>
        </w:tc>
        <w:tc>
          <w:tcPr>
            <w:tcW w:w="4575" w:type="dxa"/>
            <w:tcBorders>
              <w:tl2br w:val="nil"/>
              <w:tr2bl w:val="nil"/>
            </w:tcBorders>
            <w:noWrap w:val="0"/>
            <w:vAlign w:val="center"/>
          </w:tcPr>
          <w:p w14:paraId="546EE2B4">
            <w:pPr>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Cs w:val="21"/>
                <w:highlight w:val="none"/>
                <w:lang w:val="en-US" w:eastAsia="zh-CN"/>
              </w:rPr>
              <w:t>根据招标文件要求</w:t>
            </w:r>
          </w:p>
        </w:tc>
        <w:tc>
          <w:tcPr>
            <w:tcW w:w="750" w:type="dxa"/>
            <w:tcBorders>
              <w:tl2br w:val="nil"/>
              <w:tr2bl w:val="nil"/>
            </w:tcBorders>
            <w:noWrap w:val="0"/>
            <w:vAlign w:val="center"/>
          </w:tcPr>
          <w:p w14:paraId="67DEF175">
            <w:pPr>
              <w:pStyle w:val="9"/>
              <w:spacing w:line="480" w:lineRule="atLeast"/>
              <w:rPr>
                <w:rFonts w:hint="eastAsia" w:ascii="宋体" w:hAnsi="宋体" w:eastAsia="宋体" w:cs="宋体"/>
                <w:color w:val="auto"/>
                <w:sz w:val="18"/>
                <w:szCs w:val="18"/>
                <w:highlight w:val="none"/>
              </w:rPr>
            </w:pPr>
          </w:p>
        </w:tc>
      </w:tr>
      <w:tr w14:paraId="670701F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66" w:hRule="atLeast"/>
        </w:trPr>
        <w:tc>
          <w:tcPr>
            <w:tcW w:w="649" w:type="dxa"/>
            <w:tcBorders>
              <w:tl2br w:val="nil"/>
              <w:tr2bl w:val="nil"/>
            </w:tcBorders>
            <w:noWrap w:val="0"/>
            <w:vAlign w:val="center"/>
          </w:tcPr>
          <w:p w14:paraId="0E9CA55F">
            <w:pPr>
              <w:pStyle w:val="9"/>
              <w:jc w:val="center"/>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11</w:t>
            </w:r>
          </w:p>
        </w:tc>
        <w:tc>
          <w:tcPr>
            <w:tcW w:w="2103" w:type="dxa"/>
            <w:tcBorders>
              <w:tl2br w:val="nil"/>
              <w:tr2bl w:val="nil"/>
            </w:tcBorders>
            <w:noWrap w:val="0"/>
            <w:vAlign w:val="center"/>
          </w:tcPr>
          <w:p w14:paraId="62CB7E03">
            <w:pPr>
              <w:pStyle w:val="9"/>
              <w:spacing w:line="32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质量保证金限额</w:t>
            </w:r>
          </w:p>
        </w:tc>
        <w:tc>
          <w:tcPr>
            <w:tcW w:w="1125" w:type="dxa"/>
            <w:tcBorders>
              <w:tl2br w:val="nil"/>
              <w:tr2bl w:val="nil"/>
            </w:tcBorders>
            <w:noWrap w:val="0"/>
            <w:vAlign w:val="center"/>
          </w:tcPr>
          <w:p w14:paraId="6F0197A6">
            <w:pPr>
              <w:pStyle w:val="9"/>
              <w:spacing w:line="32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17.4.1</w:t>
            </w:r>
          </w:p>
        </w:tc>
        <w:tc>
          <w:tcPr>
            <w:tcW w:w="4575" w:type="dxa"/>
            <w:tcBorders>
              <w:tl2br w:val="nil"/>
              <w:tr2bl w:val="nil"/>
            </w:tcBorders>
            <w:noWrap w:val="0"/>
            <w:vAlign w:val="center"/>
          </w:tcPr>
          <w:p w14:paraId="21B5DF8C">
            <w:pPr>
              <w:spacing w:line="240" w:lineRule="exact"/>
              <w:rPr>
                <w:rFonts w:hint="default" w:ascii="宋体" w:hAnsi="宋体" w:eastAsia="宋体" w:cs="宋体"/>
                <w:color w:val="auto"/>
                <w:sz w:val="18"/>
                <w:szCs w:val="18"/>
                <w:highlight w:val="none"/>
                <w:lang w:val="en-US" w:eastAsia="zh-CN"/>
              </w:rPr>
            </w:pPr>
            <w:r>
              <w:rPr>
                <w:rFonts w:hint="eastAsia" w:ascii="宋体" w:hAnsi="宋体" w:eastAsia="宋体" w:cs="宋体"/>
                <w:color w:val="auto"/>
                <w:szCs w:val="21"/>
                <w:highlight w:val="none"/>
                <w:lang w:val="en-US" w:eastAsia="zh-CN"/>
              </w:rPr>
              <w:t>根据招标文件要求</w:t>
            </w:r>
          </w:p>
        </w:tc>
        <w:tc>
          <w:tcPr>
            <w:tcW w:w="750" w:type="dxa"/>
            <w:tcBorders>
              <w:tl2br w:val="nil"/>
              <w:tr2bl w:val="nil"/>
            </w:tcBorders>
            <w:noWrap w:val="0"/>
            <w:vAlign w:val="center"/>
          </w:tcPr>
          <w:p w14:paraId="06B4C9C8">
            <w:pPr>
              <w:pStyle w:val="9"/>
              <w:spacing w:line="480" w:lineRule="atLeast"/>
              <w:rPr>
                <w:rFonts w:hint="eastAsia" w:ascii="宋体" w:hAnsi="宋体" w:eastAsia="宋体" w:cs="宋体"/>
                <w:color w:val="auto"/>
                <w:sz w:val="18"/>
                <w:szCs w:val="18"/>
                <w:highlight w:val="none"/>
              </w:rPr>
            </w:pPr>
          </w:p>
        </w:tc>
      </w:tr>
    </w:tbl>
    <w:p w14:paraId="4B4D630B">
      <w:pPr>
        <w:pStyle w:val="9"/>
        <w:spacing w:line="500" w:lineRule="exact"/>
        <w:ind w:firstLine="3675" w:firstLineChars="1750"/>
        <w:rPr>
          <w:color w:val="auto"/>
          <w:szCs w:val="21"/>
          <w:highlight w:val="none"/>
        </w:rPr>
      </w:pPr>
    </w:p>
    <w:p w14:paraId="489490F6">
      <w:pPr>
        <w:pStyle w:val="9"/>
        <w:spacing w:line="500" w:lineRule="exact"/>
        <w:ind w:firstLine="3675" w:firstLineChars="1750"/>
        <w:rPr>
          <w:color w:val="auto"/>
          <w:szCs w:val="21"/>
          <w:highlight w:val="none"/>
        </w:rPr>
      </w:pPr>
      <w:r>
        <w:rPr>
          <w:color w:val="auto"/>
          <w:szCs w:val="21"/>
          <w:highlight w:val="none"/>
        </w:rPr>
        <w:t>投 标 人：</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（盖单位</w:t>
      </w:r>
      <w:r>
        <w:rPr>
          <w:rFonts w:hint="eastAsia"/>
          <w:color w:val="auto"/>
          <w:szCs w:val="21"/>
          <w:highlight w:val="none"/>
        </w:rPr>
        <w:t>电子公</w:t>
      </w:r>
      <w:r>
        <w:rPr>
          <w:color w:val="auto"/>
          <w:szCs w:val="21"/>
          <w:highlight w:val="none"/>
        </w:rPr>
        <w:t>章）</w:t>
      </w:r>
    </w:p>
    <w:p w14:paraId="71D4144B">
      <w:pPr>
        <w:pStyle w:val="9"/>
        <w:spacing w:line="500" w:lineRule="exact"/>
        <w:ind w:firstLine="3675" w:firstLineChars="1750"/>
        <w:rPr>
          <w:color w:val="auto"/>
          <w:szCs w:val="21"/>
          <w:highlight w:val="none"/>
        </w:rPr>
      </w:pPr>
      <w:r>
        <w:rPr>
          <w:color w:val="auto"/>
          <w:szCs w:val="21"/>
          <w:highlight w:val="none"/>
        </w:rPr>
        <w:t>法定代表人：</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w:t>
      </w:r>
      <w:r>
        <w:rPr>
          <w:rFonts w:hint="eastAsia"/>
          <w:color w:val="auto"/>
          <w:szCs w:val="21"/>
          <w:highlight w:val="none"/>
        </w:rPr>
        <w:t>盖法定代表人电子章</w:t>
      </w:r>
      <w:r>
        <w:rPr>
          <w:color w:val="auto"/>
          <w:szCs w:val="21"/>
          <w:highlight w:val="none"/>
        </w:rPr>
        <w:t>）</w:t>
      </w:r>
    </w:p>
    <w:p w14:paraId="4C170279">
      <w:pPr>
        <w:pStyle w:val="9"/>
        <w:spacing w:line="500" w:lineRule="exact"/>
        <w:ind w:firstLine="3675" w:firstLineChars="1750"/>
        <w:rPr>
          <w:rFonts w:hint="eastAsia"/>
          <w:color w:val="auto"/>
          <w:szCs w:val="21"/>
          <w:highlight w:val="none"/>
        </w:rPr>
      </w:pPr>
      <w:r>
        <w:rPr>
          <w:color w:val="auto"/>
          <w:szCs w:val="21"/>
          <w:highlight w:val="none"/>
        </w:rPr>
        <w:br w:type="page"/>
      </w:r>
    </w:p>
    <w:p w14:paraId="0CE78D35">
      <w:pPr>
        <w:pStyle w:val="9"/>
        <w:keepNext/>
        <w:keepLines/>
        <w:pageBreakBefore w:val="0"/>
        <w:widowControl w:val="0"/>
        <w:kinsoku/>
        <w:wordWrap/>
        <w:overflowPunct/>
        <w:topLinePunct w:val="0"/>
        <w:autoSpaceDE/>
        <w:autoSpaceDN/>
        <w:bidi w:val="0"/>
        <w:adjustRightInd/>
        <w:snapToGrid/>
        <w:spacing w:line="700" w:lineRule="exact"/>
        <w:jc w:val="center"/>
        <w:textAlignment w:val="auto"/>
        <w:outlineLvl w:val="2"/>
        <w:rPr>
          <w:rFonts w:ascii="Times New Roman" w:hAnsi="Times New Roman" w:eastAsia="黑体" w:cs="Times New Roman"/>
          <w:color w:val="auto"/>
          <w:sz w:val="30"/>
          <w:szCs w:val="30"/>
          <w:highlight w:val="none"/>
        </w:rPr>
      </w:pPr>
      <w:bookmarkStart w:id="813" w:name="_Toc13941"/>
      <w:r>
        <w:rPr>
          <w:rFonts w:ascii="Times New Roman" w:hAnsi="Times New Roman" w:eastAsia="黑体" w:cs="Times New Roman"/>
          <w:color w:val="auto"/>
          <w:sz w:val="30"/>
          <w:szCs w:val="30"/>
          <w:highlight w:val="none"/>
        </w:rPr>
        <w:t>二、法定代表人身份证明及授权委托书</w:t>
      </w:r>
      <w:bookmarkEnd w:id="813"/>
    </w:p>
    <w:p w14:paraId="3934FC78">
      <w:pPr>
        <w:pStyle w:val="9"/>
        <w:spacing w:line="440" w:lineRule="exact"/>
        <w:rPr>
          <w:color w:val="auto"/>
          <w:sz w:val="20"/>
          <w:szCs w:val="20"/>
          <w:highlight w:val="none"/>
        </w:rPr>
      </w:pPr>
    </w:p>
    <w:p w14:paraId="50E7292C">
      <w:pPr>
        <w:pStyle w:val="9"/>
        <w:keepNext/>
        <w:keepLines/>
        <w:spacing w:line="400" w:lineRule="exact"/>
        <w:jc w:val="center"/>
        <w:outlineLvl w:val="2"/>
        <w:rPr>
          <w:rFonts w:eastAsia="黑体"/>
          <w:color w:val="auto"/>
          <w:sz w:val="30"/>
          <w:szCs w:val="30"/>
          <w:highlight w:val="none"/>
        </w:rPr>
      </w:pPr>
      <w:bookmarkStart w:id="814" w:name="_Toc40"/>
      <w:bookmarkStart w:id="815" w:name="_Toc385863170"/>
      <w:bookmarkStart w:id="816" w:name="_Toc3725"/>
      <w:r>
        <w:rPr>
          <w:rFonts w:eastAsia="黑体"/>
          <w:color w:val="auto"/>
          <w:sz w:val="30"/>
          <w:szCs w:val="30"/>
          <w:highlight w:val="none"/>
        </w:rPr>
        <w:t>（一）法定代表人身份证明</w:t>
      </w:r>
      <w:bookmarkEnd w:id="814"/>
      <w:bookmarkEnd w:id="815"/>
      <w:bookmarkEnd w:id="816"/>
    </w:p>
    <w:p w14:paraId="640D9E77">
      <w:pPr>
        <w:pStyle w:val="9"/>
        <w:spacing w:line="440" w:lineRule="exact"/>
        <w:rPr>
          <w:color w:val="auto"/>
          <w:szCs w:val="21"/>
          <w:highlight w:val="none"/>
        </w:rPr>
      </w:pPr>
    </w:p>
    <w:p w14:paraId="6DDDE72F">
      <w:pPr>
        <w:pStyle w:val="9"/>
        <w:keepNext w:val="0"/>
        <w:keepLines w:val="0"/>
        <w:pageBreakBefore w:val="0"/>
        <w:widowControl w:val="0"/>
        <w:kinsoku/>
        <w:wordWrap/>
        <w:overflowPunct/>
        <w:topLinePunct w:val="0"/>
        <w:autoSpaceDE/>
        <w:autoSpaceDN/>
        <w:bidi w:val="0"/>
        <w:adjustRightInd/>
        <w:snapToGrid/>
        <w:spacing w:line="480" w:lineRule="exact"/>
        <w:textAlignment w:val="auto"/>
        <w:rPr>
          <w:color w:val="auto"/>
          <w:szCs w:val="21"/>
          <w:highlight w:val="none"/>
        </w:rPr>
      </w:pPr>
      <w:r>
        <w:rPr>
          <w:color w:val="auto"/>
          <w:szCs w:val="21"/>
          <w:highlight w:val="none"/>
        </w:rPr>
        <w:t>投标人名称：</w:t>
      </w:r>
      <w:r>
        <w:rPr>
          <w:color w:val="auto"/>
          <w:szCs w:val="21"/>
          <w:highlight w:val="none"/>
          <w:u w:val="single"/>
        </w:rPr>
        <w:t xml:space="preserve">                            </w:t>
      </w:r>
      <w:r>
        <w:rPr>
          <w:color w:val="auto"/>
          <w:szCs w:val="21"/>
          <w:highlight w:val="none"/>
        </w:rPr>
        <w:t xml:space="preserve"> </w:t>
      </w:r>
    </w:p>
    <w:p w14:paraId="7866D6A9">
      <w:pPr>
        <w:pStyle w:val="9"/>
        <w:keepNext w:val="0"/>
        <w:keepLines w:val="0"/>
        <w:pageBreakBefore w:val="0"/>
        <w:widowControl w:val="0"/>
        <w:kinsoku/>
        <w:wordWrap/>
        <w:overflowPunct/>
        <w:topLinePunct w:val="0"/>
        <w:autoSpaceDE/>
        <w:autoSpaceDN/>
        <w:bidi w:val="0"/>
        <w:adjustRightInd/>
        <w:snapToGrid/>
        <w:spacing w:line="480" w:lineRule="exact"/>
        <w:textAlignment w:val="auto"/>
        <w:rPr>
          <w:color w:val="auto"/>
          <w:szCs w:val="21"/>
          <w:highlight w:val="none"/>
        </w:rPr>
      </w:pPr>
      <w:r>
        <w:rPr>
          <w:color w:val="auto"/>
          <w:szCs w:val="21"/>
          <w:highlight w:val="none"/>
        </w:rPr>
        <w:t>单位性质：</w:t>
      </w:r>
      <w:r>
        <w:rPr>
          <w:color w:val="auto"/>
          <w:szCs w:val="21"/>
          <w:highlight w:val="none"/>
          <w:u w:val="single"/>
        </w:rPr>
        <w:t xml:space="preserve">                               </w:t>
      </w:r>
      <w:r>
        <w:rPr>
          <w:color w:val="auto"/>
          <w:szCs w:val="21"/>
          <w:highlight w:val="none"/>
        </w:rPr>
        <w:t xml:space="preserve"> </w:t>
      </w:r>
    </w:p>
    <w:p w14:paraId="112EE75E">
      <w:pPr>
        <w:pStyle w:val="9"/>
        <w:keepNext w:val="0"/>
        <w:keepLines w:val="0"/>
        <w:pageBreakBefore w:val="0"/>
        <w:widowControl w:val="0"/>
        <w:kinsoku/>
        <w:wordWrap/>
        <w:overflowPunct/>
        <w:topLinePunct w:val="0"/>
        <w:autoSpaceDE/>
        <w:autoSpaceDN/>
        <w:bidi w:val="0"/>
        <w:adjustRightInd/>
        <w:snapToGrid/>
        <w:spacing w:line="480" w:lineRule="exact"/>
        <w:textAlignment w:val="auto"/>
        <w:rPr>
          <w:color w:val="auto"/>
          <w:szCs w:val="21"/>
          <w:highlight w:val="none"/>
        </w:rPr>
      </w:pPr>
      <w:r>
        <w:rPr>
          <w:color w:val="auto"/>
          <w:szCs w:val="21"/>
          <w:highlight w:val="none"/>
        </w:rPr>
        <w:t>地    址：</w:t>
      </w:r>
      <w:r>
        <w:rPr>
          <w:color w:val="auto"/>
          <w:szCs w:val="21"/>
          <w:highlight w:val="none"/>
          <w:u w:val="single"/>
        </w:rPr>
        <w:t xml:space="preserve">                              </w:t>
      </w:r>
    </w:p>
    <w:p w14:paraId="5BE42C0A">
      <w:pPr>
        <w:pStyle w:val="9"/>
        <w:keepNext w:val="0"/>
        <w:keepLines w:val="0"/>
        <w:pageBreakBefore w:val="0"/>
        <w:widowControl w:val="0"/>
        <w:kinsoku/>
        <w:wordWrap/>
        <w:overflowPunct/>
        <w:topLinePunct w:val="0"/>
        <w:autoSpaceDE/>
        <w:autoSpaceDN/>
        <w:bidi w:val="0"/>
        <w:adjustRightInd/>
        <w:snapToGrid/>
        <w:spacing w:line="480" w:lineRule="exact"/>
        <w:textAlignment w:val="auto"/>
        <w:rPr>
          <w:color w:val="auto"/>
          <w:szCs w:val="21"/>
          <w:highlight w:val="none"/>
        </w:rPr>
      </w:pPr>
      <w:r>
        <w:rPr>
          <w:color w:val="auto"/>
          <w:szCs w:val="21"/>
          <w:highlight w:val="none"/>
        </w:rPr>
        <w:t>成立时间：</w:t>
      </w:r>
      <w:r>
        <w:rPr>
          <w:color w:val="auto"/>
          <w:szCs w:val="21"/>
          <w:highlight w:val="none"/>
          <w:u w:val="single"/>
        </w:rPr>
        <w:t xml:space="preserve">         </w:t>
      </w:r>
      <w:r>
        <w:rPr>
          <w:color w:val="auto"/>
          <w:szCs w:val="21"/>
          <w:highlight w:val="none"/>
        </w:rPr>
        <w:t xml:space="preserve"> 年</w:t>
      </w:r>
      <w:r>
        <w:rPr>
          <w:color w:val="auto"/>
          <w:szCs w:val="21"/>
          <w:highlight w:val="none"/>
          <w:u w:val="single"/>
        </w:rPr>
        <w:t xml:space="preserve">       </w:t>
      </w:r>
      <w:r>
        <w:rPr>
          <w:color w:val="auto"/>
          <w:szCs w:val="21"/>
          <w:highlight w:val="none"/>
        </w:rPr>
        <w:t xml:space="preserve"> 月</w:t>
      </w:r>
      <w:r>
        <w:rPr>
          <w:color w:val="auto"/>
          <w:szCs w:val="21"/>
          <w:highlight w:val="none"/>
          <w:u w:val="single"/>
        </w:rPr>
        <w:t xml:space="preserve">       </w:t>
      </w:r>
      <w:r>
        <w:rPr>
          <w:color w:val="auto"/>
          <w:szCs w:val="21"/>
          <w:highlight w:val="none"/>
        </w:rPr>
        <w:t xml:space="preserve"> 日</w:t>
      </w:r>
    </w:p>
    <w:p w14:paraId="0175FA46">
      <w:pPr>
        <w:pStyle w:val="9"/>
        <w:keepNext w:val="0"/>
        <w:keepLines w:val="0"/>
        <w:pageBreakBefore w:val="0"/>
        <w:widowControl w:val="0"/>
        <w:kinsoku/>
        <w:wordWrap/>
        <w:overflowPunct/>
        <w:topLinePunct w:val="0"/>
        <w:autoSpaceDE/>
        <w:autoSpaceDN/>
        <w:bidi w:val="0"/>
        <w:adjustRightInd/>
        <w:snapToGrid/>
        <w:spacing w:line="480" w:lineRule="exact"/>
        <w:textAlignment w:val="auto"/>
        <w:rPr>
          <w:color w:val="auto"/>
          <w:szCs w:val="21"/>
          <w:highlight w:val="none"/>
        </w:rPr>
      </w:pPr>
      <w:r>
        <w:rPr>
          <w:color w:val="auto"/>
          <w:szCs w:val="21"/>
          <w:highlight w:val="none"/>
        </w:rPr>
        <w:t>经营期限：</w:t>
      </w:r>
      <w:r>
        <w:rPr>
          <w:color w:val="auto"/>
          <w:szCs w:val="21"/>
          <w:highlight w:val="none"/>
          <w:u w:val="single"/>
        </w:rPr>
        <w:t xml:space="preserve">                               </w:t>
      </w:r>
    </w:p>
    <w:p w14:paraId="5E80EE24">
      <w:pPr>
        <w:pStyle w:val="9"/>
        <w:keepNext w:val="0"/>
        <w:keepLines w:val="0"/>
        <w:pageBreakBefore w:val="0"/>
        <w:widowControl w:val="0"/>
        <w:kinsoku/>
        <w:wordWrap/>
        <w:overflowPunct/>
        <w:topLinePunct w:val="0"/>
        <w:autoSpaceDE/>
        <w:autoSpaceDN/>
        <w:bidi w:val="0"/>
        <w:adjustRightInd/>
        <w:snapToGrid/>
        <w:spacing w:line="480" w:lineRule="exact"/>
        <w:textAlignment w:val="auto"/>
        <w:rPr>
          <w:color w:val="auto"/>
          <w:szCs w:val="21"/>
          <w:highlight w:val="none"/>
        </w:rPr>
      </w:pPr>
      <w:r>
        <w:rPr>
          <w:color w:val="auto"/>
          <w:szCs w:val="21"/>
          <w:highlight w:val="none"/>
        </w:rPr>
        <w:t>姓名：</w:t>
      </w:r>
      <w:r>
        <w:rPr>
          <w:color w:val="auto"/>
          <w:szCs w:val="21"/>
          <w:highlight w:val="none"/>
          <w:u w:val="single"/>
        </w:rPr>
        <w:t xml:space="preserve">   </w:t>
      </w:r>
      <w:r>
        <w:rPr>
          <w:rFonts w:hint="eastAsia"/>
          <w:b/>
          <w:bCs/>
          <w:color w:val="auto"/>
          <w:szCs w:val="21"/>
          <w:highlight w:val="none"/>
          <w:u w:val="single"/>
        </w:rPr>
        <w:t>（法定代表人姓名）</w:t>
      </w:r>
      <w:r>
        <w:rPr>
          <w:color w:val="auto"/>
          <w:szCs w:val="21"/>
          <w:highlight w:val="none"/>
          <w:u w:val="single"/>
        </w:rPr>
        <w:t xml:space="preserve">  </w:t>
      </w:r>
      <w:r>
        <w:rPr>
          <w:color w:val="auto"/>
          <w:szCs w:val="21"/>
          <w:highlight w:val="none"/>
        </w:rPr>
        <w:t xml:space="preserve"> 性别：</w:t>
      </w:r>
      <w:r>
        <w:rPr>
          <w:color w:val="auto"/>
          <w:szCs w:val="21"/>
          <w:highlight w:val="none"/>
          <w:u w:val="single"/>
        </w:rPr>
        <w:t xml:space="preserve">      </w:t>
      </w:r>
      <w:r>
        <w:rPr>
          <w:color w:val="auto"/>
          <w:szCs w:val="21"/>
          <w:highlight w:val="none"/>
        </w:rPr>
        <w:t xml:space="preserve"> 年龄：</w:t>
      </w:r>
      <w:r>
        <w:rPr>
          <w:color w:val="auto"/>
          <w:szCs w:val="21"/>
          <w:highlight w:val="none"/>
          <w:u w:val="single"/>
        </w:rPr>
        <w:t xml:space="preserve">     </w:t>
      </w:r>
      <w:r>
        <w:rPr>
          <w:color w:val="auto"/>
          <w:szCs w:val="21"/>
          <w:highlight w:val="none"/>
        </w:rPr>
        <w:t>职务：</w:t>
      </w:r>
      <w:r>
        <w:rPr>
          <w:color w:val="auto"/>
          <w:szCs w:val="21"/>
          <w:highlight w:val="none"/>
          <w:u w:val="single"/>
        </w:rPr>
        <w:t xml:space="preserve">        </w:t>
      </w:r>
      <w:r>
        <w:rPr>
          <w:color w:val="auto"/>
          <w:szCs w:val="21"/>
          <w:highlight w:val="none"/>
        </w:rPr>
        <w:t>系</w:t>
      </w:r>
      <w:r>
        <w:rPr>
          <w:color w:val="auto"/>
          <w:szCs w:val="21"/>
          <w:highlight w:val="none"/>
          <w:u w:val="single"/>
        </w:rPr>
        <w:t xml:space="preserve">  （投标人名称）</w:t>
      </w:r>
      <w:r>
        <w:rPr>
          <w:color w:val="auto"/>
          <w:szCs w:val="21"/>
          <w:highlight w:val="none"/>
        </w:rPr>
        <w:t>的法定代表人。</w:t>
      </w:r>
    </w:p>
    <w:p w14:paraId="746EEA6D">
      <w:pPr>
        <w:pStyle w:val="9"/>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color w:val="auto"/>
          <w:szCs w:val="21"/>
          <w:highlight w:val="none"/>
        </w:rPr>
      </w:pPr>
      <w:r>
        <w:rPr>
          <w:color w:val="auto"/>
          <w:szCs w:val="21"/>
          <w:highlight w:val="none"/>
        </w:rPr>
        <w:t>特此证明。</w:t>
      </w:r>
    </w:p>
    <w:p w14:paraId="12DF2E68">
      <w:pPr>
        <w:pStyle w:val="9"/>
        <w:spacing w:line="440" w:lineRule="exact"/>
        <w:rPr>
          <w:color w:val="auto"/>
          <w:szCs w:val="21"/>
          <w:highlight w:val="none"/>
        </w:rPr>
      </w:pPr>
    </w:p>
    <w:p w14:paraId="465BCE7E">
      <w:pPr>
        <w:pStyle w:val="9"/>
        <w:spacing w:line="440" w:lineRule="exact"/>
        <w:rPr>
          <w:color w:val="auto"/>
          <w:szCs w:val="21"/>
          <w:highlight w:val="none"/>
        </w:rPr>
      </w:pPr>
    </w:p>
    <w:p w14:paraId="359B6F80">
      <w:pPr>
        <w:pStyle w:val="9"/>
        <w:spacing w:line="440" w:lineRule="exact"/>
        <w:rPr>
          <w:color w:val="auto"/>
          <w:szCs w:val="21"/>
          <w:highlight w:val="none"/>
        </w:rPr>
      </w:pPr>
      <w:r>
        <w:rPr>
          <w:color w:val="auto"/>
          <w:szCs w:val="21"/>
          <w:highlight w:val="none"/>
        </w:rPr>
        <w:t xml:space="preserve">                                  投标人：</w:t>
      </w:r>
      <w:r>
        <w:rPr>
          <w:color w:val="auto"/>
          <w:szCs w:val="21"/>
          <w:highlight w:val="none"/>
          <w:u w:val="single"/>
        </w:rPr>
        <w:t xml:space="preserve">                 </w:t>
      </w:r>
      <w:r>
        <w:rPr>
          <w:color w:val="auto"/>
          <w:szCs w:val="21"/>
          <w:highlight w:val="none"/>
        </w:rPr>
        <w:t>（盖单位</w:t>
      </w:r>
      <w:r>
        <w:rPr>
          <w:rFonts w:hint="eastAsia"/>
          <w:color w:val="auto"/>
          <w:szCs w:val="21"/>
          <w:highlight w:val="none"/>
        </w:rPr>
        <w:t>电子公</w:t>
      </w:r>
      <w:r>
        <w:rPr>
          <w:color w:val="auto"/>
          <w:szCs w:val="21"/>
          <w:highlight w:val="none"/>
        </w:rPr>
        <w:t>章）</w:t>
      </w:r>
    </w:p>
    <w:p w14:paraId="00D5AC0B">
      <w:pPr>
        <w:pStyle w:val="14"/>
        <w:spacing w:line="440" w:lineRule="exact"/>
        <w:rPr>
          <w:color w:val="auto"/>
          <w:highlight w:val="none"/>
          <w:lang w:val="en-US" w:eastAsia="zh-CN"/>
        </w:rPr>
      </w:pPr>
      <w:r>
        <w:rPr>
          <w:rFonts w:hint="eastAsia"/>
          <w:color w:val="auto"/>
          <w:szCs w:val="21"/>
          <w:highlight w:val="none"/>
          <w:lang w:val="en-US" w:eastAsia="zh-CN"/>
        </w:rPr>
        <w:t xml:space="preserve">         法定代表人联系电话：</w:t>
      </w:r>
      <w:r>
        <w:rPr>
          <w:color w:val="auto"/>
          <w:szCs w:val="21"/>
          <w:highlight w:val="none"/>
          <w:u w:val="single"/>
        </w:rPr>
        <w:t xml:space="preserve">                 </w:t>
      </w:r>
    </w:p>
    <w:p w14:paraId="78432AE6">
      <w:pPr>
        <w:pStyle w:val="9"/>
        <w:spacing w:line="440" w:lineRule="exact"/>
        <w:rPr>
          <w:color w:val="auto"/>
          <w:szCs w:val="21"/>
          <w:highlight w:val="none"/>
        </w:rPr>
      </w:pPr>
      <w:r>
        <w:rPr>
          <w:color w:val="auto"/>
          <w:szCs w:val="21"/>
          <w:highlight w:val="none"/>
        </w:rPr>
        <w:t xml:space="preserve">                                       </w:t>
      </w:r>
      <w:r>
        <w:rPr>
          <w:color w:val="auto"/>
          <w:szCs w:val="21"/>
          <w:highlight w:val="none"/>
          <w:u w:val="single"/>
        </w:rPr>
        <w:t xml:space="preserve">       </w:t>
      </w:r>
      <w:r>
        <w:rPr>
          <w:color w:val="auto"/>
          <w:szCs w:val="21"/>
          <w:highlight w:val="none"/>
        </w:rPr>
        <w:t>年</w:t>
      </w:r>
      <w:r>
        <w:rPr>
          <w:color w:val="auto"/>
          <w:szCs w:val="21"/>
          <w:highlight w:val="none"/>
          <w:u w:val="single"/>
        </w:rPr>
        <w:t xml:space="preserve">       </w:t>
      </w:r>
      <w:r>
        <w:rPr>
          <w:color w:val="auto"/>
          <w:szCs w:val="21"/>
          <w:highlight w:val="none"/>
        </w:rPr>
        <w:t>月</w:t>
      </w:r>
      <w:r>
        <w:rPr>
          <w:color w:val="auto"/>
          <w:szCs w:val="21"/>
          <w:highlight w:val="none"/>
          <w:u w:val="single"/>
        </w:rPr>
        <w:t xml:space="preserve">       </w:t>
      </w:r>
      <w:r>
        <w:rPr>
          <w:color w:val="auto"/>
          <w:szCs w:val="21"/>
          <w:highlight w:val="none"/>
        </w:rPr>
        <w:t xml:space="preserve">日 </w:t>
      </w:r>
    </w:p>
    <w:p w14:paraId="7FF8CBAC">
      <w:pPr>
        <w:pStyle w:val="9"/>
        <w:spacing w:line="440" w:lineRule="exact"/>
        <w:rPr>
          <w:rFonts w:eastAsia="黑体"/>
          <w:color w:val="auto"/>
          <w:sz w:val="20"/>
          <w:szCs w:val="20"/>
          <w:highlight w:val="none"/>
        </w:rPr>
      </w:pPr>
    </w:p>
    <w:p w14:paraId="1A4D1A68">
      <w:pPr>
        <w:pStyle w:val="9"/>
        <w:spacing w:line="440" w:lineRule="exact"/>
        <w:rPr>
          <w:rFonts w:eastAsia="黑体"/>
          <w:color w:val="auto"/>
          <w:sz w:val="20"/>
          <w:szCs w:val="20"/>
          <w:highlight w:val="none"/>
        </w:rPr>
      </w:pPr>
    </w:p>
    <w:p w14:paraId="7509E47B">
      <w:pPr>
        <w:pStyle w:val="9"/>
        <w:spacing w:line="420" w:lineRule="exact"/>
        <w:ind w:firstLine="630" w:firstLineChars="300"/>
        <w:jc w:val="left"/>
        <w:rPr>
          <w:rFonts w:hint="eastAsia" w:ascii="宋体" w:hAnsi="宋体"/>
          <w:b/>
          <w:bCs/>
          <w:color w:val="auto"/>
          <w:szCs w:val="21"/>
          <w:highlight w:val="none"/>
        </w:rPr>
      </w:pPr>
      <w:bookmarkStart w:id="817" w:name="_Hlk28338768"/>
      <w:r>
        <w:rPr>
          <w:rFonts w:hint="eastAsia" w:ascii="宋体" w:hAnsi="宋体"/>
          <w:b/>
          <w:bCs/>
          <w:color w:val="auto"/>
          <w:szCs w:val="21"/>
          <w:highlight w:val="none"/>
        </w:rPr>
        <w:t>附：法定代表人身份证正、反</w:t>
      </w:r>
      <w:r>
        <w:rPr>
          <w:rFonts w:hint="eastAsia" w:ascii="宋体" w:hAnsi="宋体" w:eastAsia="宋体"/>
          <w:b/>
          <w:bCs/>
          <w:color w:val="auto"/>
          <w:szCs w:val="21"/>
          <w:highlight w:val="none"/>
          <w:lang w:val="en-US" w:eastAsia="zh-CN"/>
        </w:rPr>
        <w:t>双</w:t>
      </w:r>
      <w:r>
        <w:rPr>
          <w:rFonts w:hint="eastAsia" w:ascii="宋体" w:hAnsi="宋体"/>
          <w:b/>
          <w:bCs/>
          <w:color w:val="auto"/>
          <w:szCs w:val="21"/>
          <w:highlight w:val="none"/>
        </w:rPr>
        <w:t>面</w:t>
      </w:r>
      <w:r>
        <w:rPr>
          <w:rFonts w:hint="eastAsia" w:ascii="宋体" w:hAnsi="宋体" w:eastAsia="宋体"/>
          <w:b/>
          <w:bCs/>
          <w:color w:val="auto"/>
          <w:szCs w:val="21"/>
          <w:highlight w:val="none"/>
          <w:lang w:val="en-US" w:eastAsia="zh-CN"/>
        </w:rPr>
        <w:t>清晰可辨的复制</w:t>
      </w:r>
      <w:r>
        <w:rPr>
          <w:rFonts w:hint="eastAsia" w:ascii="宋体" w:hAnsi="宋体"/>
          <w:b/>
          <w:bCs/>
          <w:color w:val="auto"/>
          <w:szCs w:val="21"/>
          <w:highlight w:val="none"/>
        </w:rPr>
        <w:t>件。</w:t>
      </w:r>
    </w:p>
    <w:bookmarkEnd w:id="817"/>
    <w:p w14:paraId="0D7FCD09">
      <w:pPr>
        <w:pStyle w:val="9"/>
        <w:spacing w:line="440" w:lineRule="exact"/>
        <w:rPr>
          <w:rFonts w:eastAsia="黑体"/>
          <w:color w:val="auto"/>
          <w:sz w:val="20"/>
          <w:szCs w:val="20"/>
          <w:highlight w:val="none"/>
        </w:rPr>
      </w:pPr>
    </w:p>
    <w:p w14:paraId="2F8032CD">
      <w:pPr>
        <w:pStyle w:val="9"/>
        <w:spacing w:line="440" w:lineRule="exact"/>
        <w:ind w:firstLine="400" w:firstLineChars="200"/>
        <w:rPr>
          <w:rFonts w:eastAsia="黑体"/>
          <w:color w:val="auto"/>
          <w:sz w:val="20"/>
          <w:szCs w:val="20"/>
          <w:highlight w:val="none"/>
        </w:rPr>
      </w:pPr>
    </w:p>
    <w:p w14:paraId="2316B5AF">
      <w:pPr>
        <w:pStyle w:val="9"/>
        <w:spacing w:line="440" w:lineRule="exact"/>
        <w:ind w:firstLine="400" w:firstLineChars="200"/>
        <w:rPr>
          <w:rFonts w:eastAsia="黑体"/>
          <w:color w:val="auto"/>
          <w:sz w:val="20"/>
          <w:szCs w:val="20"/>
          <w:highlight w:val="none"/>
        </w:rPr>
      </w:pPr>
    </w:p>
    <w:p w14:paraId="14FFAFA4">
      <w:pPr>
        <w:pStyle w:val="37"/>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b w:val="0"/>
          <w:bCs w:val="0"/>
          <w:color w:val="auto"/>
          <w:sz w:val="18"/>
          <w:szCs w:val="18"/>
          <w:highlight w:val="none"/>
          <w:lang w:val="en-US" w:eastAsia="zh-CN"/>
        </w:rPr>
      </w:pPr>
      <w:r>
        <w:rPr>
          <w:rFonts w:hint="eastAsia" w:ascii="宋体" w:hAnsi="宋体"/>
          <w:b w:val="0"/>
          <w:bCs w:val="0"/>
          <w:color w:val="auto"/>
          <w:sz w:val="18"/>
          <w:szCs w:val="18"/>
          <w:highlight w:val="none"/>
          <w:lang w:val="en-US" w:eastAsia="zh-CN"/>
        </w:rPr>
        <w:t>注：1.由投标人法定代表人签署并递交投标文件的，投标文件中只需提供法定代表人身份证明。</w:t>
      </w:r>
    </w:p>
    <w:p w14:paraId="7ECC6BBF">
      <w:pPr>
        <w:pStyle w:val="9"/>
        <w:spacing w:line="440" w:lineRule="exact"/>
        <w:ind w:firstLine="720" w:firstLineChars="400"/>
        <w:rPr>
          <w:rFonts w:eastAsia="黑体"/>
          <w:color w:val="auto"/>
          <w:sz w:val="20"/>
          <w:szCs w:val="20"/>
          <w:highlight w:val="none"/>
        </w:rPr>
      </w:pPr>
      <w:r>
        <w:rPr>
          <w:rFonts w:hint="eastAsia" w:ascii="宋体" w:hAnsi="宋体" w:eastAsia="宋体" w:cs="宋体"/>
          <w:b w:val="0"/>
          <w:bCs w:val="0"/>
          <w:color w:val="auto"/>
          <w:kern w:val="2"/>
          <w:sz w:val="18"/>
          <w:szCs w:val="18"/>
          <w:highlight w:val="none"/>
          <w:lang w:val="en-US" w:eastAsia="zh-CN" w:bidi="ar-SA"/>
        </w:rPr>
        <w:t>2.联合体投标的，法定代表人身份证明由联合体牵头人提供。</w:t>
      </w:r>
      <w:r>
        <w:rPr>
          <w:rFonts w:eastAsia="黑体"/>
          <w:color w:val="auto"/>
          <w:sz w:val="20"/>
          <w:szCs w:val="20"/>
          <w:highlight w:val="none"/>
        </w:rPr>
        <w:br w:type="page"/>
      </w:r>
    </w:p>
    <w:p w14:paraId="7EF91AF2">
      <w:pPr>
        <w:pStyle w:val="9"/>
        <w:keepNext/>
        <w:keepLines/>
        <w:spacing w:line="400" w:lineRule="exact"/>
        <w:jc w:val="center"/>
        <w:outlineLvl w:val="2"/>
        <w:rPr>
          <w:rFonts w:eastAsia="黑体"/>
          <w:color w:val="auto"/>
          <w:sz w:val="30"/>
          <w:szCs w:val="30"/>
          <w:highlight w:val="none"/>
        </w:rPr>
      </w:pPr>
      <w:bookmarkStart w:id="818" w:name="_Toc28026"/>
      <w:bookmarkStart w:id="819" w:name="_Toc8681"/>
      <w:bookmarkStart w:id="820" w:name="_Toc385863171"/>
      <w:r>
        <w:rPr>
          <w:rFonts w:eastAsia="黑体"/>
          <w:color w:val="auto"/>
          <w:sz w:val="30"/>
          <w:szCs w:val="30"/>
          <w:highlight w:val="none"/>
        </w:rPr>
        <w:t>（二）授权委托书</w:t>
      </w:r>
      <w:bookmarkEnd w:id="818"/>
      <w:bookmarkEnd w:id="819"/>
      <w:bookmarkEnd w:id="820"/>
    </w:p>
    <w:p w14:paraId="380B51DA">
      <w:pPr>
        <w:pStyle w:val="9"/>
        <w:spacing w:line="440" w:lineRule="exact"/>
        <w:rPr>
          <w:rFonts w:eastAsia="黑体"/>
          <w:color w:val="auto"/>
          <w:szCs w:val="21"/>
          <w:highlight w:val="none"/>
        </w:rPr>
      </w:pPr>
    </w:p>
    <w:p w14:paraId="7D2DCFD1">
      <w:pPr>
        <w:pStyle w:val="9"/>
        <w:topLinePunct/>
        <w:spacing w:line="440" w:lineRule="exact"/>
        <w:ind w:firstLine="420" w:firstLineChars="200"/>
        <w:rPr>
          <w:color w:val="auto"/>
          <w:szCs w:val="21"/>
          <w:highlight w:val="none"/>
        </w:rPr>
      </w:pPr>
      <w:r>
        <w:rPr>
          <w:color w:val="auto"/>
          <w:szCs w:val="21"/>
          <w:highlight w:val="none"/>
        </w:rPr>
        <w:t>本人</w:t>
      </w:r>
      <w:r>
        <w:rPr>
          <w:color w:val="auto"/>
          <w:szCs w:val="21"/>
          <w:highlight w:val="none"/>
          <w:u w:val="single"/>
        </w:rPr>
        <w:t xml:space="preserve">   </w:t>
      </w:r>
      <w:r>
        <w:rPr>
          <w:rFonts w:hint="eastAsia" w:eastAsia="宋体"/>
          <w:color w:val="auto"/>
          <w:szCs w:val="21"/>
          <w:highlight w:val="none"/>
          <w:u w:val="single"/>
          <w:lang w:val="en-US" w:eastAsia="zh-CN"/>
        </w:rPr>
        <w:t xml:space="preserve">   </w:t>
      </w:r>
      <w:r>
        <w:rPr>
          <w:color w:val="auto"/>
          <w:szCs w:val="21"/>
          <w:highlight w:val="none"/>
          <w:u w:val="single"/>
        </w:rPr>
        <w:t xml:space="preserve">    </w:t>
      </w:r>
      <w:r>
        <w:rPr>
          <w:color w:val="auto"/>
          <w:szCs w:val="21"/>
          <w:highlight w:val="none"/>
        </w:rPr>
        <w:t>（姓名）系</w:t>
      </w:r>
      <w:r>
        <w:rPr>
          <w:color w:val="auto"/>
          <w:szCs w:val="21"/>
          <w:highlight w:val="none"/>
          <w:u w:val="single"/>
        </w:rPr>
        <w:t xml:space="preserve">   </w:t>
      </w:r>
      <w:r>
        <w:rPr>
          <w:rFonts w:hint="eastAsia" w:eastAsia="宋体"/>
          <w:color w:val="auto"/>
          <w:szCs w:val="21"/>
          <w:highlight w:val="none"/>
          <w:u w:val="single"/>
          <w:lang w:val="en-US" w:eastAsia="zh-CN"/>
        </w:rPr>
        <w:t xml:space="preserve">   </w:t>
      </w:r>
      <w:r>
        <w:rPr>
          <w:color w:val="auto"/>
          <w:szCs w:val="21"/>
          <w:highlight w:val="none"/>
          <w:u w:val="single"/>
        </w:rPr>
        <w:t xml:space="preserve">  </w:t>
      </w:r>
      <w:r>
        <w:rPr>
          <w:color w:val="auto"/>
          <w:szCs w:val="21"/>
          <w:highlight w:val="none"/>
        </w:rPr>
        <w:t>（投标人名称）的法定代表人，现委托</w:t>
      </w:r>
      <w:r>
        <w:rPr>
          <w:color w:val="auto"/>
          <w:szCs w:val="21"/>
          <w:highlight w:val="none"/>
          <w:u w:val="single"/>
        </w:rPr>
        <w:t xml:space="preserve">   </w:t>
      </w:r>
      <w:r>
        <w:rPr>
          <w:rFonts w:hint="eastAsia" w:eastAsia="宋体"/>
          <w:color w:val="auto"/>
          <w:szCs w:val="21"/>
          <w:highlight w:val="none"/>
          <w:u w:val="single"/>
          <w:lang w:val="en-US" w:eastAsia="zh-CN"/>
        </w:rPr>
        <w:t xml:space="preserve">  </w:t>
      </w:r>
      <w:r>
        <w:rPr>
          <w:color w:val="auto"/>
          <w:szCs w:val="21"/>
          <w:highlight w:val="none"/>
          <w:u w:val="single"/>
        </w:rPr>
        <w:t xml:space="preserve">   </w:t>
      </w:r>
      <w:r>
        <w:rPr>
          <w:color w:val="auto"/>
          <w:szCs w:val="21"/>
          <w:highlight w:val="none"/>
        </w:rPr>
        <w:t>（姓名）为我方代理人。代理人根据授权，以我方名义签署、澄清、说明、补正、递交、撤回、修改</w:t>
      </w:r>
      <w:r>
        <w:rPr>
          <w:rFonts w:hint="eastAsia" w:eastAsia="宋体"/>
          <w:color w:val="auto"/>
          <w:szCs w:val="21"/>
          <w:highlight w:val="none"/>
          <w:u w:val="single"/>
          <w:lang w:val="en-US" w:eastAsia="zh-CN"/>
        </w:rPr>
        <w:t xml:space="preserve"> </w:t>
      </w:r>
      <w:r>
        <w:rPr>
          <w:color w:val="auto"/>
          <w:szCs w:val="21"/>
          <w:highlight w:val="none"/>
          <w:u w:val="single"/>
        </w:rPr>
        <w:t xml:space="preserve">     </w:t>
      </w:r>
      <w:r>
        <w:rPr>
          <w:rFonts w:hint="eastAsia" w:eastAsia="宋体"/>
          <w:color w:val="auto"/>
          <w:szCs w:val="21"/>
          <w:highlight w:val="none"/>
          <w:u w:val="single"/>
          <w:lang w:val="en-US" w:eastAsia="zh-CN"/>
        </w:rPr>
        <w:t xml:space="preserve">   </w:t>
      </w:r>
      <w:r>
        <w:rPr>
          <w:color w:val="auto"/>
          <w:szCs w:val="21"/>
          <w:highlight w:val="none"/>
          <w:u w:val="single"/>
        </w:rPr>
        <w:t xml:space="preserve">   </w:t>
      </w:r>
      <w:r>
        <w:rPr>
          <w:color w:val="auto"/>
          <w:szCs w:val="21"/>
          <w:highlight w:val="none"/>
          <w:u w:val="none"/>
        </w:rPr>
        <w:t>（项目名称）</w:t>
      </w:r>
      <w:r>
        <w:rPr>
          <w:color w:val="auto"/>
          <w:szCs w:val="21"/>
          <w:highlight w:val="none"/>
        </w:rPr>
        <w:t>投标文件、签订合同和处理有关事宜，其法律后果由我方承担。</w:t>
      </w:r>
    </w:p>
    <w:p w14:paraId="553A1C21">
      <w:pPr>
        <w:pStyle w:val="9"/>
        <w:spacing w:line="440" w:lineRule="exact"/>
        <w:rPr>
          <w:color w:val="auto"/>
          <w:szCs w:val="21"/>
          <w:highlight w:val="none"/>
        </w:rPr>
      </w:pPr>
      <w:r>
        <w:rPr>
          <w:color w:val="auto"/>
          <w:szCs w:val="21"/>
          <w:highlight w:val="none"/>
        </w:rPr>
        <w:t xml:space="preserve">    委托期限：</w:t>
      </w:r>
      <w:r>
        <w:rPr>
          <w:rFonts w:hint="eastAsia" w:ascii="Times New Roman" w:hAnsi="Times New Roman" w:eastAsia="Times New Roman" w:cs="Times New Roman"/>
          <w:color w:val="auto"/>
          <w:szCs w:val="21"/>
          <w:highlight w:val="none"/>
          <w:u w:val="single"/>
          <w:lang w:val="en-US" w:eastAsia="zh-CN"/>
        </w:rPr>
        <w:t>自本委托书签署之日起至投标有效期满</w:t>
      </w:r>
      <w:r>
        <w:rPr>
          <w:color w:val="auto"/>
          <w:szCs w:val="21"/>
          <w:highlight w:val="none"/>
        </w:rPr>
        <w:t>。</w:t>
      </w:r>
    </w:p>
    <w:p w14:paraId="1732F8B7">
      <w:pPr>
        <w:pStyle w:val="9"/>
        <w:spacing w:line="440" w:lineRule="exact"/>
        <w:ind w:firstLine="420" w:firstLineChars="200"/>
        <w:rPr>
          <w:color w:val="auto"/>
          <w:szCs w:val="21"/>
          <w:highlight w:val="none"/>
        </w:rPr>
      </w:pPr>
      <w:r>
        <w:rPr>
          <w:color w:val="auto"/>
          <w:szCs w:val="21"/>
          <w:highlight w:val="none"/>
        </w:rPr>
        <w:t>代理人无转委托权。</w:t>
      </w:r>
    </w:p>
    <w:p w14:paraId="7A0E1527">
      <w:pPr>
        <w:pStyle w:val="9"/>
        <w:spacing w:line="440" w:lineRule="exact"/>
        <w:rPr>
          <w:color w:val="auto"/>
          <w:szCs w:val="21"/>
          <w:highlight w:val="none"/>
        </w:rPr>
      </w:pPr>
    </w:p>
    <w:p w14:paraId="018C2659">
      <w:pPr>
        <w:pStyle w:val="9"/>
        <w:spacing w:line="440" w:lineRule="exact"/>
        <w:rPr>
          <w:color w:val="auto"/>
          <w:szCs w:val="21"/>
          <w:highlight w:val="none"/>
        </w:rPr>
      </w:pPr>
    </w:p>
    <w:p w14:paraId="5D1AC32C">
      <w:pPr>
        <w:pStyle w:val="9"/>
        <w:spacing w:line="440" w:lineRule="exact"/>
        <w:ind w:left="3599" w:leftChars="1714"/>
        <w:rPr>
          <w:color w:val="auto"/>
          <w:szCs w:val="21"/>
          <w:highlight w:val="none"/>
        </w:rPr>
      </w:pPr>
      <w:r>
        <w:rPr>
          <w:color w:val="auto"/>
          <w:szCs w:val="21"/>
          <w:highlight w:val="none"/>
        </w:rPr>
        <w:t>投标人：</w:t>
      </w:r>
      <w:r>
        <w:rPr>
          <w:color w:val="auto"/>
          <w:szCs w:val="21"/>
          <w:highlight w:val="none"/>
          <w:u w:val="single"/>
        </w:rPr>
        <w:t xml:space="preserve">                 </w:t>
      </w:r>
      <w:r>
        <w:rPr>
          <w:color w:val="auto"/>
          <w:szCs w:val="21"/>
          <w:highlight w:val="none"/>
        </w:rPr>
        <w:t>（盖单位</w:t>
      </w:r>
      <w:r>
        <w:rPr>
          <w:rFonts w:hint="eastAsia"/>
          <w:color w:val="auto"/>
          <w:szCs w:val="21"/>
          <w:highlight w:val="none"/>
        </w:rPr>
        <w:t>电子公</w:t>
      </w:r>
      <w:r>
        <w:rPr>
          <w:color w:val="auto"/>
          <w:szCs w:val="21"/>
          <w:highlight w:val="none"/>
        </w:rPr>
        <w:t>章）</w:t>
      </w:r>
    </w:p>
    <w:p w14:paraId="584AC06C">
      <w:pPr>
        <w:pStyle w:val="9"/>
        <w:spacing w:line="440" w:lineRule="exact"/>
        <w:ind w:left="3599" w:leftChars="1714"/>
        <w:rPr>
          <w:color w:val="auto"/>
          <w:szCs w:val="21"/>
          <w:highlight w:val="none"/>
        </w:rPr>
      </w:pPr>
      <w:r>
        <w:rPr>
          <w:color w:val="auto"/>
          <w:szCs w:val="21"/>
          <w:highlight w:val="none"/>
        </w:rPr>
        <w:t>法定代表人：</w:t>
      </w:r>
      <w:r>
        <w:rPr>
          <w:color w:val="auto"/>
          <w:szCs w:val="21"/>
          <w:highlight w:val="none"/>
          <w:u w:val="single"/>
        </w:rPr>
        <w:t xml:space="preserve">    </w:t>
      </w:r>
      <w:r>
        <w:rPr>
          <w:rFonts w:hint="eastAsia" w:eastAsia="宋体"/>
          <w:color w:val="auto"/>
          <w:szCs w:val="21"/>
          <w:highlight w:val="none"/>
          <w:u w:val="single"/>
          <w:lang w:val="en-US" w:eastAsia="zh-CN"/>
        </w:rPr>
        <w:t xml:space="preserve">  </w:t>
      </w:r>
      <w:r>
        <w:rPr>
          <w:color w:val="auto"/>
          <w:szCs w:val="21"/>
          <w:highlight w:val="none"/>
          <w:u w:val="single"/>
        </w:rPr>
        <w:t xml:space="preserve">   </w:t>
      </w:r>
      <w:r>
        <w:rPr>
          <w:color w:val="auto"/>
          <w:szCs w:val="21"/>
          <w:highlight w:val="none"/>
        </w:rPr>
        <w:t>（</w:t>
      </w:r>
      <w:r>
        <w:rPr>
          <w:rFonts w:hint="eastAsia" w:eastAsia="宋体"/>
          <w:color w:val="auto"/>
          <w:szCs w:val="21"/>
          <w:highlight w:val="none"/>
          <w:lang w:val="en-US" w:eastAsia="zh-CN"/>
        </w:rPr>
        <w:t>盖法定代表人</w:t>
      </w:r>
      <w:r>
        <w:rPr>
          <w:rFonts w:hint="eastAsia"/>
          <w:color w:val="auto"/>
          <w:szCs w:val="21"/>
          <w:highlight w:val="none"/>
        </w:rPr>
        <w:t>电子</w:t>
      </w:r>
      <w:r>
        <w:rPr>
          <w:color w:val="auto"/>
          <w:szCs w:val="21"/>
          <w:highlight w:val="none"/>
        </w:rPr>
        <w:t>章）</w:t>
      </w:r>
    </w:p>
    <w:p w14:paraId="1AC752B8">
      <w:pPr>
        <w:pStyle w:val="9"/>
        <w:spacing w:line="440" w:lineRule="exact"/>
        <w:ind w:left="3599" w:leftChars="1714"/>
        <w:rPr>
          <w:color w:val="auto"/>
          <w:szCs w:val="21"/>
          <w:highlight w:val="none"/>
        </w:rPr>
      </w:pPr>
      <w:r>
        <w:rPr>
          <w:color w:val="auto"/>
          <w:szCs w:val="21"/>
          <w:highlight w:val="none"/>
        </w:rPr>
        <w:t>身份证号码：</w:t>
      </w:r>
      <w:r>
        <w:rPr>
          <w:color w:val="auto"/>
          <w:szCs w:val="21"/>
          <w:highlight w:val="none"/>
          <w:u w:val="single"/>
        </w:rPr>
        <w:t xml:space="preserve">                             </w:t>
      </w:r>
    </w:p>
    <w:p w14:paraId="24B969A2">
      <w:pPr>
        <w:pStyle w:val="9"/>
        <w:spacing w:line="440" w:lineRule="exact"/>
        <w:ind w:left="3599" w:leftChars="1714"/>
        <w:jc w:val="left"/>
        <w:rPr>
          <w:color w:val="auto"/>
          <w:szCs w:val="21"/>
          <w:highlight w:val="none"/>
        </w:rPr>
      </w:pPr>
      <w:r>
        <w:rPr>
          <w:color w:val="auto"/>
          <w:szCs w:val="21"/>
          <w:highlight w:val="none"/>
        </w:rPr>
        <w:t>委托代理人：</w:t>
      </w:r>
      <w:r>
        <w:rPr>
          <w:color w:val="auto"/>
          <w:szCs w:val="21"/>
          <w:highlight w:val="none"/>
          <w:u w:val="single"/>
        </w:rPr>
        <w:t xml:space="preserve">             </w:t>
      </w:r>
      <w:r>
        <w:rPr>
          <w:color w:val="auto"/>
          <w:szCs w:val="21"/>
          <w:highlight w:val="none"/>
        </w:rPr>
        <w:t>（</w:t>
      </w:r>
      <w:r>
        <w:rPr>
          <w:rFonts w:hint="eastAsia"/>
          <w:color w:val="auto"/>
          <w:szCs w:val="21"/>
          <w:highlight w:val="none"/>
        </w:rPr>
        <w:t>姓名</w:t>
      </w:r>
      <w:r>
        <w:rPr>
          <w:rFonts w:hint="eastAsia" w:eastAsia="宋体"/>
          <w:color w:val="auto"/>
          <w:szCs w:val="21"/>
          <w:highlight w:val="none"/>
          <w:lang w:eastAsia="zh-CN"/>
        </w:rPr>
        <w:t>，</w:t>
      </w:r>
      <w:r>
        <w:rPr>
          <w:rFonts w:hint="eastAsia" w:eastAsia="宋体"/>
          <w:color w:val="auto"/>
          <w:szCs w:val="21"/>
          <w:highlight w:val="none"/>
          <w:lang w:val="en-US" w:eastAsia="zh-CN"/>
        </w:rPr>
        <w:t>无须签字</w:t>
      </w:r>
      <w:r>
        <w:rPr>
          <w:color w:val="auto"/>
          <w:szCs w:val="21"/>
          <w:highlight w:val="none"/>
        </w:rPr>
        <w:t>）</w:t>
      </w:r>
    </w:p>
    <w:p w14:paraId="68578827">
      <w:pPr>
        <w:pStyle w:val="9"/>
        <w:spacing w:line="440" w:lineRule="exact"/>
        <w:ind w:left="3599" w:leftChars="1714"/>
        <w:jc w:val="left"/>
        <w:rPr>
          <w:color w:val="auto"/>
          <w:szCs w:val="21"/>
          <w:highlight w:val="none"/>
        </w:rPr>
      </w:pPr>
      <w:r>
        <w:rPr>
          <w:color w:val="auto"/>
          <w:szCs w:val="21"/>
          <w:highlight w:val="none"/>
        </w:rPr>
        <w:t>身份证号码：</w:t>
      </w:r>
      <w:r>
        <w:rPr>
          <w:color w:val="auto"/>
          <w:szCs w:val="21"/>
          <w:highlight w:val="none"/>
          <w:u w:val="single"/>
        </w:rPr>
        <w:t xml:space="preserve">      </w:t>
      </w:r>
      <w:r>
        <w:rPr>
          <w:rFonts w:hint="eastAsia" w:eastAsia="宋体"/>
          <w:color w:val="auto"/>
          <w:szCs w:val="21"/>
          <w:highlight w:val="none"/>
          <w:u w:val="single"/>
          <w:lang w:val="en-US" w:eastAsia="zh-CN"/>
        </w:rPr>
        <w:t xml:space="preserve">                   </w:t>
      </w:r>
      <w:r>
        <w:rPr>
          <w:color w:val="auto"/>
          <w:szCs w:val="21"/>
          <w:highlight w:val="none"/>
          <w:u w:val="single"/>
        </w:rPr>
        <w:t xml:space="preserve">    </w:t>
      </w:r>
    </w:p>
    <w:p w14:paraId="735ED7C9">
      <w:pPr>
        <w:pStyle w:val="9"/>
        <w:spacing w:line="440" w:lineRule="exact"/>
        <w:ind w:left="3599" w:leftChars="1714"/>
        <w:rPr>
          <w:color w:val="auto"/>
          <w:szCs w:val="21"/>
          <w:highlight w:val="none"/>
        </w:rPr>
      </w:pPr>
      <w:r>
        <w:rPr>
          <w:rFonts w:hint="eastAsia" w:eastAsia="宋体"/>
          <w:color w:val="auto"/>
          <w:szCs w:val="21"/>
          <w:highlight w:val="none"/>
          <w:lang w:val="en-US" w:eastAsia="zh-CN"/>
        </w:rPr>
        <w:t>手机号码</w:t>
      </w:r>
      <w:r>
        <w:rPr>
          <w:rFonts w:hint="eastAsia"/>
          <w:color w:val="auto"/>
          <w:szCs w:val="21"/>
          <w:highlight w:val="none"/>
        </w:rPr>
        <w:t>：</w:t>
      </w:r>
      <w:r>
        <w:rPr>
          <w:color w:val="auto"/>
          <w:szCs w:val="21"/>
          <w:highlight w:val="none"/>
          <w:u w:val="single"/>
        </w:rPr>
        <w:t xml:space="preserve">       </w:t>
      </w:r>
      <w:r>
        <w:rPr>
          <w:rFonts w:hint="eastAsia" w:eastAsia="宋体"/>
          <w:color w:val="auto"/>
          <w:szCs w:val="21"/>
          <w:highlight w:val="none"/>
          <w:u w:val="single"/>
          <w:lang w:val="en-US" w:eastAsia="zh-CN"/>
        </w:rPr>
        <w:t xml:space="preserve">  </w:t>
      </w:r>
      <w:r>
        <w:rPr>
          <w:color w:val="auto"/>
          <w:szCs w:val="21"/>
          <w:highlight w:val="none"/>
          <w:u w:val="single"/>
        </w:rPr>
        <w:t xml:space="preserve">                       </w:t>
      </w:r>
    </w:p>
    <w:p w14:paraId="7D5B1778">
      <w:pPr>
        <w:pStyle w:val="9"/>
        <w:spacing w:line="440" w:lineRule="exact"/>
        <w:ind w:left="3599" w:leftChars="1714"/>
        <w:rPr>
          <w:color w:val="auto"/>
          <w:szCs w:val="21"/>
          <w:highlight w:val="none"/>
        </w:rPr>
      </w:pPr>
    </w:p>
    <w:p w14:paraId="09991E2A">
      <w:pPr>
        <w:pStyle w:val="9"/>
        <w:spacing w:line="440" w:lineRule="exact"/>
        <w:ind w:left="3599" w:leftChars="1714" w:firstLine="2310" w:firstLineChars="1100"/>
        <w:rPr>
          <w:color w:val="auto"/>
          <w:szCs w:val="21"/>
          <w:highlight w:val="none"/>
        </w:rPr>
      </w:pPr>
      <w:r>
        <w:rPr>
          <w:color w:val="auto"/>
          <w:szCs w:val="21"/>
          <w:highlight w:val="none"/>
          <w:u w:val="single"/>
        </w:rPr>
        <w:t xml:space="preserve">       </w:t>
      </w:r>
      <w:r>
        <w:rPr>
          <w:color w:val="auto"/>
          <w:szCs w:val="21"/>
          <w:highlight w:val="none"/>
        </w:rPr>
        <w:t>年</w:t>
      </w:r>
      <w:r>
        <w:rPr>
          <w:color w:val="auto"/>
          <w:szCs w:val="21"/>
          <w:highlight w:val="none"/>
          <w:u w:val="single"/>
        </w:rPr>
        <w:t xml:space="preserve"> </w:t>
      </w:r>
      <w:r>
        <w:rPr>
          <w:rFonts w:hint="eastAsia" w:eastAsia="宋体"/>
          <w:color w:val="auto"/>
          <w:szCs w:val="21"/>
          <w:highlight w:val="none"/>
          <w:u w:val="single"/>
          <w:lang w:val="en-US" w:eastAsia="zh-CN"/>
        </w:rPr>
        <w:t xml:space="preserve">   </w:t>
      </w:r>
      <w:r>
        <w:rPr>
          <w:color w:val="auto"/>
          <w:szCs w:val="21"/>
          <w:highlight w:val="none"/>
        </w:rPr>
        <w:t>月</w:t>
      </w:r>
      <w:r>
        <w:rPr>
          <w:color w:val="auto"/>
          <w:szCs w:val="21"/>
          <w:highlight w:val="none"/>
          <w:u w:val="single"/>
        </w:rPr>
        <w:t xml:space="preserve">    </w:t>
      </w:r>
      <w:r>
        <w:rPr>
          <w:color w:val="auto"/>
          <w:szCs w:val="21"/>
          <w:highlight w:val="none"/>
        </w:rPr>
        <w:t>日</w:t>
      </w:r>
    </w:p>
    <w:p w14:paraId="4AB26A80">
      <w:pPr>
        <w:pStyle w:val="9"/>
        <w:spacing w:line="440" w:lineRule="exact"/>
        <w:ind w:firstLine="2310" w:firstLineChars="1100"/>
        <w:rPr>
          <w:rFonts w:eastAsia="黑体"/>
          <w:color w:val="auto"/>
          <w:szCs w:val="21"/>
          <w:highlight w:val="none"/>
        </w:rPr>
      </w:pPr>
    </w:p>
    <w:p w14:paraId="206C3000">
      <w:pPr>
        <w:pStyle w:val="9"/>
        <w:spacing w:line="420" w:lineRule="exact"/>
        <w:ind w:firstLine="630" w:firstLineChars="300"/>
        <w:jc w:val="left"/>
        <w:rPr>
          <w:rFonts w:hint="eastAsia" w:ascii="宋体" w:hAnsi="宋体"/>
          <w:b/>
          <w:bCs/>
          <w:color w:val="auto"/>
          <w:szCs w:val="21"/>
          <w:highlight w:val="none"/>
        </w:rPr>
      </w:pPr>
      <w:r>
        <w:rPr>
          <w:rFonts w:ascii="宋体" w:hAnsi="宋体"/>
          <w:b/>
          <w:bCs/>
          <w:color w:val="auto"/>
          <w:szCs w:val="21"/>
          <w:highlight w:val="none"/>
        </w:rPr>
        <w:t>附</w:t>
      </w:r>
      <w:r>
        <w:rPr>
          <w:rFonts w:hint="eastAsia" w:ascii="宋体" w:hAnsi="宋体"/>
          <w:b/>
          <w:bCs/>
          <w:color w:val="auto"/>
          <w:szCs w:val="21"/>
          <w:highlight w:val="none"/>
        </w:rPr>
        <w:t>：委托代理人身份证正</w:t>
      </w:r>
      <w:r>
        <w:rPr>
          <w:rFonts w:hint="eastAsia" w:ascii="宋体" w:hAnsi="宋体" w:eastAsia="宋体"/>
          <w:b/>
          <w:bCs/>
          <w:color w:val="auto"/>
          <w:szCs w:val="21"/>
          <w:highlight w:val="none"/>
          <w:lang w:eastAsia="zh-CN"/>
        </w:rPr>
        <w:t>、</w:t>
      </w:r>
      <w:r>
        <w:rPr>
          <w:rFonts w:hint="eastAsia" w:ascii="宋体" w:hAnsi="宋体"/>
          <w:b/>
          <w:bCs/>
          <w:color w:val="auto"/>
          <w:szCs w:val="21"/>
          <w:highlight w:val="none"/>
        </w:rPr>
        <w:t>反面</w:t>
      </w:r>
      <w:r>
        <w:rPr>
          <w:rFonts w:hint="eastAsia" w:ascii="宋体" w:hAnsi="宋体" w:eastAsia="宋体"/>
          <w:b/>
          <w:bCs/>
          <w:color w:val="auto"/>
          <w:szCs w:val="21"/>
          <w:highlight w:val="none"/>
          <w:lang w:val="en-US" w:eastAsia="zh-CN"/>
        </w:rPr>
        <w:t>清晰可辨的复制</w:t>
      </w:r>
      <w:r>
        <w:rPr>
          <w:rFonts w:hint="eastAsia" w:ascii="宋体" w:hAnsi="宋体"/>
          <w:b/>
          <w:bCs/>
          <w:color w:val="auto"/>
          <w:szCs w:val="21"/>
          <w:highlight w:val="none"/>
        </w:rPr>
        <w:t>件。</w:t>
      </w:r>
    </w:p>
    <w:p w14:paraId="49A71AF3">
      <w:pPr>
        <w:pStyle w:val="11"/>
        <w:rPr>
          <w:rFonts w:hint="eastAsia" w:ascii="宋体" w:hAnsi="宋体"/>
          <w:b/>
          <w:bCs/>
          <w:color w:val="auto"/>
          <w:szCs w:val="21"/>
          <w:highlight w:val="none"/>
        </w:rPr>
      </w:pPr>
    </w:p>
    <w:p w14:paraId="2A04C36A">
      <w:pPr>
        <w:rPr>
          <w:rFonts w:hint="eastAsia" w:ascii="宋体" w:hAnsi="宋体"/>
          <w:b/>
          <w:bCs/>
          <w:color w:val="auto"/>
          <w:szCs w:val="21"/>
          <w:highlight w:val="none"/>
        </w:rPr>
      </w:pPr>
    </w:p>
    <w:p w14:paraId="5CDA05F3">
      <w:pPr>
        <w:pStyle w:val="37"/>
        <w:rPr>
          <w:rFonts w:hint="eastAsia" w:ascii="宋体" w:hAnsi="宋体"/>
          <w:b/>
          <w:bCs/>
          <w:color w:val="auto"/>
          <w:szCs w:val="21"/>
          <w:highlight w:val="none"/>
        </w:rPr>
      </w:pPr>
    </w:p>
    <w:p w14:paraId="6BE14FAC">
      <w:pPr>
        <w:pStyle w:val="37"/>
        <w:rPr>
          <w:rFonts w:hint="eastAsia" w:ascii="宋体" w:hAnsi="宋体"/>
          <w:b/>
          <w:bCs/>
          <w:color w:val="auto"/>
          <w:szCs w:val="21"/>
          <w:highlight w:val="none"/>
        </w:rPr>
      </w:pPr>
    </w:p>
    <w:p w14:paraId="071C6F29">
      <w:pPr>
        <w:pStyle w:val="37"/>
        <w:rPr>
          <w:rFonts w:hint="eastAsia" w:ascii="宋体" w:hAnsi="宋体"/>
          <w:b/>
          <w:bCs/>
          <w:color w:val="auto"/>
          <w:szCs w:val="21"/>
          <w:highlight w:val="none"/>
        </w:rPr>
      </w:pPr>
    </w:p>
    <w:p w14:paraId="56696CF4">
      <w:pPr>
        <w:pStyle w:val="37"/>
        <w:rPr>
          <w:rFonts w:hint="eastAsia" w:ascii="宋体" w:hAnsi="宋体"/>
          <w:b/>
          <w:bCs/>
          <w:color w:val="auto"/>
          <w:szCs w:val="21"/>
          <w:highlight w:val="none"/>
        </w:rPr>
      </w:pPr>
    </w:p>
    <w:p w14:paraId="4F326CF3">
      <w:pPr>
        <w:pStyle w:val="37"/>
        <w:keepNext w:val="0"/>
        <w:keepLines w:val="0"/>
        <w:pageBreakBefore w:val="0"/>
        <w:widowControl w:val="0"/>
        <w:kinsoku/>
        <w:wordWrap/>
        <w:overflowPunct/>
        <w:topLinePunct w:val="0"/>
        <w:autoSpaceDE/>
        <w:autoSpaceDN/>
        <w:bidi w:val="0"/>
        <w:adjustRightInd/>
        <w:snapToGrid/>
        <w:spacing w:line="400" w:lineRule="exact"/>
        <w:textAlignment w:val="auto"/>
        <w:outlineLvl w:val="9"/>
        <w:rPr>
          <w:rFonts w:hint="eastAsia" w:ascii="宋体" w:hAnsi="宋体"/>
          <w:b w:val="0"/>
          <w:bCs w:val="0"/>
          <w:color w:val="auto"/>
          <w:sz w:val="18"/>
          <w:szCs w:val="18"/>
          <w:highlight w:val="none"/>
          <w:lang w:val="en-US" w:eastAsia="zh-CN"/>
        </w:rPr>
      </w:pPr>
      <w:r>
        <w:rPr>
          <w:rFonts w:hint="eastAsia" w:ascii="宋体" w:hAnsi="宋体"/>
          <w:b w:val="0"/>
          <w:bCs w:val="0"/>
          <w:color w:val="auto"/>
          <w:sz w:val="18"/>
          <w:szCs w:val="18"/>
          <w:highlight w:val="none"/>
          <w:lang w:val="en-US" w:eastAsia="zh-CN"/>
        </w:rPr>
        <w:t>注：1.由委托代理人签署并递交投标文件的，投标文件中只需提供授权委托书。</w:t>
      </w:r>
    </w:p>
    <w:p w14:paraId="4207506A">
      <w:pPr>
        <w:keepNext w:val="0"/>
        <w:keepLines w:val="0"/>
        <w:pageBreakBefore w:val="0"/>
        <w:widowControl/>
        <w:suppressLineNumbers w:val="0"/>
        <w:kinsoku/>
        <w:wordWrap/>
        <w:overflowPunct/>
        <w:topLinePunct w:val="0"/>
        <w:autoSpaceDE/>
        <w:autoSpaceDN/>
        <w:bidi w:val="0"/>
        <w:adjustRightInd/>
        <w:snapToGrid/>
        <w:ind w:firstLine="720" w:firstLineChars="400"/>
        <w:jc w:val="both"/>
        <w:textAlignment w:val="auto"/>
        <w:outlineLvl w:val="9"/>
        <w:rPr>
          <w:rFonts w:hint="eastAsia" w:ascii="宋体" w:hAnsi="宋体" w:eastAsia="宋体" w:cs="宋体"/>
          <w:b w:val="0"/>
          <w:bCs w:val="0"/>
          <w:color w:val="auto"/>
          <w:kern w:val="2"/>
          <w:sz w:val="18"/>
          <w:szCs w:val="18"/>
          <w:highlight w:val="none"/>
          <w:lang w:val="en-US" w:eastAsia="zh-CN" w:bidi="ar-SA"/>
        </w:rPr>
      </w:pPr>
      <w:r>
        <w:rPr>
          <w:rFonts w:hint="eastAsia" w:ascii="宋体" w:hAnsi="宋体" w:eastAsia="宋体" w:cs="宋体"/>
          <w:b w:val="0"/>
          <w:bCs w:val="0"/>
          <w:color w:val="auto"/>
          <w:kern w:val="2"/>
          <w:sz w:val="18"/>
          <w:szCs w:val="18"/>
          <w:highlight w:val="none"/>
          <w:lang w:val="en-US" w:eastAsia="zh-CN" w:bidi="ar-SA"/>
        </w:rPr>
        <w:t>2.联合体投标的，授权委托书由联合体牵头人提供。</w:t>
      </w:r>
    </w:p>
    <w:p w14:paraId="08686AB1">
      <w:pPr>
        <w:keepNext w:val="0"/>
        <w:keepLines w:val="0"/>
        <w:pageBreakBefore w:val="0"/>
        <w:widowControl/>
        <w:suppressLineNumbers w:val="0"/>
        <w:kinsoku/>
        <w:wordWrap/>
        <w:overflowPunct/>
        <w:topLinePunct w:val="0"/>
        <w:autoSpaceDE/>
        <w:autoSpaceDN/>
        <w:bidi w:val="0"/>
        <w:adjustRightInd/>
        <w:snapToGrid/>
        <w:ind w:firstLine="720" w:firstLineChars="400"/>
        <w:jc w:val="both"/>
        <w:textAlignment w:val="auto"/>
        <w:outlineLvl w:val="9"/>
        <w:rPr>
          <w:rFonts w:hint="eastAsia" w:ascii="宋体" w:hAnsi="宋体" w:eastAsia="宋体" w:cs="宋体"/>
          <w:b w:val="0"/>
          <w:bCs w:val="0"/>
          <w:color w:val="auto"/>
          <w:kern w:val="2"/>
          <w:sz w:val="18"/>
          <w:szCs w:val="18"/>
          <w:highlight w:val="none"/>
          <w:lang w:val="en-US" w:eastAsia="zh-CN" w:bidi="ar-SA"/>
        </w:rPr>
      </w:pPr>
    </w:p>
    <w:p w14:paraId="29CA2692">
      <w:pPr>
        <w:keepNext w:val="0"/>
        <w:keepLines w:val="0"/>
        <w:pageBreakBefore w:val="0"/>
        <w:widowControl/>
        <w:suppressLineNumbers w:val="0"/>
        <w:kinsoku/>
        <w:wordWrap/>
        <w:overflowPunct/>
        <w:topLinePunct w:val="0"/>
        <w:autoSpaceDE/>
        <w:autoSpaceDN/>
        <w:bidi w:val="0"/>
        <w:adjustRightInd/>
        <w:snapToGrid/>
        <w:jc w:val="center"/>
        <w:textAlignment w:val="auto"/>
        <w:outlineLvl w:val="2"/>
        <w:rPr>
          <w:rFonts w:ascii="Times New Roman" w:hAnsi="Times New Roman" w:eastAsia="黑体" w:cs="Times New Roman"/>
          <w:color w:val="auto"/>
          <w:kern w:val="2"/>
          <w:sz w:val="30"/>
          <w:szCs w:val="30"/>
          <w:highlight w:val="none"/>
          <w:lang w:val="en-US" w:eastAsia="zh-CN" w:bidi="ar-SA"/>
        </w:rPr>
      </w:pPr>
      <w:r>
        <w:rPr>
          <w:color w:val="auto"/>
          <w:szCs w:val="21"/>
          <w:highlight w:val="none"/>
        </w:rPr>
        <w:br w:type="page"/>
      </w:r>
      <w:bookmarkStart w:id="821" w:name="_Toc12936"/>
      <w:r>
        <w:rPr>
          <w:rFonts w:ascii="Times New Roman" w:hAnsi="Times New Roman" w:eastAsia="黑体" w:cs="Times New Roman"/>
          <w:color w:val="auto"/>
          <w:kern w:val="2"/>
          <w:sz w:val="30"/>
          <w:szCs w:val="30"/>
          <w:highlight w:val="none"/>
          <w:lang w:val="en-US" w:eastAsia="zh-CN" w:bidi="ar-SA"/>
        </w:rPr>
        <w:t>三、联合体协议书</w:t>
      </w:r>
      <w:bookmarkEnd w:id="821"/>
    </w:p>
    <w:p w14:paraId="6F8B0AC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kern w:val="0"/>
          <w:sz w:val="21"/>
          <w:szCs w:val="21"/>
          <w:highlight w:val="none"/>
          <w:lang w:val="en-US" w:eastAsia="zh-CN" w:bidi="ar"/>
        </w:rPr>
      </w:pPr>
    </w:p>
    <w:p w14:paraId="7AD1B3C7">
      <w:pPr>
        <w:keepNext w:val="0"/>
        <w:keepLines w:val="0"/>
        <w:pageBreakBefore w:val="0"/>
        <w:widowControl/>
        <w:suppressLineNumbers w:val="0"/>
        <w:kinsoku/>
        <w:wordWrap/>
        <w:overflowPunct/>
        <w:topLinePunct w:val="0"/>
        <w:autoSpaceDE/>
        <w:autoSpaceDN/>
        <w:bidi w:val="0"/>
        <w:adjustRightInd/>
        <w:snapToGrid/>
        <w:spacing w:line="400" w:lineRule="exact"/>
        <w:ind w:firstLine="420" w:firstLineChars="200"/>
        <w:jc w:val="left"/>
        <w:textAlignment w:val="auto"/>
        <w:rPr>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u w:val="none"/>
          <w:lang w:val="en-US" w:eastAsia="zh-CN" w:bidi="ar"/>
        </w:rPr>
        <w:t>（所有成员单位名称）</w:t>
      </w:r>
      <w:r>
        <w:rPr>
          <w:rFonts w:hint="eastAsia" w:ascii="宋体" w:hAnsi="宋体" w:eastAsia="宋体" w:cs="宋体"/>
          <w:color w:val="auto"/>
          <w:kern w:val="0"/>
          <w:sz w:val="21"/>
          <w:szCs w:val="21"/>
          <w:highlight w:val="none"/>
          <w:lang w:val="en-US" w:eastAsia="zh-CN" w:bidi="ar"/>
        </w:rPr>
        <w:t xml:space="preserve">自愿组成联合体，共同参加 </w:t>
      </w:r>
      <w:r>
        <w:rPr>
          <w:rFonts w:hint="eastAsia" w:ascii="宋体" w:hAnsi="宋体" w:eastAsia="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 xml:space="preserve">（项目名称）施工投标。现就联合体投标事宜订立如下协议。 </w:t>
      </w:r>
    </w:p>
    <w:p w14:paraId="328DE5FC">
      <w:pPr>
        <w:keepNext w:val="0"/>
        <w:keepLines w:val="0"/>
        <w:pageBreakBefore w:val="0"/>
        <w:widowControl/>
        <w:suppressLineNumbers w:val="0"/>
        <w:kinsoku/>
        <w:wordWrap/>
        <w:overflowPunct/>
        <w:topLinePunct w:val="0"/>
        <w:autoSpaceDE/>
        <w:autoSpaceDN/>
        <w:bidi w:val="0"/>
        <w:adjustRightInd/>
        <w:snapToGrid/>
        <w:spacing w:line="400" w:lineRule="exact"/>
        <w:ind w:firstLine="420" w:firstLineChars="200"/>
        <w:jc w:val="left"/>
        <w:textAlignment w:val="auto"/>
        <w:rPr>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1． </w:t>
      </w:r>
      <w:r>
        <w:rPr>
          <w:rFonts w:hint="eastAsia" w:ascii="宋体" w:hAnsi="宋体" w:eastAsia="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 xml:space="preserve">（某成员单位名称）为牵头人。 </w:t>
      </w:r>
    </w:p>
    <w:p w14:paraId="0DBCD16C">
      <w:pPr>
        <w:keepNext w:val="0"/>
        <w:keepLines w:val="0"/>
        <w:pageBreakBefore w:val="0"/>
        <w:widowControl/>
        <w:suppressLineNumbers w:val="0"/>
        <w:kinsoku/>
        <w:wordWrap/>
        <w:overflowPunct/>
        <w:topLinePunct w:val="0"/>
        <w:autoSpaceDE/>
        <w:autoSpaceDN/>
        <w:bidi w:val="0"/>
        <w:adjustRightInd/>
        <w:snapToGrid/>
        <w:spacing w:line="400" w:lineRule="exact"/>
        <w:ind w:firstLine="420" w:firstLineChars="200"/>
        <w:jc w:val="left"/>
        <w:textAlignment w:val="auto"/>
        <w:rPr>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2．联合体牵头人合法代表联合体各成员单位负责本招标项目投标文件编制和合同谈判活动，代表联合体提交和接收相关资料、信息及指示，处理与之有关的一切事务，并负责合同实施阶段的主办、组织和协调工作。 </w:t>
      </w:r>
    </w:p>
    <w:p w14:paraId="270E02BC">
      <w:pPr>
        <w:keepNext w:val="0"/>
        <w:keepLines w:val="0"/>
        <w:pageBreakBefore w:val="0"/>
        <w:widowControl/>
        <w:suppressLineNumbers w:val="0"/>
        <w:kinsoku/>
        <w:wordWrap/>
        <w:overflowPunct/>
        <w:topLinePunct w:val="0"/>
        <w:autoSpaceDE/>
        <w:autoSpaceDN/>
        <w:bidi w:val="0"/>
        <w:adjustRightInd/>
        <w:snapToGrid/>
        <w:spacing w:line="400" w:lineRule="exact"/>
        <w:ind w:firstLine="420" w:firstLineChars="200"/>
        <w:jc w:val="left"/>
        <w:textAlignment w:val="auto"/>
        <w:rPr>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3．联合体将严格按招标文件的各项要求，递交投标文件，履行合同，并对外承担连带责任。 </w:t>
      </w:r>
    </w:p>
    <w:p w14:paraId="17757705">
      <w:pPr>
        <w:keepNext w:val="0"/>
        <w:keepLines w:val="0"/>
        <w:pageBreakBefore w:val="0"/>
        <w:widowControl/>
        <w:suppressLineNumbers w:val="0"/>
        <w:kinsoku/>
        <w:wordWrap/>
        <w:overflowPunct/>
        <w:topLinePunct w:val="0"/>
        <w:autoSpaceDE/>
        <w:autoSpaceDN/>
        <w:bidi w:val="0"/>
        <w:adjustRightInd/>
        <w:snapToGrid/>
        <w:spacing w:line="400" w:lineRule="exact"/>
        <w:ind w:firstLine="420" w:firstLineChars="200"/>
        <w:jc w:val="left"/>
        <w:textAlignment w:val="auto"/>
        <w:rPr>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4．联合体牵头人代表联合体签署投标文件，联合体牵头人的所有承诺均认为代表了联合体各成员。 </w:t>
      </w:r>
    </w:p>
    <w:p w14:paraId="23845A19">
      <w:pPr>
        <w:keepNext w:val="0"/>
        <w:keepLines w:val="0"/>
        <w:pageBreakBefore w:val="0"/>
        <w:widowControl/>
        <w:suppressLineNumbers w:val="0"/>
        <w:kinsoku/>
        <w:wordWrap/>
        <w:overflowPunct/>
        <w:topLinePunct w:val="0"/>
        <w:autoSpaceDE/>
        <w:autoSpaceDN/>
        <w:bidi w:val="0"/>
        <w:adjustRightInd/>
        <w:snapToGrid/>
        <w:spacing w:line="400" w:lineRule="exact"/>
        <w:ind w:firstLine="420" w:firstLineChars="200"/>
        <w:jc w:val="left"/>
        <w:textAlignment w:val="auto"/>
        <w:rPr>
          <w:color w:val="auto"/>
          <w:sz w:val="21"/>
          <w:szCs w:val="21"/>
          <w:highlight w:val="none"/>
        </w:rPr>
      </w:pPr>
      <w:r>
        <w:rPr>
          <w:rFonts w:hint="eastAsia" w:ascii="宋体" w:hAnsi="宋体" w:eastAsia="宋体" w:cs="宋体"/>
          <w:color w:val="auto"/>
          <w:kern w:val="0"/>
          <w:sz w:val="21"/>
          <w:szCs w:val="21"/>
          <w:highlight w:val="none"/>
          <w:lang w:val="en-US" w:eastAsia="zh-CN" w:bidi="ar"/>
        </w:rPr>
        <w:t>5．联合体各成员单位内部的职责分工如下：</w:t>
      </w:r>
      <w:r>
        <w:rPr>
          <w:rFonts w:hint="eastAsia" w:ascii="宋体" w:hAnsi="宋体" w:eastAsia="宋体" w:cs="宋体"/>
          <w:color w:val="auto"/>
          <w:kern w:val="0"/>
          <w:sz w:val="21"/>
          <w:szCs w:val="21"/>
          <w:highlight w:val="none"/>
          <w:u w:val="single"/>
          <w:lang w:val="en-US" w:eastAsia="zh-CN" w:bidi="ar"/>
        </w:rPr>
        <w:t xml:space="preserve">（牵头人名称） </w:t>
      </w:r>
      <w:r>
        <w:rPr>
          <w:rFonts w:hint="eastAsia" w:ascii="宋体" w:hAnsi="宋体" w:eastAsia="宋体" w:cs="宋体"/>
          <w:color w:val="auto"/>
          <w:kern w:val="0"/>
          <w:sz w:val="21"/>
          <w:szCs w:val="21"/>
          <w:highlight w:val="none"/>
          <w:lang w:val="en-US" w:eastAsia="zh-CN" w:bidi="ar"/>
        </w:rPr>
        <w:t>承担</w:t>
      </w:r>
      <w:r>
        <w:rPr>
          <w:rFonts w:hint="eastAsia" w:ascii="宋体" w:hAnsi="宋体" w:eastAsia="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专业工程，占总工程量的</w:t>
      </w:r>
      <w:r>
        <w:rPr>
          <w:rFonts w:hint="eastAsia" w:ascii="宋体" w:hAnsi="宋体" w:eastAsia="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（成员名称）承担</w:t>
      </w:r>
      <w:r>
        <w:rPr>
          <w:rFonts w:hint="eastAsia" w:ascii="宋体" w:hAnsi="宋体" w:eastAsia="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专业工程，占总工程量的</w:t>
      </w:r>
      <w:r>
        <w:rPr>
          <w:rFonts w:hint="eastAsia" w:ascii="宋体" w:hAnsi="宋体" w:eastAsia="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 xml:space="preserve">％。 </w:t>
      </w:r>
    </w:p>
    <w:p w14:paraId="1066E8C9">
      <w:pPr>
        <w:keepNext w:val="0"/>
        <w:keepLines w:val="0"/>
        <w:pageBreakBefore w:val="0"/>
        <w:widowControl/>
        <w:suppressLineNumbers w:val="0"/>
        <w:kinsoku/>
        <w:wordWrap/>
        <w:overflowPunct/>
        <w:topLinePunct w:val="0"/>
        <w:autoSpaceDE/>
        <w:autoSpaceDN/>
        <w:bidi w:val="0"/>
        <w:adjustRightInd/>
        <w:snapToGrid/>
        <w:spacing w:line="400" w:lineRule="exact"/>
        <w:ind w:firstLine="420" w:firstLineChars="200"/>
        <w:jc w:val="left"/>
        <w:textAlignment w:val="auto"/>
        <w:rPr>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6．投标工作和联合体在中标后工程实施过程中的有关费用按各自承担的工作量分摊。 </w:t>
      </w:r>
    </w:p>
    <w:p w14:paraId="011138EE">
      <w:pPr>
        <w:keepNext w:val="0"/>
        <w:keepLines w:val="0"/>
        <w:pageBreakBefore w:val="0"/>
        <w:widowControl/>
        <w:suppressLineNumbers w:val="0"/>
        <w:kinsoku/>
        <w:wordWrap/>
        <w:overflowPunct/>
        <w:topLinePunct w:val="0"/>
        <w:autoSpaceDE/>
        <w:autoSpaceDN/>
        <w:bidi w:val="0"/>
        <w:adjustRightInd/>
        <w:snapToGrid/>
        <w:spacing w:line="400" w:lineRule="exact"/>
        <w:ind w:firstLine="420" w:firstLineChars="200"/>
        <w:jc w:val="left"/>
        <w:textAlignment w:val="auto"/>
        <w:rPr>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7．本协议书自签署之日起生效，合同履行完毕后自动失效。 </w:t>
      </w:r>
    </w:p>
    <w:p w14:paraId="6334493E">
      <w:pPr>
        <w:keepNext w:val="0"/>
        <w:keepLines w:val="0"/>
        <w:pageBreakBefore w:val="0"/>
        <w:widowControl/>
        <w:suppressLineNumbers w:val="0"/>
        <w:kinsoku/>
        <w:wordWrap/>
        <w:overflowPunct/>
        <w:topLinePunct w:val="0"/>
        <w:autoSpaceDE/>
        <w:autoSpaceDN/>
        <w:bidi w:val="0"/>
        <w:adjustRightInd/>
        <w:snapToGrid/>
        <w:spacing w:line="400" w:lineRule="exact"/>
        <w:ind w:firstLine="420" w:firstLineChars="200"/>
        <w:jc w:val="left"/>
        <w:textAlignment w:val="auto"/>
        <w:rPr>
          <w:color w:val="auto"/>
          <w:sz w:val="21"/>
          <w:szCs w:val="21"/>
          <w:highlight w:val="none"/>
        </w:rPr>
      </w:pPr>
      <w:r>
        <w:rPr>
          <w:rFonts w:hint="eastAsia" w:ascii="宋体" w:hAnsi="宋体" w:eastAsia="宋体" w:cs="宋体"/>
          <w:color w:val="auto"/>
          <w:kern w:val="0"/>
          <w:sz w:val="21"/>
          <w:szCs w:val="21"/>
          <w:highlight w:val="none"/>
          <w:lang w:val="en-US" w:eastAsia="zh-CN" w:bidi="ar"/>
        </w:rPr>
        <w:t>8．本协议书一式</w:t>
      </w:r>
      <w:r>
        <w:rPr>
          <w:rFonts w:hint="eastAsia" w:ascii="宋体" w:hAnsi="宋体" w:eastAsia="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 xml:space="preserve">份，联合体成员和招标人各执一份。 </w:t>
      </w:r>
    </w:p>
    <w:p w14:paraId="61A49A53">
      <w:pPr>
        <w:keepNext w:val="0"/>
        <w:keepLines w:val="0"/>
        <w:pageBreakBefore w:val="0"/>
        <w:widowControl/>
        <w:suppressLineNumbers w:val="0"/>
        <w:kinsoku/>
        <w:wordWrap/>
        <w:overflowPunct/>
        <w:topLinePunct w:val="0"/>
        <w:autoSpaceDE/>
        <w:autoSpaceDN/>
        <w:bidi w:val="0"/>
        <w:adjustRightInd/>
        <w:snapToGrid/>
        <w:spacing w:line="400" w:lineRule="exact"/>
        <w:ind w:firstLine="420" w:firstLineChars="200"/>
        <w:jc w:val="left"/>
        <w:textAlignment w:val="auto"/>
        <w:rPr>
          <w:rFonts w:hint="eastAsia" w:ascii="宋体" w:hAnsi="宋体" w:eastAsia="宋体" w:cs="宋体"/>
          <w:color w:val="auto"/>
          <w:kern w:val="0"/>
          <w:sz w:val="21"/>
          <w:szCs w:val="21"/>
          <w:highlight w:val="none"/>
          <w:lang w:val="en-US" w:eastAsia="zh-CN" w:bidi="ar"/>
        </w:rPr>
      </w:pPr>
    </w:p>
    <w:p w14:paraId="335F5567">
      <w:pPr>
        <w:keepNext w:val="0"/>
        <w:keepLines w:val="0"/>
        <w:pageBreakBefore w:val="0"/>
        <w:widowControl/>
        <w:suppressLineNumbers w:val="0"/>
        <w:kinsoku/>
        <w:wordWrap/>
        <w:overflowPunct/>
        <w:topLinePunct w:val="0"/>
        <w:autoSpaceDE/>
        <w:autoSpaceDN/>
        <w:bidi w:val="0"/>
        <w:adjustRightInd/>
        <w:snapToGrid/>
        <w:spacing w:line="400" w:lineRule="exact"/>
        <w:ind w:firstLine="420" w:firstLineChars="200"/>
        <w:jc w:val="left"/>
        <w:textAlignment w:val="auto"/>
        <w:rPr>
          <w:rFonts w:hint="eastAsia" w:ascii="宋体" w:hAnsi="宋体" w:eastAsia="宋体" w:cs="宋体"/>
          <w:color w:val="auto"/>
          <w:kern w:val="0"/>
          <w:sz w:val="21"/>
          <w:szCs w:val="21"/>
          <w:highlight w:val="none"/>
          <w:lang w:val="en-US" w:eastAsia="zh-CN" w:bidi="ar"/>
        </w:rPr>
      </w:pPr>
    </w:p>
    <w:p w14:paraId="2D273241">
      <w:pPr>
        <w:keepNext w:val="0"/>
        <w:keepLines w:val="0"/>
        <w:pageBreakBefore w:val="0"/>
        <w:widowControl/>
        <w:suppressLineNumbers w:val="0"/>
        <w:kinsoku/>
        <w:wordWrap/>
        <w:overflowPunct/>
        <w:topLinePunct w:val="0"/>
        <w:autoSpaceDE/>
        <w:autoSpaceDN/>
        <w:bidi w:val="0"/>
        <w:adjustRightInd/>
        <w:snapToGrid/>
        <w:spacing w:line="400" w:lineRule="exact"/>
        <w:ind w:firstLine="420" w:firstLineChars="200"/>
        <w:jc w:val="left"/>
        <w:textAlignment w:val="auto"/>
        <w:rPr>
          <w:color w:val="auto"/>
          <w:sz w:val="21"/>
          <w:szCs w:val="21"/>
          <w:highlight w:val="none"/>
        </w:rPr>
      </w:pPr>
      <w:r>
        <w:rPr>
          <w:rFonts w:hint="eastAsia" w:ascii="宋体" w:hAnsi="宋体" w:eastAsia="宋体" w:cs="宋体"/>
          <w:color w:val="auto"/>
          <w:kern w:val="0"/>
          <w:sz w:val="21"/>
          <w:szCs w:val="21"/>
          <w:highlight w:val="none"/>
          <w:lang w:val="en-US" w:eastAsia="zh-CN" w:bidi="ar"/>
        </w:rPr>
        <w:t>牵头人名称：</w:t>
      </w:r>
      <w:r>
        <w:rPr>
          <w:rFonts w:hint="eastAsia" w:ascii="宋体" w:hAnsi="宋体" w:eastAsia="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（盖单位公章或</w:t>
      </w:r>
      <w:r>
        <w:rPr>
          <w:color w:val="auto"/>
          <w:szCs w:val="21"/>
          <w:highlight w:val="none"/>
        </w:rPr>
        <w:t>盖单位</w:t>
      </w:r>
      <w:r>
        <w:rPr>
          <w:rFonts w:hint="eastAsia"/>
          <w:color w:val="auto"/>
          <w:szCs w:val="21"/>
          <w:highlight w:val="none"/>
        </w:rPr>
        <w:t>电子公</w:t>
      </w:r>
      <w:r>
        <w:rPr>
          <w:color w:val="auto"/>
          <w:szCs w:val="21"/>
          <w:highlight w:val="none"/>
        </w:rPr>
        <w:t>章</w:t>
      </w:r>
      <w:r>
        <w:rPr>
          <w:rFonts w:hint="eastAsia" w:ascii="宋体" w:hAnsi="宋体" w:eastAsia="宋体" w:cs="宋体"/>
          <w:color w:val="auto"/>
          <w:kern w:val="0"/>
          <w:sz w:val="21"/>
          <w:szCs w:val="21"/>
          <w:highlight w:val="none"/>
          <w:lang w:val="en-US" w:eastAsia="zh-CN" w:bidi="ar"/>
        </w:rPr>
        <w:t xml:space="preserve">） </w:t>
      </w:r>
    </w:p>
    <w:p w14:paraId="718EC80B">
      <w:pPr>
        <w:keepNext w:val="0"/>
        <w:keepLines w:val="0"/>
        <w:pageBreakBefore w:val="0"/>
        <w:widowControl/>
        <w:suppressLineNumbers w:val="0"/>
        <w:kinsoku/>
        <w:wordWrap/>
        <w:overflowPunct/>
        <w:topLinePunct w:val="0"/>
        <w:autoSpaceDE/>
        <w:autoSpaceDN/>
        <w:bidi w:val="0"/>
        <w:adjustRightInd/>
        <w:snapToGrid/>
        <w:spacing w:line="400" w:lineRule="exact"/>
        <w:ind w:firstLine="420" w:firstLineChars="200"/>
        <w:jc w:val="left"/>
        <w:textAlignment w:val="auto"/>
        <w:rPr>
          <w:color w:val="auto"/>
          <w:sz w:val="21"/>
          <w:szCs w:val="21"/>
          <w:highlight w:val="none"/>
        </w:rPr>
      </w:pPr>
      <w:r>
        <w:rPr>
          <w:rFonts w:hint="eastAsia" w:ascii="宋体" w:hAnsi="宋体" w:eastAsia="宋体" w:cs="宋体"/>
          <w:color w:val="auto"/>
          <w:kern w:val="0"/>
          <w:sz w:val="21"/>
          <w:szCs w:val="21"/>
          <w:highlight w:val="none"/>
          <w:lang w:val="en-US" w:eastAsia="zh-CN" w:bidi="ar"/>
        </w:rPr>
        <w:t>法定代表人：</w:t>
      </w:r>
      <w:r>
        <w:rPr>
          <w:rFonts w:hint="eastAsia" w:ascii="宋体" w:hAnsi="宋体" w:eastAsia="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（签字或盖法人章或</w:t>
      </w:r>
      <w:r>
        <w:rPr>
          <w:rFonts w:hint="eastAsia" w:eastAsia="宋体"/>
          <w:color w:val="auto"/>
          <w:szCs w:val="21"/>
          <w:highlight w:val="none"/>
          <w:lang w:val="en-US" w:eastAsia="zh-CN"/>
        </w:rPr>
        <w:t>盖法定代表人</w:t>
      </w:r>
      <w:r>
        <w:rPr>
          <w:rFonts w:hint="eastAsia"/>
          <w:color w:val="auto"/>
          <w:szCs w:val="21"/>
          <w:highlight w:val="none"/>
        </w:rPr>
        <w:t>电子</w:t>
      </w:r>
      <w:r>
        <w:rPr>
          <w:color w:val="auto"/>
          <w:szCs w:val="21"/>
          <w:highlight w:val="none"/>
        </w:rPr>
        <w:t>章</w:t>
      </w:r>
      <w:r>
        <w:rPr>
          <w:rFonts w:hint="eastAsia" w:ascii="宋体" w:hAnsi="宋体" w:eastAsia="宋体" w:cs="宋体"/>
          <w:color w:val="auto"/>
          <w:kern w:val="0"/>
          <w:sz w:val="21"/>
          <w:szCs w:val="21"/>
          <w:highlight w:val="none"/>
          <w:lang w:val="en-US" w:eastAsia="zh-CN" w:bidi="ar"/>
        </w:rPr>
        <w:t xml:space="preserve">） </w:t>
      </w:r>
    </w:p>
    <w:p w14:paraId="485B9320">
      <w:pPr>
        <w:keepNext w:val="0"/>
        <w:keepLines w:val="0"/>
        <w:pageBreakBefore w:val="0"/>
        <w:widowControl/>
        <w:suppressLineNumbers w:val="0"/>
        <w:kinsoku/>
        <w:wordWrap/>
        <w:overflowPunct/>
        <w:topLinePunct w:val="0"/>
        <w:autoSpaceDE/>
        <w:autoSpaceDN/>
        <w:bidi w:val="0"/>
        <w:adjustRightInd/>
        <w:snapToGrid/>
        <w:spacing w:line="400" w:lineRule="exact"/>
        <w:ind w:firstLine="420" w:firstLineChars="200"/>
        <w:jc w:val="left"/>
        <w:textAlignment w:val="auto"/>
        <w:rPr>
          <w:rFonts w:hint="eastAsia" w:ascii="宋体" w:hAnsi="宋体" w:eastAsia="宋体" w:cs="宋体"/>
          <w:color w:val="auto"/>
          <w:kern w:val="0"/>
          <w:sz w:val="21"/>
          <w:szCs w:val="21"/>
          <w:highlight w:val="none"/>
          <w:lang w:val="en-US" w:eastAsia="zh-CN" w:bidi="ar"/>
        </w:rPr>
      </w:pPr>
    </w:p>
    <w:p w14:paraId="0637B7B6">
      <w:pPr>
        <w:keepNext w:val="0"/>
        <w:keepLines w:val="0"/>
        <w:pageBreakBefore w:val="0"/>
        <w:widowControl/>
        <w:suppressLineNumbers w:val="0"/>
        <w:kinsoku/>
        <w:wordWrap/>
        <w:overflowPunct/>
        <w:topLinePunct w:val="0"/>
        <w:autoSpaceDE/>
        <w:autoSpaceDN/>
        <w:bidi w:val="0"/>
        <w:adjustRightInd/>
        <w:snapToGrid/>
        <w:spacing w:line="400" w:lineRule="exact"/>
        <w:ind w:firstLine="420" w:firstLineChars="200"/>
        <w:jc w:val="left"/>
        <w:textAlignment w:val="auto"/>
        <w:rPr>
          <w:color w:val="auto"/>
          <w:sz w:val="21"/>
          <w:szCs w:val="21"/>
          <w:highlight w:val="none"/>
        </w:rPr>
      </w:pPr>
      <w:r>
        <w:rPr>
          <w:rFonts w:hint="eastAsia" w:ascii="宋体" w:hAnsi="宋体" w:eastAsia="宋体" w:cs="宋体"/>
          <w:color w:val="auto"/>
          <w:kern w:val="0"/>
          <w:sz w:val="21"/>
          <w:szCs w:val="21"/>
          <w:highlight w:val="none"/>
          <w:lang w:val="en-US" w:eastAsia="zh-CN" w:bidi="ar"/>
        </w:rPr>
        <w:t>成员名称：</w:t>
      </w:r>
      <w:r>
        <w:rPr>
          <w:rFonts w:hint="eastAsia" w:ascii="宋体" w:hAnsi="宋体" w:eastAsia="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 xml:space="preserve">（盖单位公章） </w:t>
      </w:r>
    </w:p>
    <w:p w14:paraId="70ED6FCD">
      <w:pPr>
        <w:keepNext w:val="0"/>
        <w:keepLines w:val="0"/>
        <w:pageBreakBefore w:val="0"/>
        <w:widowControl/>
        <w:suppressLineNumbers w:val="0"/>
        <w:kinsoku/>
        <w:wordWrap/>
        <w:overflowPunct/>
        <w:topLinePunct w:val="0"/>
        <w:autoSpaceDE/>
        <w:autoSpaceDN/>
        <w:bidi w:val="0"/>
        <w:adjustRightInd/>
        <w:snapToGrid/>
        <w:spacing w:line="400" w:lineRule="exact"/>
        <w:ind w:firstLine="420" w:firstLineChars="200"/>
        <w:jc w:val="left"/>
        <w:textAlignment w:val="auto"/>
        <w:rPr>
          <w:color w:val="auto"/>
          <w:sz w:val="21"/>
          <w:szCs w:val="21"/>
          <w:highlight w:val="none"/>
        </w:rPr>
      </w:pPr>
      <w:r>
        <w:rPr>
          <w:rFonts w:hint="eastAsia" w:ascii="宋体" w:hAnsi="宋体" w:eastAsia="宋体" w:cs="宋体"/>
          <w:color w:val="auto"/>
          <w:kern w:val="0"/>
          <w:sz w:val="21"/>
          <w:szCs w:val="21"/>
          <w:highlight w:val="none"/>
          <w:lang w:val="en-US" w:eastAsia="zh-CN" w:bidi="ar"/>
        </w:rPr>
        <w:t>法定代表人：</w:t>
      </w:r>
      <w:r>
        <w:rPr>
          <w:rFonts w:hint="eastAsia" w:ascii="宋体" w:hAnsi="宋体" w:eastAsia="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 xml:space="preserve">（签字或盖法人章） </w:t>
      </w:r>
    </w:p>
    <w:p w14:paraId="016EF4B0">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kern w:val="0"/>
          <w:sz w:val="21"/>
          <w:szCs w:val="21"/>
          <w:highlight w:val="none"/>
          <w:lang w:val="en-US" w:eastAsia="zh-CN" w:bidi="ar"/>
        </w:rPr>
      </w:pPr>
    </w:p>
    <w:p w14:paraId="51FD1962">
      <w:pPr>
        <w:keepNext w:val="0"/>
        <w:keepLines w:val="0"/>
        <w:pageBreakBefore w:val="0"/>
        <w:widowControl/>
        <w:suppressLineNumbers w:val="0"/>
        <w:kinsoku/>
        <w:wordWrap/>
        <w:overflowPunct/>
        <w:topLinePunct w:val="0"/>
        <w:autoSpaceDE/>
        <w:autoSpaceDN/>
        <w:bidi w:val="0"/>
        <w:adjustRightInd/>
        <w:snapToGrid/>
        <w:spacing w:line="400" w:lineRule="exact"/>
        <w:ind w:firstLine="2310" w:firstLineChars="1100"/>
        <w:jc w:val="left"/>
        <w:textAlignment w:val="auto"/>
        <w:rPr>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年    月     日 </w:t>
      </w:r>
    </w:p>
    <w:p w14:paraId="345DBFC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kern w:val="0"/>
          <w:sz w:val="21"/>
          <w:szCs w:val="21"/>
          <w:highlight w:val="none"/>
          <w:lang w:val="en-US" w:eastAsia="zh-CN" w:bidi="ar"/>
        </w:rPr>
      </w:pPr>
    </w:p>
    <w:p w14:paraId="38862E2F">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kern w:val="0"/>
          <w:sz w:val="21"/>
          <w:szCs w:val="21"/>
          <w:highlight w:val="none"/>
          <w:lang w:val="en-US" w:eastAsia="zh-CN" w:bidi="ar"/>
        </w:rPr>
      </w:pPr>
    </w:p>
    <w:p w14:paraId="0CA3D6AB">
      <w:pPr>
        <w:pStyle w:val="52"/>
        <w:keepNext/>
        <w:keepLines/>
        <w:pageBreakBefore w:val="0"/>
        <w:widowControl w:val="0"/>
        <w:kinsoku/>
        <w:wordWrap/>
        <w:overflowPunct/>
        <w:topLinePunct w:val="0"/>
        <w:autoSpaceDE/>
        <w:autoSpaceDN/>
        <w:bidi w:val="0"/>
        <w:adjustRightInd/>
        <w:snapToGrid/>
        <w:jc w:val="left"/>
        <w:textAlignment w:val="auto"/>
        <w:outlineLvl w:val="9"/>
        <w:rPr>
          <w:rFonts w:hint="eastAsia" w:ascii="宋体" w:hAnsi="宋体" w:eastAsia="宋体" w:cs="宋体"/>
          <w:b/>
          <w:bCs/>
          <w:color w:val="auto"/>
          <w:kern w:val="2"/>
          <w:sz w:val="18"/>
          <w:szCs w:val="18"/>
          <w:highlight w:val="none"/>
          <w:lang w:val="en-US" w:eastAsia="zh-CN" w:bidi="ar-SA"/>
        </w:rPr>
      </w:pPr>
      <w:bookmarkStart w:id="822" w:name="_Toc1973"/>
      <w:r>
        <w:rPr>
          <w:rFonts w:hint="eastAsia" w:ascii="宋体" w:hAnsi="宋体" w:eastAsia="宋体" w:cs="宋体"/>
          <w:b/>
          <w:bCs/>
          <w:color w:val="auto"/>
          <w:sz w:val="18"/>
          <w:szCs w:val="18"/>
          <w:highlight w:val="none"/>
          <w:lang w:val="en-US" w:eastAsia="zh-CN"/>
        </w:rPr>
        <w:t>注：</w:t>
      </w:r>
      <w:r>
        <w:rPr>
          <w:rFonts w:hint="eastAsia" w:ascii="宋体" w:hAnsi="宋体" w:eastAsia="宋体" w:cs="宋体"/>
          <w:b/>
          <w:bCs/>
          <w:color w:val="auto"/>
          <w:kern w:val="2"/>
          <w:sz w:val="18"/>
          <w:szCs w:val="18"/>
          <w:highlight w:val="none"/>
          <w:lang w:val="en-US" w:eastAsia="zh-CN" w:bidi="ar-SA"/>
        </w:rPr>
        <w:t>联合体投标的，须提供本联合体协议书。</w:t>
      </w:r>
      <w:bookmarkEnd w:id="822"/>
    </w:p>
    <w:p w14:paraId="3AE54C4C">
      <w:pPr>
        <w:pStyle w:val="52"/>
        <w:keepNext/>
        <w:keepLines/>
        <w:pageBreakBefore w:val="0"/>
        <w:widowControl w:val="0"/>
        <w:kinsoku/>
        <w:wordWrap/>
        <w:overflowPunct/>
        <w:topLinePunct w:val="0"/>
        <w:autoSpaceDE/>
        <w:autoSpaceDN/>
        <w:bidi w:val="0"/>
        <w:adjustRightInd/>
        <w:snapToGrid/>
        <w:jc w:val="center"/>
        <w:textAlignment w:val="auto"/>
        <w:outlineLvl w:val="9"/>
        <w:rPr>
          <w:color w:val="auto"/>
          <w:szCs w:val="21"/>
          <w:highlight w:val="none"/>
        </w:rPr>
      </w:pPr>
    </w:p>
    <w:p w14:paraId="6D53B304">
      <w:pPr>
        <w:pStyle w:val="52"/>
        <w:keepNext/>
        <w:keepLines/>
        <w:pageBreakBefore w:val="0"/>
        <w:widowControl w:val="0"/>
        <w:kinsoku/>
        <w:wordWrap/>
        <w:overflowPunct/>
        <w:topLinePunct w:val="0"/>
        <w:autoSpaceDE/>
        <w:autoSpaceDN/>
        <w:bidi w:val="0"/>
        <w:adjustRightInd/>
        <w:snapToGrid/>
        <w:jc w:val="center"/>
        <w:textAlignment w:val="auto"/>
        <w:outlineLvl w:val="2"/>
        <w:rPr>
          <w:color w:val="auto"/>
          <w:sz w:val="30"/>
          <w:szCs w:val="30"/>
          <w:highlight w:val="none"/>
        </w:rPr>
      </w:pPr>
      <w:r>
        <w:rPr>
          <w:rFonts w:hint="eastAsia"/>
          <w:color w:val="auto"/>
          <w:sz w:val="30"/>
          <w:szCs w:val="30"/>
          <w:highlight w:val="none"/>
        </w:rPr>
        <w:br w:type="page"/>
      </w:r>
      <w:bookmarkStart w:id="823" w:name="_Toc30978"/>
      <w:r>
        <w:rPr>
          <w:rFonts w:hint="eastAsia"/>
          <w:color w:val="auto"/>
          <w:sz w:val="30"/>
          <w:szCs w:val="30"/>
          <w:highlight w:val="none"/>
          <w:lang w:val="en-US" w:eastAsia="zh-CN"/>
        </w:rPr>
        <w:t>四</w:t>
      </w:r>
      <w:r>
        <w:rPr>
          <w:color w:val="auto"/>
          <w:sz w:val="30"/>
          <w:szCs w:val="30"/>
          <w:highlight w:val="none"/>
        </w:rPr>
        <w:t>、投标保证金</w:t>
      </w:r>
      <w:bookmarkEnd w:id="823"/>
    </w:p>
    <w:p w14:paraId="47BA7646">
      <w:pPr>
        <w:pStyle w:val="70"/>
        <w:ind w:firstLine="420" w:firstLineChars="200"/>
        <w:rPr>
          <w:rFonts w:ascii="宋体" w:hAnsi="宋体"/>
          <w:color w:val="auto"/>
          <w:highlight w:val="none"/>
        </w:rPr>
      </w:pPr>
    </w:p>
    <w:p w14:paraId="5F901727">
      <w:pPr>
        <w:pStyle w:val="9"/>
        <w:keepNext w:val="0"/>
        <w:keepLines w:val="0"/>
        <w:pageBreakBefore w:val="0"/>
        <w:widowControl w:val="0"/>
        <w:kinsoku/>
        <w:wordWrap/>
        <w:overflowPunct/>
        <w:topLinePunct/>
        <w:autoSpaceDE/>
        <w:autoSpaceDN/>
        <w:bidi w:val="0"/>
        <w:adjustRightInd/>
        <w:snapToGrid/>
        <w:spacing w:line="440" w:lineRule="exact"/>
        <w:ind w:left="0" w:leftChars="0" w:right="0" w:rightChars="0" w:firstLine="420" w:firstLineChars="200"/>
        <w:jc w:val="both"/>
        <w:textAlignment w:val="auto"/>
        <w:outlineLvl w:val="2"/>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投标人按招标文件投标人须知第3.4款规定缴纳投标保证金或免缴，投标人应附所投标段投标保证金相应凭证的清晰扫描件或打印件，或AA免缴的相关证明材料。</w:t>
      </w:r>
    </w:p>
    <w:p w14:paraId="190638F1">
      <w:pPr>
        <w:pStyle w:val="9"/>
        <w:keepNext w:val="0"/>
        <w:keepLines w:val="0"/>
        <w:pageBreakBefore w:val="0"/>
        <w:widowControl w:val="0"/>
        <w:kinsoku/>
        <w:wordWrap/>
        <w:overflowPunct/>
        <w:topLinePunct/>
        <w:autoSpaceDE/>
        <w:autoSpaceDN/>
        <w:bidi w:val="0"/>
        <w:adjustRightInd/>
        <w:snapToGrid/>
        <w:spacing w:line="440" w:lineRule="exact"/>
        <w:ind w:left="0" w:leftChars="0" w:right="0" w:rightChars="0" w:firstLine="0" w:firstLineChars="0"/>
        <w:jc w:val="center"/>
        <w:textAlignment w:val="auto"/>
        <w:outlineLvl w:val="2"/>
        <w:rPr>
          <w:rFonts w:hint="default" w:ascii="Times New Roman" w:hAnsi="Times New Roman" w:eastAsia="黑体" w:cs="Times New Roman"/>
          <w:color w:val="auto"/>
          <w:kern w:val="2"/>
          <w:sz w:val="30"/>
          <w:szCs w:val="30"/>
          <w:highlight w:val="none"/>
          <w:lang w:val="en-US" w:eastAsia="zh-CN" w:bidi="ar-SA"/>
        </w:rPr>
      </w:pPr>
      <w:r>
        <w:rPr>
          <w:rFonts w:hint="eastAsia" w:ascii="Times New Roman" w:hAnsi="Times New Roman" w:eastAsia="黑体" w:cs="宋体"/>
          <w:b w:val="0"/>
          <w:bCs w:val="0"/>
          <w:color w:val="auto"/>
          <w:kern w:val="2"/>
          <w:sz w:val="30"/>
          <w:szCs w:val="30"/>
          <w:highlight w:val="none"/>
          <w:lang w:val="en-US" w:eastAsia="zh-CN" w:bidi="ar-SA"/>
        </w:rPr>
        <w:br w:type="page"/>
      </w:r>
      <w:bookmarkStart w:id="824" w:name="_Toc203"/>
      <w:r>
        <w:rPr>
          <w:rFonts w:hint="eastAsia" w:ascii="Times New Roman" w:hAnsi="Times New Roman" w:eastAsia="黑体" w:cs="Times New Roman"/>
          <w:color w:val="auto"/>
          <w:kern w:val="2"/>
          <w:sz w:val="30"/>
          <w:szCs w:val="30"/>
          <w:highlight w:val="none"/>
          <w:lang w:val="en-US" w:eastAsia="zh-CN" w:bidi="ar-SA"/>
        </w:rPr>
        <w:t>五</w:t>
      </w:r>
      <w:r>
        <w:rPr>
          <w:rFonts w:ascii="Times New Roman" w:hAnsi="Times New Roman" w:eastAsia="黑体" w:cs="Times New Roman"/>
          <w:color w:val="auto"/>
          <w:kern w:val="2"/>
          <w:sz w:val="30"/>
          <w:szCs w:val="30"/>
          <w:highlight w:val="none"/>
          <w:lang w:val="en-US" w:eastAsia="zh-CN" w:bidi="ar-SA"/>
        </w:rPr>
        <w:t>、</w:t>
      </w:r>
      <w:r>
        <w:rPr>
          <w:rFonts w:hint="eastAsia" w:ascii="Times New Roman" w:hAnsi="Times New Roman" w:eastAsia="黑体" w:cs="Times New Roman"/>
          <w:color w:val="auto"/>
          <w:kern w:val="2"/>
          <w:sz w:val="30"/>
          <w:szCs w:val="30"/>
          <w:highlight w:val="none"/>
          <w:lang w:val="en-US" w:eastAsia="zh-CN" w:bidi="ar-SA"/>
        </w:rPr>
        <w:t>养护工程作业方案</w:t>
      </w:r>
      <w:bookmarkEnd w:id="824"/>
    </w:p>
    <w:p w14:paraId="445DABD7">
      <w:pPr>
        <w:pStyle w:val="71"/>
        <w:spacing w:line="440" w:lineRule="exact"/>
        <w:ind w:firstLine="435"/>
        <w:rPr>
          <w:rFonts w:cs="宋体"/>
          <w:color w:val="auto"/>
          <w:szCs w:val="21"/>
          <w:highlight w:val="none"/>
        </w:rPr>
      </w:pPr>
    </w:p>
    <w:p w14:paraId="4FC024BC">
      <w:pPr>
        <w:pStyle w:val="71"/>
        <w:spacing w:line="440" w:lineRule="exact"/>
        <w:ind w:firstLine="435"/>
        <w:rPr>
          <w:rFonts w:cs="Calibri"/>
          <w:color w:val="auto"/>
          <w:szCs w:val="21"/>
          <w:highlight w:val="none"/>
        </w:rPr>
      </w:pPr>
      <w:r>
        <w:rPr>
          <w:rFonts w:cs="宋体"/>
          <w:color w:val="auto"/>
          <w:szCs w:val="21"/>
          <w:highlight w:val="none"/>
        </w:rPr>
        <w:t>1</w:t>
      </w:r>
      <w:r>
        <w:rPr>
          <w:rFonts w:hint="eastAsia" w:cs="宋体"/>
          <w:color w:val="auto"/>
          <w:szCs w:val="21"/>
          <w:highlight w:val="none"/>
          <w:lang w:val="en-US" w:eastAsia="zh-CN"/>
        </w:rPr>
        <w:t>.</w:t>
      </w:r>
      <w:r>
        <w:rPr>
          <w:rFonts w:hint="eastAsia" w:cs="宋体"/>
          <w:color w:val="auto"/>
          <w:szCs w:val="21"/>
          <w:highlight w:val="none"/>
        </w:rPr>
        <w:t>投标人应按以下要点编制</w:t>
      </w:r>
      <w:r>
        <w:rPr>
          <w:rFonts w:hint="eastAsia" w:cs="宋体"/>
          <w:color w:val="auto"/>
          <w:szCs w:val="21"/>
          <w:highlight w:val="none"/>
          <w:lang w:val="en-US" w:eastAsia="zh-CN"/>
        </w:rPr>
        <w:t>养护工程作业方案</w:t>
      </w:r>
      <w:r>
        <w:rPr>
          <w:rFonts w:hint="eastAsia" w:cs="宋体"/>
          <w:color w:val="auto"/>
          <w:szCs w:val="21"/>
          <w:highlight w:val="none"/>
        </w:rPr>
        <w:t>（文字</w:t>
      </w:r>
      <w:r>
        <w:rPr>
          <w:rFonts w:hint="eastAsia" w:cs="宋体"/>
          <w:color w:val="auto"/>
          <w:szCs w:val="21"/>
          <w:highlight w:val="none"/>
          <w:lang w:val="en-US" w:eastAsia="zh-CN"/>
        </w:rPr>
        <w:t>要求</w:t>
      </w:r>
      <w:r>
        <w:rPr>
          <w:rFonts w:hint="eastAsia" w:cs="宋体"/>
          <w:color w:val="auto"/>
          <w:szCs w:val="21"/>
          <w:highlight w:val="none"/>
        </w:rPr>
        <w:t>精练、内容具有针对性）：</w:t>
      </w:r>
    </w:p>
    <w:p w14:paraId="7C8BE8B4">
      <w:pPr>
        <w:pStyle w:val="71"/>
        <w:spacing w:line="440" w:lineRule="exact"/>
        <w:ind w:firstLine="644" w:firstLineChars="307"/>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eastAsia="zh-CN"/>
        </w:rPr>
        <w:t>（</w:t>
      </w:r>
      <w:r>
        <w:rPr>
          <w:rFonts w:hint="eastAsia" w:ascii="Times New Roman" w:hAnsi="Times New Roman" w:eastAsia="宋体" w:cs="宋体"/>
          <w:color w:val="auto"/>
          <w:szCs w:val="21"/>
          <w:highlight w:val="none"/>
          <w:lang w:val="en-US" w:eastAsia="zh-CN"/>
        </w:rPr>
        <w:t>1</w:t>
      </w:r>
      <w:r>
        <w:rPr>
          <w:rFonts w:hint="eastAsia" w:ascii="Times New Roman" w:hAnsi="Times New Roman" w:eastAsia="宋体" w:cs="宋体"/>
          <w:color w:val="auto"/>
          <w:szCs w:val="21"/>
          <w:highlight w:val="none"/>
          <w:lang w:eastAsia="zh-CN"/>
        </w:rPr>
        <w:t>）</w:t>
      </w:r>
      <w:r>
        <w:rPr>
          <w:rFonts w:hint="eastAsia" w:ascii="Times New Roman" w:hAnsi="Times New Roman" w:eastAsia="宋体" w:cs="宋体"/>
          <w:color w:val="auto"/>
          <w:szCs w:val="21"/>
          <w:highlight w:val="none"/>
          <w:lang w:val="en-US" w:eastAsia="zh-CN"/>
        </w:rPr>
        <w:t>施工组织及现场布置</w:t>
      </w:r>
      <w:r>
        <w:rPr>
          <w:rFonts w:hint="eastAsia" w:ascii="Times New Roman" w:hAnsi="Times New Roman" w:eastAsia="宋体" w:cs="宋体"/>
          <w:color w:val="auto"/>
          <w:szCs w:val="21"/>
          <w:highlight w:val="none"/>
        </w:rPr>
        <w:t xml:space="preserve"> （包括交通组织方案）</w:t>
      </w:r>
    </w:p>
    <w:p w14:paraId="121866A7">
      <w:pPr>
        <w:pStyle w:val="71"/>
        <w:spacing w:line="440" w:lineRule="exact"/>
        <w:ind w:firstLine="644" w:firstLineChars="307"/>
        <w:rPr>
          <w:rFonts w:hint="eastAsia"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lang w:eastAsia="zh-CN"/>
        </w:rPr>
        <w:t>（</w:t>
      </w:r>
      <w:r>
        <w:rPr>
          <w:rFonts w:hint="eastAsia" w:ascii="Times New Roman" w:hAnsi="Times New Roman" w:eastAsia="宋体" w:cs="宋体"/>
          <w:color w:val="auto"/>
          <w:szCs w:val="21"/>
          <w:highlight w:val="none"/>
          <w:lang w:val="en-US" w:eastAsia="zh-CN"/>
        </w:rPr>
        <w:t>2</w:t>
      </w:r>
      <w:r>
        <w:rPr>
          <w:rFonts w:hint="eastAsia" w:ascii="Times New Roman" w:hAnsi="Times New Roman" w:eastAsia="宋体" w:cs="宋体"/>
          <w:color w:val="auto"/>
          <w:szCs w:val="21"/>
          <w:highlight w:val="none"/>
          <w:lang w:eastAsia="zh-CN"/>
        </w:rPr>
        <w:t>）</w:t>
      </w:r>
      <w:r>
        <w:rPr>
          <w:rFonts w:hint="eastAsia" w:ascii="Times New Roman" w:hAnsi="Times New Roman" w:eastAsia="宋体" w:cs="宋体"/>
          <w:color w:val="auto"/>
          <w:szCs w:val="21"/>
          <w:highlight w:val="none"/>
          <w:lang w:val="en-US" w:eastAsia="zh-CN"/>
        </w:rPr>
        <w:t>技术人员配置及劳动力安排</w:t>
      </w:r>
    </w:p>
    <w:p w14:paraId="451C78E8">
      <w:pPr>
        <w:pStyle w:val="71"/>
        <w:spacing w:line="440" w:lineRule="exact"/>
        <w:ind w:firstLine="644" w:firstLineChars="307"/>
        <w:rPr>
          <w:rFonts w:hint="default"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lang w:eastAsia="zh-CN"/>
        </w:rPr>
        <w:t>（</w:t>
      </w:r>
      <w:r>
        <w:rPr>
          <w:rFonts w:hint="eastAsia" w:ascii="Times New Roman" w:hAnsi="Times New Roman" w:eastAsia="宋体" w:cs="宋体"/>
          <w:color w:val="auto"/>
          <w:szCs w:val="21"/>
          <w:highlight w:val="none"/>
          <w:lang w:val="en-US" w:eastAsia="zh-CN"/>
        </w:rPr>
        <w:t>3</w:t>
      </w:r>
      <w:r>
        <w:rPr>
          <w:rFonts w:hint="eastAsia" w:ascii="Times New Roman" w:hAnsi="Times New Roman" w:eastAsia="宋体" w:cs="宋体"/>
          <w:color w:val="auto"/>
          <w:szCs w:val="21"/>
          <w:highlight w:val="none"/>
          <w:lang w:eastAsia="zh-CN"/>
        </w:rPr>
        <w:t>）</w:t>
      </w:r>
      <w:r>
        <w:rPr>
          <w:rFonts w:hint="eastAsia" w:ascii="Times New Roman" w:hAnsi="Times New Roman" w:eastAsia="宋体" w:cs="宋体"/>
          <w:color w:val="auto"/>
          <w:szCs w:val="21"/>
          <w:highlight w:val="none"/>
          <w:lang w:val="en-US" w:eastAsia="zh-CN"/>
        </w:rPr>
        <w:t>养护设备配置</w:t>
      </w:r>
      <w:r>
        <w:rPr>
          <w:rFonts w:hint="eastAsia" w:ascii="Times New Roman" w:hAnsi="Times New Roman" w:eastAsia="宋体" w:cs="Times New Roman"/>
          <w:color w:val="auto"/>
          <w:szCs w:val="21"/>
          <w:highlight w:val="none"/>
          <w:lang w:val="en-US" w:eastAsia="zh-CN"/>
        </w:rPr>
        <w:t>（包括质量检测设备）</w:t>
      </w:r>
    </w:p>
    <w:p w14:paraId="020A5A1D">
      <w:pPr>
        <w:pStyle w:val="71"/>
        <w:spacing w:line="440" w:lineRule="exact"/>
        <w:ind w:firstLine="644" w:firstLineChars="307"/>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eastAsia="zh-CN"/>
        </w:rPr>
        <w:t>（</w:t>
      </w:r>
      <w:r>
        <w:rPr>
          <w:rFonts w:hint="eastAsia" w:ascii="Times New Roman" w:hAnsi="Times New Roman" w:eastAsia="宋体" w:cs="宋体"/>
          <w:color w:val="auto"/>
          <w:szCs w:val="21"/>
          <w:highlight w:val="none"/>
          <w:lang w:val="en-US" w:eastAsia="zh-CN"/>
        </w:rPr>
        <w:t>4</w:t>
      </w:r>
      <w:r>
        <w:rPr>
          <w:rFonts w:hint="eastAsia" w:ascii="Times New Roman" w:hAnsi="Times New Roman" w:eastAsia="宋体" w:cs="宋体"/>
          <w:color w:val="auto"/>
          <w:szCs w:val="21"/>
          <w:highlight w:val="none"/>
          <w:lang w:eastAsia="zh-CN"/>
        </w:rPr>
        <w:t>）</w:t>
      </w:r>
      <w:r>
        <w:rPr>
          <w:rFonts w:hint="eastAsia" w:ascii="Times New Roman" w:hAnsi="Times New Roman" w:eastAsia="宋体" w:cs="宋体"/>
          <w:color w:val="auto"/>
          <w:szCs w:val="21"/>
          <w:highlight w:val="none"/>
          <w:lang w:val="en-US" w:eastAsia="zh-CN"/>
        </w:rPr>
        <w:t>养护</w:t>
      </w:r>
      <w:r>
        <w:rPr>
          <w:rFonts w:hint="eastAsia" w:ascii="Times New Roman" w:hAnsi="Times New Roman" w:eastAsia="宋体" w:cs="宋体"/>
          <w:color w:val="auto"/>
          <w:szCs w:val="21"/>
          <w:highlight w:val="none"/>
        </w:rPr>
        <w:t>技术</w:t>
      </w:r>
      <w:r>
        <w:rPr>
          <w:rFonts w:hint="eastAsia" w:ascii="Times New Roman" w:hAnsi="Times New Roman" w:eastAsia="宋体" w:cs="宋体"/>
          <w:color w:val="auto"/>
          <w:szCs w:val="21"/>
          <w:highlight w:val="none"/>
          <w:lang w:val="en-US" w:eastAsia="zh-CN"/>
        </w:rPr>
        <w:t>方案及</w:t>
      </w:r>
      <w:r>
        <w:rPr>
          <w:rFonts w:hint="eastAsia" w:ascii="Times New Roman" w:hAnsi="Times New Roman" w:eastAsia="宋体" w:cs="宋体"/>
          <w:color w:val="auto"/>
          <w:szCs w:val="21"/>
          <w:highlight w:val="none"/>
        </w:rPr>
        <w:t>措施（尤其对重点、关键和难点工程的施工方案、方法及其措施）</w:t>
      </w:r>
    </w:p>
    <w:p w14:paraId="7380838C">
      <w:pPr>
        <w:pStyle w:val="71"/>
        <w:spacing w:line="440" w:lineRule="exact"/>
        <w:ind w:firstLine="644" w:firstLineChars="307"/>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eastAsia="zh-CN"/>
        </w:rPr>
        <w:t>（</w:t>
      </w:r>
      <w:r>
        <w:rPr>
          <w:rFonts w:hint="eastAsia" w:ascii="Times New Roman" w:hAnsi="Times New Roman" w:eastAsia="宋体" w:cs="宋体"/>
          <w:color w:val="auto"/>
          <w:szCs w:val="21"/>
          <w:highlight w:val="none"/>
          <w:lang w:val="en-US" w:eastAsia="zh-CN"/>
        </w:rPr>
        <w:t>5</w:t>
      </w:r>
      <w:r>
        <w:rPr>
          <w:rFonts w:hint="eastAsia" w:ascii="Times New Roman" w:hAnsi="Times New Roman" w:eastAsia="宋体" w:cs="宋体"/>
          <w:color w:val="auto"/>
          <w:szCs w:val="21"/>
          <w:highlight w:val="none"/>
          <w:lang w:eastAsia="zh-CN"/>
        </w:rPr>
        <w:t>）</w:t>
      </w:r>
      <w:r>
        <w:rPr>
          <w:rFonts w:hint="eastAsia" w:ascii="Times New Roman" w:hAnsi="Times New Roman" w:eastAsia="宋体" w:cs="Times New Roman"/>
          <w:color w:val="auto"/>
          <w:szCs w:val="21"/>
          <w:highlight w:val="none"/>
          <w:lang w:val="en-US" w:eastAsia="zh-CN"/>
        </w:rPr>
        <w:t>质量管控保障措施、安全文明及环境保护保障措施</w:t>
      </w:r>
    </w:p>
    <w:p w14:paraId="56DCA99D">
      <w:pPr>
        <w:pStyle w:val="71"/>
        <w:spacing w:line="440" w:lineRule="exact"/>
        <w:ind w:firstLine="644" w:firstLineChars="307"/>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eastAsia="zh-CN"/>
        </w:rPr>
        <w:t>（</w:t>
      </w:r>
      <w:r>
        <w:rPr>
          <w:rFonts w:hint="eastAsia" w:ascii="Times New Roman" w:hAnsi="Times New Roman" w:eastAsia="宋体" w:cs="宋体"/>
          <w:color w:val="auto"/>
          <w:szCs w:val="21"/>
          <w:highlight w:val="none"/>
          <w:lang w:val="en-US" w:eastAsia="zh-CN"/>
        </w:rPr>
        <w:t>6</w:t>
      </w:r>
      <w:r>
        <w:rPr>
          <w:rFonts w:hint="eastAsia" w:ascii="Times New Roman" w:hAnsi="Times New Roman" w:eastAsia="宋体" w:cs="宋体"/>
          <w:color w:val="auto"/>
          <w:szCs w:val="21"/>
          <w:highlight w:val="none"/>
          <w:lang w:eastAsia="zh-CN"/>
        </w:rPr>
        <w:t>）</w:t>
      </w:r>
      <w:r>
        <w:rPr>
          <w:rFonts w:hint="eastAsia" w:ascii="Times New Roman" w:hAnsi="Times New Roman" w:eastAsia="宋体" w:cs="宋体"/>
          <w:color w:val="auto"/>
          <w:szCs w:val="21"/>
          <w:highlight w:val="none"/>
        </w:rPr>
        <w:t>项目风险预测与防范，事故应急预案</w:t>
      </w:r>
    </w:p>
    <w:p w14:paraId="6AA3FD06">
      <w:pPr>
        <w:pStyle w:val="71"/>
        <w:spacing w:line="440" w:lineRule="exact"/>
        <w:ind w:firstLine="644" w:firstLineChars="307"/>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eastAsia="zh-CN"/>
        </w:rPr>
        <w:t>（</w:t>
      </w:r>
      <w:r>
        <w:rPr>
          <w:rFonts w:hint="eastAsia" w:ascii="Times New Roman" w:hAnsi="Times New Roman" w:eastAsia="宋体" w:cs="宋体"/>
          <w:color w:val="auto"/>
          <w:szCs w:val="21"/>
          <w:highlight w:val="none"/>
          <w:lang w:val="en-US" w:eastAsia="zh-CN"/>
        </w:rPr>
        <w:t>7</w:t>
      </w:r>
      <w:r>
        <w:rPr>
          <w:rFonts w:hint="eastAsia" w:ascii="Times New Roman" w:hAnsi="Times New Roman" w:eastAsia="宋体" w:cs="宋体"/>
          <w:color w:val="auto"/>
          <w:szCs w:val="21"/>
          <w:highlight w:val="none"/>
          <w:lang w:eastAsia="zh-CN"/>
        </w:rPr>
        <w:t>）</w:t>
      </w:r>
      <w:r>
        <w:rPr>
          <w:rFonts w:hint="eastAsia" w:ascii="Times New Roman" w:hAnsi="Times New Roman" w:eastAsia="宋体" w:cs="宋体"/>
          <w:color w:val="auto"/>
          <w:szCs w:val="21"/>
          <w:highlight w:val="none"/>
        </w:rPr>
        <w:t>其他应说明的事项</w:t>
      </w:r>
    </w:p>
    <w:p w14:paraId="7AEDC491">
      <w:pPr>
        <w:pStyle w:val="71"/>
        <w:spacing w:line="440" w:lineRule="exact"/>
        <w:ind w:firstLine="435"/>
        <w:rPr>
          <w:rFonts w:cs="Calibri"/>
          <w:color w:val="auto"/>
          <w:szCs w:val="21"/>
          <w:highlight w:val="none"/>
        </w:rPr>
      </w:pPr>
      <w:r>
        <w:rPr>
          <w:rFonts w:cs="宋体"/>
          <w:color w:val="auto"/>
          <w:szCs w:val="21"/>
          <w:highlight w:val="none"/>
        </w:rPr>
        <w:t>2</w:t>
      </w:r>
      <w:r>
        <w:rPr>
          <w:rFonts w:hint="eastAsia" w:cs="宋体"/>
          <w:color w:val="auto"/>
          <w:szCs w:val="21"/>
          <w:highlight w:val="none"/>
          <w:lang w:val="en-US" w:eastAsia="zh-CN"/>
        </w:rPr>
        <w:t>.养护工程作业方案</w:t>
      </w:r>
      <w:r>
        <w:rPr>
          <w:rFonts w:hint="eastAsia" w:cs="宋体"/>
          <w:color w:val="auto"/>
          <w:szCs w:val="21"/>
          <w:highlight w:val="none"/>
        </w:rPr>
        <w:t>除采用文字表述外可附下列图表，图表及格式要求附后。</w:t>
      </w:r>
    </w:p>
    <w:p w14:paraId="0182CD1E">
      <w:pPr>
        <w:pStyle w:val="71"/>
        <w:spacing w:line="440" w:lineRule="exact"/>
        <w:ind w:left="359" w:leftChars="171" w:firstLine="435"/>
        <w:rPr>
          <w:rFonts w:hint="eastAsia" w:cs="宋体"/>
          <w:color w:val="auto"/>
          <w:szCs w:val="21"/>
          <w:highlight w:val="none"/>
        </w:rPr>
      </w:pPr>
      <w:r>
        <w:rPr>
          <w:rFonts w:hint="eastAsia" w:cs="宋体"/>
          <w:color w:val="auto"/>
          <w:szCs w:val="21"/>
          <w:highlight w:val="none"/>
        </w:rPr>
        <w:t>附表一</w:t>
      </w:r>
      <w:r>
        <w:rPr>
          <w:rFonts w:hint="eastAsia" w:cs="宋体"/>
          <w:color w:val="auto"/>
          <w:szCs w:val="21"/>
          <w:highlight w:val="none"/>
          <w:lang w:val="en-US" w:eastAsia="zh-CN"/>
        </w:rPr>
        <w:t xml:space="preserve"> </w:t>
      </w:r>
      <w:r>
        <w:rPr>
          <w:rFonts w:hint="eastAsia" w:cs="宋体"/>
          <w:color w:val="auto"/>
          <w:szCs w:val="21"/>
          <w:highlight w:val="none"/>
        </w:rPr>
        <w:t>总体</w:t>
      </w:r>
      <w:r>
        <w:rPr>
          <w:rFonts w:hint="eastAsia" w:cs="宋体"/>
          <w:color w:val="auto"/>
          <w:szCs w:val="21"/>
          <w:highlight w:val="none"/>
          <w:lang w:val="en-US" w:eastAsia="zh-CN"/>
        </w:rPr>
        <w:t>作业</w:t>
      </w:r>
      <w:r>
        <w:rPr>
          <w:rFonts w:hint="eastAsia" w:cs="宋体"/>
          <w:color w:val="auto"/>
          <w:szCs w:val="21"/>
          <w:highlight w:val="none"/>
        </w:rPr>
        <w:t>计划表</w:t>
      </w:r>
    </w:p>
    <w:p w14:paraId="20198102">
      <w:pPr>
        <w:pStyle w:val="71"/>
        <w:spacing w:line="440" w:lineRule="exact"/>
        <w:ind w:firstLine="647" w:firstLineChars="307"/>
        <w:rPr>
          <w:rFonts w:hint="default" w:ascii="Times New Roman" w:hAnsi="Times New Roman" w:eastAsia="宋体" w:cs="Times New Roman"/>
          <w:b/>
          <w:bCs/>
          <w:color w:val="auto"/>
          <w:szCs w:val="21"/>
          <w:highlight w:val="none"/>
          <w:u w:val="single"/>
          <w:lang w:val="en-US" w:eastAsia="zh-CN"/>
        </w:rPr>
      </w:pPr>
    </w:p>
    <w:p w14:paraId="2E29167F">
      <w:pPr>
        <w:pStyle w:val="71"/>
        <w:pageBreakBefore/>
        <w:rPr>
          <w:rFonts w:cs="Calibri"/>
          <w:b/>
          <w:bCs/>
          <w:color w:val="auto"/>
          <w:sz w:val="28"/>
          <w:szCs w:val="28"/>
          <w:highlight w:val="none"/>
        </w:rPr>
      </w:pPr>
      <w:r>
        <w:rPr>
          <w:rFonts w:hint="eastAsia" w:cs="宋体"/>
          <w:b/>
          <w:bCs/>
          <w:color w:val="auto"/>
          <w:sz w:val="28"/>
          <w:szCs w:val="28"/>
          <w:highlight w:val="none"/>
        </w:rPr>
        <w:t>附表一总体</w:t>
      </w:r>
      <w:r>
        <w:rPr>
          <w:rFonts w:hint="eastAsia" w:cs="宋体"/>
          <w:b/>
          <w:bCs/>
          <w:color w:val="auto"/>
          <w:sz w:val="28"/>
          <w:szCs w:val="28"/>
          <w:highlight w:val="none"/>
          <w:lang w:val="en-US" w:eastAsia="zh-CN"/>
        </w:rPr>
        <w:t>作业</w:t>
      </w:r>
      <w:r>
        <w:rPr>
          <w:rFonts w:hint="eastAsia" w:cs="宋体"/>
          <w:b/>
          <w:bCs/>
          <w:color w:val="auto"/>
          <w:sz w:val="28"/>
          <w:szCs w:val="28"/>
          <w:highlight w:val="none"/>
        </w:rPr>
        <w:t>计划表</w:t>
      </w:r>
    </w:p>
    <w:tbl>
      <w:tblPr>
        <w:tblStyle w:val="23"/>
        <w:tblW w:w="8898" w:type="dxa"/>
        <w:tblInd w:w="-2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51"/>
        <w:gridCol w:w="796"/>
        <w:gridCol w:w="890"/>
        <w:gridCol w:w="455"/>
        <w:gridCol w:w="410"/>
        <w:gridCol w:w="411"/>
        <w:gridCol w:w="410"/>
        <w:gridCol w:w="410"/>
        <w:gridCol w:w="410"/>
        <w:gridCol w:w="410"/>
        <w:gridCol w:w="406"/>
        <w:gridCol w:w="406"/>
        <w:gridCol w:w="410"/>
        <w:gridCol w:w="410"/>
        <w:gridCol w:w="410"/>
        <w:gridCol w:w="410"/>
        <w:gridCol w:w="410"/>
        <w:gridCol w:w="404"/>
        <w:gridCol w:w="392"/>
        <w:gridCol w:w="387"/>
      </w:tblGrid>
      <w:tr w14:paraId="7E175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3" w:hRule="atLeast"/>
        </w:trPr>
        <w:tc>
          <w:tcPr>
            <w:tcW w:w="251" w:type="dxa"/>
            <w:tcBorders>
              <w:top w:val="nil"/>
              <w:left w:val="nil"/>
              <w:bottom w:val="nil"/>
              <w:right w:val="single" w:color="auto" w:sz="12" w:space="0"/>
            </w:tcBorders>
            <w:noWrap w:val="0"/>
            <w:textDirection w:val="btLr"/>
            <w:vAlign w:val="top"/>
          </w:tcPr>
          <w:p w14:paraId="5A492D99">
            <w:pPr>
              <w:pStyle w:val="71"/>
              <w:spacing w:line="180" w:lineRule="exact"/>
              <w:ind w:left="113" w:right="113"/>
              <w:jc w:val="center"/>
              <w:rPr>
                <w:rFonts w:cs="Calibri"/>
                <w:color w:val="auto"/>
                <w:spacing w:val="-24"/>
                <w:w w:val="90"/>
                <w:sz w:val="18"/>
                <w:szCs w:val="18"/>
                <w:highlight w:val="none"/>
              </w:rPr>
            </w:pPr>
          </w:p>
        </w:tc>
        <w:tc>
          <w:tcPr>
            <w:tcW w:w="796" w:type="dxa"/>
            <w:vMerge w:val="restart"/>
            <w:tcBorders>
              <w:top w:val="single" w:color="auto" w:sz="12" w:space="0"/>
              <w:left w:val="single" w:color="auto" w:sz="12" w:space="0"/>
              <w:bottom w:val="single" w:color="auto" w:sz="6" w:space="0"/>
              <w:right w:val="single" w:color="auto" w:sz="6" w:space="0"/>
            </w:tcBorders>
            <w:noWrap w:val="0"/>
            <w:textDirection w:val="btLr"/>
            <w:vAlign w:val="center"/>
          </w:tcPr>
          <w:p w14:paraId="06889F3D">
            <w:pPr>
              <w:pStyle w:val="71"/>
              <w:spacing w:line="180" w:lineRule="exact"/>
              <w:ind w:left="113" w:right="113"/>
              <w:jc w:val="center"/>
              <w:rPr>
                <w:rFonts w:cs="Calibri"/>
                <w:color w:val="auto"/>
                <w:w w:val="90"/>
                <w:sz w:val="18"/>
                <w:szCs w:val="18"/>
                <w:highlight w:val="none"/>
              </w:rPr>
            </w:pPr>
            <w:r>
              <w:rPr>
                <w:rFonts w:hint="eastAsia" w:cs="宋体"/>
                <w:color w:val="auto"/>
                <w:w w:val="90"/>
                <w:sz w:val="18"/>
                <w:szCs w:val="18"/>
                <w:highlight w:val="none"/>
              </w:rPr>
              <w:t>年度</w:t>
            </w:r>
          </w:p>
        </w:tc>
        <w:tc>
          <w:tcPr>
            <w:tcW w:w="890" w:type="dxa"/>
            <w:tcBorders>
              <w:top w:val="single" w:color="auto" w:sz="12" w:space="0"/>
              <w:left w:val="single" w:color="auto" w:sz="6" w:space="0"/>
              <w:bottom w:val="single" w:color="auto" w:sz="6" w:space="0"/>
              <w:right w:val="single" w:color="auto" w:sz="6" w:space="0"/>
            </w:tcBorders>
            <w:noWrap w:val="0"/>
            <w:textDirection w:val="btLr"/>
            <w:vAlign w:val="center"/>
          </w:tcPr>
          <w:p w14:paraId="36D0DEC7">
            <w:pPr>
              <w:pStyle w:val="71"/>
              <w:spacing w:line="180" w:lineRule="exact"/>
              <w:ind w:left="113" w:right="113"/>
              <w:jc w:val="center"/>
              <w:rPr>
                <w:rFonts w:cs="Calibri"/>
                <w:color w:val="auto"/>
                <w:spacing w:val="-24"/>
                <w:sz w:val="18"/>
                <w:szCs w:val="18"/>
                <w:highlight w:val="none"/>
              </w:rPr>
            </w:pPr>
            <w:r>
              <w:rPr>
                <w:rFonts w:cs="Calibri"/>
                <w:color w:val="auto"/>
                <w:spacing w:val="-24"/>
                <w:sz w:val="18"/>
                <w:szCs w:val="18"/>
                <w:highlight w:val="none"/>
              </w:rPr>
              <w:t>…</w:t>
            </w:r>
          </w:p>
        </w:tc>
        <w:tc>
          <w:tcPr>
            <w:tcW w:w="455" w:type="dxa"/>
            <w:tcBorders>
              <w:top w:val="single" w:color="auto" w:sz="12" w:space="0"/>
              <w:left w:val="single" w:color="auto" w:sz="6" w:space="0"/>
              <w:bottom w:val="single" w:color="auto" w:sz="6" w:space="0"/>
              <w:right w:val="single" w:color="auto" w:sz="6" w:space="0"/>
            </w:tcBorders>
            <w:noWrap w:val="0"/>
            <w:textDirection w:val="btLr"/>
            <w:vAlign w:val="center"/>
          </w:tcPr>
          <w:p w14:paraId="4C84B3B5">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12" w:space="0"/>
              <w:left w:val="single" w:color="auto" w:sz="6" w:space="0"/>
              <w:bottom w:val="single" w:color="auto" w:sz="6" w:space="0"/>
              <w:right w:val="single" w:color="auto" w:sz="6" w:space="0"/>
            </w:tcBorders>
            <w:noWrap w:val="0"/>
            <w:textDirection w:val="btLr"/>
            <w:vAlign w:val="center"/>
          </w:tcPr>
          <w:p w14:paraId="1332ECF1">
            <w:pPr>
              <w:pStyle w:val="71"/>
              <w:spacing w:line="180" w:lineRule="exact"/>
              <w:ind w:left="113" w:right="113"/>
              <w:jc w:val="center"/>
              <w:rPr>
                <w:rFonts w:cs="Calibri"/>
                <w:color w:val="auto"/>
                <w:spacing w:val="-24"/>
                <w:w w:val="90"/>
                <w:sz w:val="18"/>
                <w:szCs w:val="18"/>
                <w:highlight w:val="none"/>
              </w:rPr>
            </w:pPr>
          </w:p>
        </w:tc>
        <w:tc>
          <w:tcPr>
            <w:tcW w:w="411" w:type="dxa"/>
            <w:tcBorders>
              <w:top w:val="single" w:color="auto" w:sz="12" w:space="0"/>
              <w:left w:val="single" w:color="auto" w:sz="6" w:space="0"/>
              <w:bottom w:val="single" w:color="auto" w:sz="6" w:space="0"/>
              <w:right w:val="single" w:color="auto" w:sz="6" w:space="0"/>
            </w:tcBorders>
            <w:noWrap w:val="0"/>
            <w:textDirection w:val="btLr"/>
            <w:vAlign w:val="center"/>
          </w:tcPr>
          <w:p w14:paraId="7DBEFC11">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12" w:space="0"/>
              <w:left w:val="single" w:color="auto" w:sz="6" w:space="0"/>
              <w:bottom w:val="single" w:color="auto" w:sz="6" w:space="0"/>
              <w:right w:val="single" w:color="auto" w:sz="6" w:space="0"/>
            </w:tcBorders>
            <w:noWrap w:val="0"/>
            <w:textDirection w:val="btLr"/>
            <w:vAlign w:val="center"/>
          </w:tcPr>
          <w:p w14:paraId="24E85268">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12" w:space="0"/>
              <w:left w:val="single" w:color="auto" w:sz="6" w:space="0"/>
              <w:bottom w:val="single" w:color="auto" w:sz="6" w:space="0"/>
              <w:right w:val="single" w:color="auto" w:sz="6" w:space="0"/>
            </w:tcBorders>
            <w:noWrap w:val="0"/>
            <w:textDirection w:val="btLr"/>
            <w:vAlign w:val="center"/>
          </w:tcPr>
          <w:p w14:paraId="3B742B16">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12" w:space="0"/>
              <w:left w:val="single" w:color="auto" w:sz="6" w:space="0"/>
              <w:bottom w:val="single" w:color="auto" w:sz="6" w:space="0"/>
              <w:right w:val="single" w:color="auto" w:sz="6" w:space="0"/>
            </w:tcBorders>
            <w:noWrap w:val="0"/>
            <w:textDirection w:val="btLr"/>
            <w:vAlign w:val="center"/>
          </w:tcPr>
          <w:p w14:paraId="2B5EDE63">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12" w:space="0"/>
              <w:left w:val="single" w:color="auto" w:sz="6" w:space="0"/>
              <w:bottom w:val="single" w:color="auto" w:sz="6" w:space="0"/>
              <w:right w:val="single" w:color="auto" w:sz="6" w:space="0"/>
            </w:tcBorders>
            <w:noWrap w:val="0"/>
            <w:textDirection w:val="btLr"/>
            <w:vAlign w:val="center"/>
          </w:tcPr>
          <w:p w14:paraId="31EA1E1B">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12" w:space="0"/>
              <w:left w:val="single" w:color="auto" w:sz="6" w:space="0"/>
              <w:bottom w:val="single" w:color="auto" w:sz="6" w:space="0"/>
              <w:right w:val="single" w:color="auto" w:sz="6" w:space="0"/>
            </w:tcBorders>
            <w:noWrap w:val="0"/>
            <w:textDirection w:val="btLr"/>
            <w:vAlign w:val="center"/>
          </w:tcPr>
          <w:p w14:paraId="5C6AD62B">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12" w:space="0"/>
              <w:left w:val="single" w:color="auto" w:sz="6" w:space="0"/>
              <w:bottom w:val="single" w:color="auto" w:sz="6" w:space="0"/>
              <w:right w:val="single" w:color="auto" w:sz="6" w:space="0"/>
            </w:tcBorders>
            <w:noWrap w:val="0"/>
            <w:textDirection w:val="btLr"/>
            <w:vAlign w:val="center"/>
          </w:tcPr>
          <w:p w14:paraId="586EA4B8">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12" w:space="0"/>
              <w:left w:val="single" w:color="auto" w:sz="6" w:space="0"/>
              <w:bottom w:val="single" w:color="auto" w:sz="6" w:space="0"/>
              <w:right w:val="single" w:color="auto" w:sz="6" w:space="0"/>
            </w:tcBorders>
            <w:noWrap w:val="0"/>
            <w:textDirection w:val="btLr"/>
            <w:vAlign w:val="center"/>
          </w:tcPr>
          <w:p w14:paraId="0243DDD1">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12" w:space="0"/>
              <w:left w:val="single" w:color="auto" w:sz="6" w:space="0"/>
              <w:bottom w:val="single" w:color="auto" w:sz="6" w:space="0"/>
              <w:right w:val="single" w:color="auto" w:sz="6" w:space="0"/>
            </w:tcBorders>
            <w:noWrap w:val="0"/>
            <w:textDirection w:val="btLr"/>
            <w:vAlign w:val="center"/>
          </w:tcPr>
          <w:p w14:paraId="57ECECD2">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12" w:space="0"/>
              <w:left w:val="single" w:color="auto" w:sz="6" w:space="0"/>
              <w:bottom w:val="single" w:color="auto" w:sz="6" w:space="0"/>
              <w:right w:val="single" w:color="auto" w:sz="6" w:space="0"/>
            </w:tcBorders>
            <w:noWrap w:val="0"/>
            <w:textDirection w:val="btLr"/>
            <w:vAlign w:val="center"/>
          </w:tcPr>
          <w:p w14:paraId="2E19B6C2">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12" w:space="0"/>
              <w:left w:val="single" w:color="auto" w:sz="6" w:space="0"/>
              <w:bottom w:val="single" w:color="auto" w:sz="6" w:space="0"/>
              <w:right w:val="single" w:color="auto" w:sz="6" w:space="0"/>
            </w:tcBorders>
            <w:noWrap w:val="0"/>
            <w:textDirection w:val="btLr"/>
            <w:vAlign w:val="center"/>
          </w:tcPr>
          <w:p w14:paraId="6D6A85EA">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12" w:space="0"/>
              <w:left w:val="single" w:color="auto" w:sz="6" w:space="0"/>
              <w:bottom w:val="single" w:color="auto" w:sz="6" w:space="0"/>
              <w:right w:val="single" w:color="auto" w:sz="6" w:space="0"/>
            </w:tcBorders>
            <w:noWrap w:val="0"/>
            <w:textDirection w:val="btLr"/>
            <w:vAlign w:val="center"/>
          </w:tcPr>
          <w:p w14:paraId="610927B8">
            <w:pPr>
              <w:pStyle w:val="71"/>
              <w:spacing w:line="180" w:lineRule="exact"/>
              <w:ind w:left="113" w:right="113"/>
              <w:jc w:val="center"/>
              <w:rPr>
                <w:rFonts w:cs="Calibri"/>
                <w:color w:val="auto"/>
                <w:spacing w:val="-24"/>
                <w:w w:val="90"/>
                <w:sz w:val="18"/>
                <w:szCs w:val="18"/>
                <w:highlight w:val="none"/>
              </w:rPr>
            </w:pPr>
          </w:p>
        </w:tc>
        <w:tc>
          <w:tcPr>
            <w:tcW w:w="404" w:type="dxa"/>
            <w:tcBorders>
              <w:top w:val="single" w:color="auto" w:sz="12" w:space="0"/>
              <w:left w:val="single" w:color="auto" w:sz="6" w:space="0"/>
              <w:bottom w:val="single" w:color="auto" w:sz="6" w:space="0"/>
              <w:right w:val="single" w:color="auto" w:sz="6" w:space="0"/>
            </w:tcBorders>
            <w:noWrap w:val="0"/>
            <w:textDirection w:val="btLr"/>
            <w:vAlign w:val="top"/>
          </w:tcPr>
          <w:p w14:paraId="4BC4D213">
            <w:pPr>
              <w:pStyle w:val="71"/>
              <w:spacing w:line="180" w:lineRule="exact"/>
              <w:ind w:left="113" w:right="113"/>
              <w:jc w:val="center"/>
              <w:rPr>
                <w:rFonts w:cs="Calibri"/>
                <w:color w:val="auto"/>
                <w:spacing w:val="-24"/>
                <w:w w:val="90"/>
                <w:sz w:val="18"/>
                <w:szCs w:val="18"/>
                <w:highlight w:val="none"/>
              </w:rPr>
            </w:pPr>
          </w:p>
        </w:tc>
        <w:tc>
          <w:tcPr>
            <w:tcW w:w="392" w:type="dxa"/>
            <w:tcBorders>
              <w:top w:val="single" w:color="auto" w:sz="12" w:space="0"/>
              <w:left w:val="single" w:color="auto" w:sz="6" w:space="0"/>
              <w:bottom w:val="single" w:color="auto" w:sz="6" w:space="0"/>
              <w:right w:val="single" w:color="auto" w:sz="6" w:space="0"/>
            </w:tcBorders>
            <w:noWrap w:val="0"/>
            <w:textDirection w:val="btLr"/>
            <w:vAlign w:val="top"/>
          </w:tcPr>
          <w:p w14:paraId="715E9C91">
            <w:pPr>
              <w:pStyle w:val="71"/>
              <w:spacing w:line="180" w:lineRule="exact"/>
              <w:ind w:left="113" w:right="113"/>
              <w:jc w:val="center"/>
              <w:rPr>
                <w:rFonts w:cs="Calibri"/>
                <w:color w:val="auto"/>
                <w:spacing w:val="-24"/>
                <w:w w:val="90"/>
                <w:sz w:val="18"/>
                <w:szCs w:val="18"/>
                <w:highlight w:val="none"/>
              </w:rPr>
            </w:pPr>
          </w:p>
        </w:tc>
        <w:tc>
          <w:tcPr>
            <w:tcW w:w="387" w:type="dxa"/>
            <w:tcBorders>
              <w:top w:val="single" w:color="auto" w:sz="12" w:space="0"/>
              <w:left w:val="single" w:color="auto" w:sz="6" w:space="0"/>
              <w:bottom w:val="single" w:color="auto" w:sz="6" w:space="0"/>
              <w:right w:val="single" w:color="auto" w:sz="12" w:space="0"/>
            </w:tcBorders>
            <w:noWrap w:val="0"/>
            <w:textDirection w:val="btLr"/>
            <w:vAlign w:val="center"/>
          </w:tcPr>
          <w:p w14:paraId="218D2327">
            <w:pPr>
              <w:pStyle w:val="71"/>
              <w:spacing w:line="180" w:lineRule="exact"/>
              <w:ind w:left="113" w:right="113"/>
              <w:jc w:val="center"/>
              <w:rPr>
                <w:rFonts w:cs="Calibri"/>
                <w:color w:val="auto"/>
                <w:spacing w:val="-24"/>
                <w:w w:val="90"/>
                <w:sz w:val="18"/>
                <w:szCs w:val="18"/>
                <w:highlight w:val="none"/>
              </w:rPr>
            </w:pPr>
          </w:p>
        </w:tc>
      </w:tr>
      <w:tr w14:paraId="40AB3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3" w:hRule="atLeast"/>
        </w:trPr>
        <w:tc>
          <w:tcPr>
            <w:tcW w:w="251" w:type="dxa"/>
            <w:tcBorders>
              <w:top w:val="nil"/>
              <w:left w:val="nil"/>
              <w:bottom w:val="nil"/>
              <w:right w:val="single" w:color="auto" w:sz="12" w:space="0"/>
            </w:tcBorders>
            <w:noWrap w:val="0"/>
            <w:textDirection w:val="btLr"/>
            <w:vAlign w:val="top"/>
          </w:tcPr>
          <w:p w14:paraId="66F40A94">
            <w:pPr>
              <w:pStyle w:val="71"/>
              <w:spacing w:line="180" w:lineRule="exact"/>
              <w:ind w:left="113" w:right="113"/>
              <w:jc w:val="center"/>
              <w:rPr>
                <w:rFonts w:cs="Calibri"/>
                <w:color w:val="auto"/>
                <w:spacing w:val="-24"/>
                <w:w w:val="90"/>
                <w:sz w:val="18"/>
                <w:szCs w:val="18"/>
                <w:highlight w:val="none"/>
              </w:rPr>
            </w:pPr>
          </w:p>
        </w:tc>
        <w:tc>
          <w:tcPr>
            <w:tcW w:w="796" w:type="dxa"/>
            <w:vMerge w:val="continue"/>
            <w:tcBorders>
              <w:top w:val="single" w:color="auto" w:sz="6" w:space="0"/>
              <w:left w:val="single" w:color="auto" w:sz="12" w:space="0"/>
              <w:bottom w:val="single" w:color="auto" w:sz="6" w:space="0"/>
              <w:right w:val="single" w:color="auto" w:sz="6" w:space="0"/>
            </w:tcBorders>
            <w:noWrap w:val="0"/>
            <w:textDirection w:val="btLr"/>
            <w:vAlign w:val="center"/>
          </w:tcPr>
          <w:p w14:paraId="6F44DDAB">
            <w:pPr>
              <w:pStyle w:val="71"/>
              <w:spacing w:line="180" w:lineRule="exact"/>
              <w:ind w:left="113" w:right="113"/>
              <w:jc w:val="center"/>
              <w:rPr>
                <w:rFonts w:cs="Calibri"/>
                <w:color w:val="auto"/>
                <w:w w:val="90"/>
                <w:sz w:val="18"/>
                <w:szCs w:val="18"/>
                <w:highlight w:val="none"/>
              </w:rPr>
            </w:pPr>
          </w:p>
        </w:tc>
        <w:tc>
          <w:tcPr>
            <w:tcW w:w="890" w:type="dxa"/>
            <w:tcBorders>
              <w:top w:val="single" w:color="auto" w:sz="6" w:space="0"/>
              <w:left w:val="single" w:color="auto" w:sz="6" w:space="0"/>
              <w:bottom w:val="single" w:color="auto" w:sz="6" w:space="0"/>
              <w:right w:val="single" w:color="auto" w:sz="6" w:space="0"/>
            </w:tcBorders>
            <w:noWrap w:val="0"/>
            <w:textDirection w:val="btLr"/>
            <w:vAlign w:val="center"/>
          </w:tcPr>
          <w:p w14:paraId="27F83B39">
            <w:pPr>
              <w:pStyle w:val="71"/>
              <w:spacing w:line="180" w:lineRule="exact"/>
              <w:ind w:left="113" w:right="113"/>
              <w:jc w:val="center"/>
              <w:rPr>
                <w:rFonts w:cs="Calibri"/>
                <w:color w:val="auto"/>
                <w:spacing w:val="-24"/>
                <w:sz w:val="18"/>
                <w:szCs w:val="18"/>
                <w:highlight w:val="none"/>
              </w:rPr>
            </w:pPr>
            <w:r>
              <w:rPr>
                <w:rFonts w:cs="宋体"/>
                <w:color w:val="auto"/>
                <w:spacing w:val="-24"/>
                <w:sz w:val="18"/>
                <w:szCs w:val="18"/>
                <w:highlight w:val="none"/>
              </w:rPr>
              <w:t>4</w:t>
            </w:r>
          </w:p>
        </w:tc>
        <w:tc>
          <w:tcPr>
            <w:tcW w:w="455" w:type="dxa"/>
            <w:tcBorders>
              <w:top w:val="single" w:color="auto" w:sz="6" w:space="0"/>
              <w:left w:val="single" w:color="auto" w:sz="6" w:space="0"/>
              <w:bottom w:val="single" w:color="auto" w:sz="6" w:space="0"/>
              <w:right w:val="single" w:color="auto" w:sz="6" w:space="0"/>
            </w:tcBorders>
            <w:noWrap w:val="0"/>
            <w:textDirection w:val="btLr"/>
            <w:vAlign w:val="center"/>
          </w:tcPr>
          <w:p w14:paraId="1DBC5169">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1C1B7ACD">
            <w:pPr>
              <w:pStyle w:val="71"/>
              <w:spacing w:line="180" w:lineRule="exact"/>
              <w:ind w:left="113" w:right="113"/>
              <w:jc w:val="center"/>
              <w:rPr>
                <w:rFonts w:cs="Calibri"/>
                <w:color w:val="auto"/>
                <w:spacing w:val="-24"/>
                <w:w w:val="90"/>
                <w:sz w:val="18"/>
                <w:szCs w:val="18"/>
                <w:highlight w:val="none"/>
              </w:rPr>
            </w:pPr>
          </w:p>
        </w:tc>
        <w:tc>
          <w:tcPr>
            <w:tcW w:w="411" w:type="dxa"/>
            <w:tcBorders>
              <w:top w:val="single" w:color="auto" w:sz="6" w:space="0"/>
              <w:left w:val="single" w:color="auto" w:sz="6" w:space="0"/>
              <w:bottom w:val="single" w:color="auto" w:sz="6" w:space="0"/>
              <w:right w:val="single" w:color="auto" w:sz="6" w:space="0"/>
            </w:tcBorders>
            <w:noWrap w:val="0"/>
            <w:textDirection w:val="btLr"/>
            <w:vAlign w:val="center"/>
          </w:tcPr>
          <w:p w14:paraId="0C8521E0">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0AA673C9">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01E1E445">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7E30E23D">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7E538C0C">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4527CC4A">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3DA88A41">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47210C7D">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40116ECA">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5E1DD475">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7864EA96">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489B24D8">
            <w:pPr>
              <w:pStyle w:val="71"/>
              <w:spacing w:line="180" w:lineRule="exact"/>
              <w:ind w:left="113" w:right="113"/>
              <w:jc w:val="center"/>
              <w:rPr>
                <w:rFonts w:cs="Calibri"/>
                <w:color w:val="auto"/>
                <w:spacing w:val="-24"/>
                <w:w w:val="90"/>
                <w:sz w:val="18"/>
                <w:szCs w:val="18"/>
                <w:highlight w:val="none"/>
              </w:rPr>
            </w:pPr>
          </w:p>
        </w:tc>
        <w:tc>
          <w:tcPr>
            <w:tcW w:w="404" w:type="dxa"/>
            <w:tcBorders>
              <w:top w:val="single" w:color="auto" w:sz="6" w:space="0"/>
              <w:left w:val="single" w:color="auto" w:sz="6" w:space="0"/>
              <w:bottom w:val="single" w:color="auto" w:sz="6" w:space="0"/>
              <w:right w:val="single" w:color="auto" w:sz="6" w:space="0"/>
            </w:tcBorders>
            <w:noWrap w:val="0"/>
            <w:textDirection w:val="btLr"/>
            <w:vAlign w:val="top"/>
          </w:tcPr>
          <w:p w14:paraId="6B4B7B0D">
            <w:pPr>
              <w:pStyle w:val="71"/>
              <w:spacing w:line="180" w:lineRule="exact"/>
              <w:ind w:left="113" w:right="113"/>
              <w:jc w:val="center"/>
              <w:rPr>
                <w:rFonts w:cs="Calibri"/>
                <w:color w:val="auto"/>
                <w:spacing w:val="-24"/>
                <w:w w:val="90"/>
                <w:sz w:val="18"/>
                <w:szCs w:val="18"/>
                <w:highlight w:val="none"/>
              </w:rPr>
            </w:pPr>
          </w:p>
        </w:tc>
        <w:tc>
          <w:tcPr>
            <w:tcW w:w="392" w:type="dxa"/>
            <w:tcBorders>
              <w:top w:val="single" w:color="auto" w:sz="6" w:space="0"/>
              <w:left w:val="single" w:color="auto" w:sz="6" w:space="0"/>
              <w:bottom w:val="single" w:color="auto" w:sz="6" w:space="0"/>
              <w:right w:val="single" w:color="auto" w:sz="6" w:space="0"/>
            </w:tcBorders>
            <w:noWrap w:val="0"/>
            <w:textDirection w:val="btLr"/>
            <w:vAlign w:val="top"/>
          </w:tcPr>
          <w:p w14:paraId="502058A6">
            <w:pPr>
              <w:pStyle w:val="71"/>
              <w:spacing w:line="180" w:lineRule="exact"/>
              <w:ind w:left="113" w:right="113"/>
              <w:jc w:val="center"/>
              <w:rPr>
                <w:rFonts w:cs="Calibri"/>
                <w:color w:val="auto"/>
                <w:spacing w:val="-24"/>
                <w:w w:val="90"/>
                <w:sz w:val="18"/>
                <w:szCs w:val="18"/>
                <w:highlight w:val="none"/>
              </w:rPr>
            </w:pPr>
          </w:p>
        </w:tc>
        <w:tc>
          <w:tcPr>
            <w:tcW w:w="387" w:type="dxa"/>
            <w:tcBorders>
              <w:top w:val="single" w:color="auto" w:sz="6" w:space="0"/>
              <w:left w:val="single" w:color="auto" w:sz="6" w:space="0"/>
              <w:bottom w:val="single" w:color="auto" w:sz="6" w:space="0"/>
              <w:right w:val="single" w:color="auto" w:sz="12" w:space="0"/>
            </w:tcBorders>
            <w:noWrap w:val="0"/>
            <w:textDirection w:val="btLr"/>
            <w:vAlign w:val="center"/>
          </w:tcPr>
          <w:p w14:paraId="6DCCBBD5">
            <w:pPr>
              <w:pStyle w:val="71"/>
              <w:spacing w:line="180" w:lineRule="exact"/>
              <w:ind w:left="113" w:right="113"/>
              <w:jc w:val="center"/>
              <w:rPr>
                <w:rFonts w:cs="Calibri"/>
                <w:color w:val="auto"/>
                <w:spacing w:val="-24"/>
                <w:w w:val="90"/>
                <w:sz w:val="18"/>
                <w:szCs w:val="18"/>
                <w:highlight w:val="none"/>
              </w:rPr>
            </w:pPr>
          </w:p>
        </w:tc>
      </w:tr>
      <w:tr w14:paraId="13350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4" w:hRule="atLeast"/>
        </w:trPr>
        <w:tc>
          <w:tcPr>
            <w:tcW w:w="251" w:type="dxa"/>
            <w:tcBorders>
              <w:top w:val="nil"/>
              <w:left w:val="nil"/>
              <w:bottom w:val="nil"/>
              <w:right w:val="single" w:color="auto" w:sz="12" w:space="0"/>
            </w:tcBorders>
            <w:noWrap w:val="0"/>
            <w:textDirection w:val="btLr"/>
            <w:vAlign w:val="top"/>
          </w:tcPr>
          <w:p w14:paraId="0B4E5E77">
            <w:pPr>
              <w:pStyle w:val="71"/>
              <w:spacing w:line="180" w:lineRule="exact"/>
              <w:ind w:left="113" w:right="113"/>
              <w:jc w:val="center"/>
              <w:rPr>
                <w:rFonts w:cs="Calibri"/>
                <w:color w:val="auto"/>
                <w:spacing w:val="-24"/>
                <w:w w:val="90"/>
                <w:sz w:val="18"/>
                <w:szCs w:val="18"/>
                <w:highlight w:val="none"/>
              </w:rPr>
            </w:pPr>
          </w:p>
        </w:tc>
        <w:tc>
          <w:tcPr>
            <w:tcW w:w="796" w:type="dxa"/>
            <w:vMerge w:val="continue"/>
            <w:tcBorders>
              <w:top w:val="single" w:color="auto" w:sz="6" w:space="0"/>
              <w:left w:val="single" w:color="auto" w:sz="12" w:space="0"/>
              <w:bottom w:val="single" w:color="auto" w:sz="6" w:space="0"/>
              <w:right w:val="single" w:color="auto" w:sz="6" w:space="0"/>
            </w:tcBorders>
            <w:noWrap w:val="0"/>
            <w:textDirection w:val="btLr"/>
            <w:vAlign w:val="center"/>
          </w:tcPr>
          <w:p w14:paraId="1755630E">
            <w:pPr>
              <w:pStyle w:val="71"/>
              <w:spacing w:line="180" w:lineRule="exact"/>
              <w:ind w:left="113" w:right="113"/>
              <w:jc w:val="center"/>
              <w:rPr>
                <w:rFonts w:cs="Calibri"/>
                <w:color w:val="auto"/>
                <w:w w:val="90"/>
                <w:sz w:val="18"/>
                <w:szCs w:val="18"/>
                <w:highlight w:val="none"/>
              </w:rPr>
            </w:pPr>
          </w:p>
        </w:tc>
        <w:tc>
          <w:tcPr>
            <w:tcW w:w="890" w:type="dxa"/>
            <w:tcBorders>
              <w:top w:val="single" w:color="auto" w:sz="6" w:space="0"/>
              <w:left w:val="single" w:color="auto" w:sz="6" w:space="0"/>
              <w:bottom w:val="single" w:color="auto" w:sz="6" w:space="0"/>
              <w:right w:val="single" w:color="auto" w:sz="6" w:space="0"/>
            </w:tcBorders>
            <w:noWrap w:val="0"/>
            <w:textDirection w:val="btLr"/>
            <w:vAlign w:val="center"/>
          </w:tcPr>
          <w:p w14:paraId="5B73C982">
            <w:pPr>
              <w:pStyle w:val="71"/>
              <w:spacing w:line="180" w:lineRule="exact"/>
              <w:ind w:left="113" w:right="113"/>
              <w:jc w:val="center"/>
              <w:rPr>
                <w:rFonts w:cs="Calibri"/>
                <w:color w:val="auto"/>
                <w:spacing w:val="-24"/>
                <w:sz w:val="18"/>
                <w:szCs w:val="18"/>
                <w:highlight w:val="none"/>
              </w:rPr>
            </w:pPr>
            <w:r>
              <w:rPr>
                <w:rFonts w:cs="宋体"/>
                <w:color w:val="auto"/>
                <w:spacing w:val="-24"/>
                <w:sz w:val="18"/>
                <w:szCs w:val="18"/>
                <w:highlight w:val="none"/>
              </w:rPr>
              <w:t>3</w:t>
            </w:r>
          </w:p>
        </w:tc>
        <w:tc>
          <w:tcPr>
            <w:tcW w:w="455" w:type="dxa"/>
            <w:tcBorders>
              <w:top w:val="single" w:color="auto" w:sz="6" w:space="0"/>
              <w:left w:val="single" w:color="auto" w:sz="6" w:space="0"/>
              <w:bottom w:val="single" w:color="auto" w:sz="6" w:space="0"/>
              <w:right w:val="single" w:color="auto" w:sz="6" w:space="0"/>
            </w:tcBorders>
            <w:noWrap w:val="0"/>
            <w:textDirection w:val="btLr"/>
            <w:vAlign w:val="center"/>
          </w:tcPr>
          <w:p w14:paraId="6402A834">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0ED1F960">
            <w:pPr>
              <w:pStyle w:val="71"/>
              <w:spacing w:line="180" w:lineRule="exact"/>
              <w:ind w:left="113" w:right="113"/>
              <w:jc w:val="center"/>
              <w:rPr>
                <w:rFonts w:cs="Calibri"/>
                <w:color w:val="auto"/>
                <w:spacing w:val="-24"/>
                <w:w w:val="90"/>
                <w:sz w:val="18"/>
                <w:szCs w:val="18"/>
                <w:highlight w:val="none"/>
              </w:rPr>
            </w:pPr>
          </w:p>
        </w:tc>
        <w:tc>
          <w:tcPr>
            <w:tcW w:w="411" w:type="dxa"/>
            <w:tcBorders>
              <w:top w:val="single" w:color="auto" w:sz="6" w:space="0"/>
              <w:left w:val="single" w:color="auto" w:sz="6" w:space="0"/>
              <w:bottom w:val="single" w:color="auto" w:sz="6" w:space="0"/>
              <w:right w:val="single" w:color="auto" w:sz="6" w:space="0"/>
            </w:tcBorders>
            <w:noWrap w:val="0"/>
            <w:textDirection w:val="btLr"/>
            <w:vAlign w:val="center"/>
          </w:tcPr>
          <w:p w14:paraId="002625B7">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33D28A02">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3DEC9D85">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44D7FC34">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62BE2D12">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3F58E581">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325A5626">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48C301E0">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4EA86252">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5A3B9171">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28EEA74C">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6BB410A0">
            <w:pPr>
              <w:pStyle w:val="71"/>
              <w:spacing w:line="180" w:lineRule="exact"/>
              <w:ind w:left="113" w:right="113"/>
              <w:jc w:val="center"/>
              <w:rPr>
                <w:rFonts w:cs="Calibri"/>
                <w:color w:val="auto"/>
                <w:spacing w:val="-24"/>
                <w:w w:val="90"/>
                <w:sz w:val="18"/>
                <w:szCs w:val="18"/>
                <w:highlight w:val="none"/>
              </w:rPr>
            </w:pPr>
          </w:p>
        </w:tc>
        <w:tc>
          <w:tcPr>
            <w:tcW w:w="404" w:type="dxa"/>
            <w:tcBorders>
              <w:top w:val="single" w:color="auto" w:sz="6" w:space="0"/>
              <w:left w:val="single" w:color="auto" w:sz="6" w:space="0"/>
              <w:bottom w:val="single" w:color="auto" w:sz="6" w:space="0"/>
              <w:right w:val="single" w:color="auto" w:sz="6" w:space="0"/>
            </w:tcBorders>
            <w:noWrap w:val="0"/>
            <w:textDirection w:val="btLr"/>
            <w:vAlign w:val="top"/>
          </w:tcPr>
          <w:p w14:paraId="42263ACD">
            <w:pPr>
              <w:pStyle w:val="71"/>
              <w:spacing w:line="180" w:lineRule="exact"/>
              <w:ind w:left="113" w:right="113"/>
              <w:jc w:val="center"/>
              <w:rPr>
                <w:rFonts w:cs="Calibri"/>
                <w:color w:val="auto"/>
                <w:spacing w:val="-24"/>
                <w:w w:val="90"/>
                <w:sz w:val="18"/>
                <w:szCs w:val="18"/>
                <w:highlight w:val="none"/>
              </w:rPr>
            </w:pPr>
          </w:p>
        </w:tc>
        <w:tc>
          <w:tcPr>
            <w:tcW w:w="392" w:type="dxa"/>
            <w:tcBorders>
              <w:top w:val="single" w:color="auto" w:sz="6" w:space="0"/>
              <w:left w:val="single" w:color="auto" w:sz="6" w:space="0"/>
              <w:bottom w:val="single" w:color="auto" w:sz="6" w:space="0"/>
              <w:right w:val="single" w:color="auto" w:sz="6" w:space="0"/>
            </w:tcBorders>
            <w:noWrap w:val="0"/>
            <w:textDirection w:val="btLr"/>
            <w:vAlign w:val="top"/>
          </w:tcPr>
          <w:p w14:paraId="780735BD">
            <w:pPr>
              <w:pStyle w:val="71"/>
              <w:spacing w:line="180" w:lineRule="exact"/>
              <w:ind w:left="113" w:right="113"/>
              <w:jc w:val="center"/>
              <w:rPr>
                <w:rFonts w:cs="Calibri"/>
                <w:color w:val="auto"/>
                <w:spacing w:val="-24"/>
                <w:w w:val="90"/>
                <w:sz w:val="18"/>
                <w:szCs w:val="18"/>
                <w:highlight w:val="none"/>
              </w:rPr>
            </w:pPr>
          </w:p>
        </w:tc>
        <w:tc>
          <w:tcPr>
            <w:tcW w:w="387" w:type="dxa"/>
            <w:tcBorders>
              <w:top w:val="single" w:color="auto" w:sz="6" w:space="0"/>
              <w:left w:val="single" w:color="auto" w:sz="6" w:space="0"/>
              <w:bottom w:val="single" w:color="auto" w:sz="6" w:space="0"/>
              <w:right w:val="single" w:color="auto" w:sz="12" w:space="0"/>
            </w:tcBorders>
            <w:noWrap w:val="0"/>
            <w:textDirection w:val="btLr"/>
            <w:vAlign w:val="center"/>
          </w:tcPr>
          <w:p w14:paraId="6FEFBAD3">
            <w:pPr>
              <w:pStyle w:val="71"/>
              <w:spacing w:line="180" w:lineRule="exact"/>
              <w:ind w:left="113" w:right="113"/>
              <w:jc w:val="center"/>
              <w:rPr>
                <w:rFonts w:cs="Calibri"/>
                <w:color w:val="auto"/>
                <w:spacing w:val="-24"/>
                <w:w w:val="90"/>
                <w:sz w:val="18"/>
                <w:szCs w:val="18"/>
                <w:highlight w:val="none"/>
              </w:rPr>
            </w:pPr>
          </w:p>
        </w:tc>
      </w:tr>
      <w:tr w14:paraId="129A3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3" w:hRule="atLeast"/>
        </w:trPr>
        <w:tc>
          <w:tcPr>
            <w:tcW w:w="251" w:type="dxa"/>
            <w:tcBorders>
              <w:top w:val="nil"/>
              <w:left w:val="nil"/>
              <w:bottom w:val="nil"/>
              <w:right w:val="single" w:color="auto" w:sz="12" w:space="0"/>
            </w:tcBorders>
            <w:noWrap w:val="0"/>
            <w:textDirection w:val="btLr"/>
            <w:vAlign w:val="top"/>
          </w:tcPr>
          <w:p w14:paraId="3CB88D59">
            <w:pPr>
              <w:pStyle w:val="71"/>
              <w:spacing w:line="180" w:lineRule="exact"/>
              <w:ind w:left="113" w:right="113"/>
              <w:jc w:val="center"/>
              <w:rPr>
                <w:rFonts w:cs="Calibri"/>
                <w:color w:val="auto"/>
                <w:spacing w:val="-24"/>
                <w:w w:val="90"/>
                <w:sz w:val="18"/>
                <w:szCs w:val="18"/>
                <w:highlight w:val="none"/>
              </w:rPr>
            </w:pPr>
          </w:p>
        </w:tc>
        <w:tc>
          <w:tcPr>
            <w:tcW w:w="796" w:type="dxa"/>
            <w:vMerge w:val="continue"/>
            <w:tcBorders>
              <w:top w:val="single" w:color="auto" w:sz="6" w:space="0"/>
              <w:left w:val="single" w:color="auto" w:sz="12" w:space="0"/>
              <w:bottom w:val="single" w:color="auto" w:sz="6" w:space="0"/>
              <w:right w:val="single" w:color="auto" w:sz="6" w:space="0"/>
            </w:tcBorders>
            <w:noWrap w:val="0"/>
            <w:textDirection w:val="btLr"/>
            <w:vAlign w:val="center"/>
          </w:tcPr>
          <w:p w14:paraId="4FB22C3B">
            <w:pPr>
              <w:pStyle w:val="71"/>
              <w:spacing w:line="180" w:lineRule="exact"/>
              <w:ind w:left="113" w:right="113"/>
              <w:jc w:val="center"/>
              <w:rPr>
                <w:rFonts w:cs="Calibri"/>
                <w:color w:val="auto"/>
                <w:w w:val="90"/>
                <w:sz w:val="18"/>
                <w:szCs w:val="18"/>
                <w:highlight w:val="none"/>
              </w:rPr>
            </w:pPr>
          </w:p>
        </w:tc>
        <w:tc>
          <w:tcPr>
            <w:tcW w:w="890" w:type="dxa"/>
            <w:tcBorders>
              <w:top w:val="single" w:color="auto" w:sz="6" w:space="0"/>
              <w:left w:val="single" w:color="auto" w:sz="6" w:space="0"/>
              <w:bottom w:val="single" w:color="auto" w:sz="6" w:space="0"/>
              <w:right w:val="single" w:color="auto" w:sz="6" w:space="0"/>
            </w:tcBorders>
            <w:noWrap w:val="0"/>
            <w:textDirection w:val="btLr"/>
            <w:vAlign w:val="center"/>
          </w:tcPr>
          <w:p w14:paraId="6A439C95">
            <w:pPr>
              <w:pStyle w:val="71"/>
              <w:spacing w:line="180" w:lineRule="exact"/>
              <w:ind w:left="113" w:right="113"/>
              <w:jc w:val="center"/>
              <w:rPr>
                <w:rFonts w:cs="Calibri"/>
                <w:color w:val="auto"/>
                <w:spacing w:val="-24"/>
                <w:sz w:val="18"/>
                <w:szCs w:val="18"/>
                <w:highlight w:val="none"/>
              </w:rPr>
            </w:pPr>
            <w:r>
              <w:rPr>
                <w:rFonts w:cs="宋体"/>
                <w:color w:val="auto"/>
                <w:spacing w:val="-24"/>
                <w:sz w:val="18"/>
                <w:szCs w:val="18"/>
                <w:highlight w:val="none"/>
              </w:rPr>
              <w:t>2</w:t>
            </w:r>
          </w:p>
        </w:tc>
        <w:tc>
          <w:tcPr>
            <w:tcW w:w="455" w:type="dxa"/>
            <w:tcBorders>
              <w:top w:val="single" w:color="auto" w:sz="6" w:space="0"/>
              <w:left w:val="single" w:color="auto" w:sz="6" w:space="0"/>
              <w:bottom w:val="single" w:color="auto" w:sz="6" w:space="0"/>
              <w:right w:val="single" w:color="auto" w:sz="6" w:space="0"/>
            </w:tcBorders>
            <w:noWrap w:val="0"/>
            <w:textDirection w:val="btLr"/>
            <w:vAlign w:val="center"/>
          </w:tcPr>
          <w:p w14:paraId="155A5ADF">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51175EE4">
            <w:pPr>
              <w:pStyle w:val="71"/>
              <w:spacing w:line="180" w:lineRule="exact"/>
              <w:ind w:left="113" w:right="113"/>
              <w:jc w:val="center"/>
              <w:rPr>
                <w:rFonts w:cs="Calibri"/>
                <w:color w:val="auto"/>
                <w:spacing w:val="-24"/>
                <w:w w:val="90"/>
                <w:sz w:val="18"/>
                <w:szCs w:val="18"/>
                <w:highlight w:val="none"/>
              </w:rPr>
            </w:pPr>
          </w:p>
        </w:tc>
        <w:tc>
          <w:tcPr>
            <w:tcW w:w="411" w:type="dxa"/>
            <w:tcBorders>
              <w:top w:val="single" w:color="auto" w:sz="6" w:space="0"/>
              <w:left w:val="single" w:color="auto" w:sz="6" w:space="0"/>
              <w:bottom w:val="single" w:color="auto" w:sz="6" w:space="0"/>
              <w:right w:val="single" w:color="auto" w:sz="6" w:space="0"/>
            </w:tcBorders>
            <w:noWrap w:val="0"/>
            <w:textDirection w:val="btLr"/>
            <w:vAlign w:val="center"/>
          </w:tcPr>
          <w:p w14:paraId="312C9A91">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7D872C6D">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165DB9B9">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6C776DC6">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5027D8DB">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1110E00D">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692F6BFA">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56D86E1B">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79ADD4DC">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17743D72">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08B44EEA">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4BC085AF">
            <w:pPr>
              <w:pStyle w:val="71"/>
              <w:spacing w:line="180" w:lineRule="exact"/>
              <w:ind w:left="113" w:right="113"/>
              <w:jc w:val="center"/>
              <w:rPr>
                <w:rFonts w:cs="Calibri"/>
                <w:color w:val="auto"/>
                <w:spacing w:val="-24"/>
                <w:w w:val="90"/>
                <w:sz w:val="18"/>
                <w:szCs w:val="18"/>
                <w:highlight w:val="none"/>
              </w:rPr>
            </w:pPr>
          </w:p>
        </w:tc>
        <w:tc>
          <w:tcPr>
            <w:tcW w:w="404" w:type="dxa"/>
            <w:tcBorders>
              <w:top w:val="single" w:color="auto" w:sz="6" w:space="0"/>
              <w:left w:val="single" w:color="auto" w:sz="6" w:space="0"/>
              <w:bottom w:val="single" w:color="auto" w:sz="6" w:space="0"/>
              <w:right w:val="single" w:color="auto" w:sz="6" w:space="0"/>
            </w:tcBorders>
            <w:noWrap w:val="0"/>
            <w:textDirection w:val="btLr"/>
            <w:vAlign w:val="top"/>
          </w:tcPr>
          <w:p w14:paraId="4CB6790E">
            <w:pPr>
              <w:pStyle w:val="71"/>
              <w:spacing w:line="180" w:lineRule="exact"/>
              <w:ind w:left="113" w:right="113"/>
              <w:jc w:val="center"/>
              <w:rPr>
                <w:rFonts w:cs="Calibri"/>
                <w:color w:val="auto"/>
                <w:spacing w:val="-24"/>
                <w:w w:val="90"/>
                <w:sz w:val="18"/>
                <w:szCs w:val="18"/>
                <w:highlight w:val="none"/>
              </w:rPr>
            </w:pPr>
          </w:p>
        </w:tc>
        <w:tc>
          <w:tcPr>
            <w:tcW w:w="392" w:type="dxa"/>
            <w:tcBorders>
              <w:top w:val="single" w:color="auto" w:sz="6" w:space="0"/>
              <w:left w:val="single" w:color="auto" w:sz="6" w:space="0"/>
              <w:bottom w:val="single" w:color="auto" w:sz="6" w:space="0"/>
              <w:right w:val="single" w:color="auto" w:sz="6" w:space="0"/>
            </w:tcBorders>
            <w:noWrap w:val="0"/>
            <w:textDirection w:val="btLr"/>
            <w:vAlign w:val="top"/>
          </w:tcPr>
          <w:p w14:paraId="5B39B0E0">
            <w:pPr>
              <w:pStyle w:val="71"/>
              <w:spacing w:line="180" w:lineRule="exact"/>
              <w:ind w:left="113" w:right="113"/>
              <w:jc w:val="center"/>
              <w:rPr>
                <w:rFonts w:cs="Calibri"/>
                <w:color w:val="auto"/>
                <w:spacing w:val="-24"/>
                <w:w w:val="90"/>
                <w:sz w:val="18"/>
                <w:szCs w:val="18"/>
                <w:highlight w:val="none"/>
              </w:rPr>
            </w:pPr>
          </w:p>
        </w:tc>
        <w:tc>
          <w:tcPr>
            <w:tcW w:w="387" w:type="dxa"/>
            <w:tcBorders>
              <w:top w:val="single" w:color="auto" w:sz="6" w:space="0"/>
              <w:left w:val="single" w:color="auto" w:sz="6" w:space="0"/>
              <w:bottom w:val="single" w:color="auto" w:sz="6" w:space="0"/>
              <w:right w:val="single" w:color="auto" w:sz="12" w:space="0"/>
            </w:tcBorders>
            <w:noWrap w:val="0"/>
            <w:textDirection w:val="btLr"/>
            <w:vAlign w:val="center"/>
          </w:tcPr>
          <w:p w14:paraId="0E482D2C">
            <w:pPr>
              <w:pStyle w:val="71"/>
              <w:spacing w:line="180" w:lineRule="exact"/>
              <w:ind w:left="113" w:right="113"/>
              <w:jc w:val="center"/>
              <w:rPr>
                <w:rFonts w:cs="Calibri"/>
                <w:color w:val="auto"/>
                <w:spacing w:val="-24"/>
                <w:w w:val="90"/>
                <w:sz w:val="18"/>
                <w:szCs w:val="18"/>
                <w:highlight w:val="none"/>
              </w:rPr>
            </w:pPr>
          </w:p>
        </w:tc>
      </w:tr>
      <w:tr w14:paraId="05D41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3" w:hRule="atLeast"/>
        </w:trPr>
        <w:tc>
          <w:tcPr>
            <w:tcW w:w="251" w:type="dxa"/>
            <w:tcBorders>
              <w:top w:val="nil"/>
              <w:left w:val="nil"/>
              <w:bottom w:val="nil"/>
              <w:right w:val="single" w:color="auto" w:sz="12" w:space="0"/>
            </w:tcBorders>
            <w:noWrap w:val="0"/>
            <w:textDirection w:val="btLr"/>
            <w:vAlign w:val="top"/>
          </w:tcPr>
          <w:p w14:paraId="7B9E67C1">
            <w:pPr>
              <w:pStyle w:val="71"/>
              <w:spacing w:line="180" w:lineRule="exact"/>
              <w:ind w:left="113" w:right="113"/>
              <w:jc w:val="center"/>
              <w:rPr>
                <w:rFonts w:cs="Calibri"/>
                <w:color w:val="auto"/>
                <w:spacing w:val="-24"/>
                <w:w w:val="90"/>
                <w:sz w:val="18"/>
                <w:szCs w:val="18"/>
                <w:highlight w:val="none"/>
              </w:rPr>
            </w:pPr>
          </w:p>
        </w:tc>
        <w:tc>
          <w:tcPr>
            <w:tcW w:w="796" w:type="dxa"/>
            <w:vMerge w:val="continue"/>
            <w:tcBorders>
              <w:top w:val="single" w:color="auto" w:sz="6" w:space="0"/>
              <w:left w:val="single" w:color="auto" w:sz="12" w:space="0"/>
              <w:bottom w:val="single" w:color="auto" w:sz="6" w:space="0"/>
              <w:right w:val="single" w:color="auto" w:sz="6" w:space="0"/>
            </w:tcBorders>
            <w:noWrap w:val="0"/>
            <w:textDirection w:val="btLr"/>
            <w:vAlign w:val="center"/>
          </w:tcPr>
          <w:p w14:paraId="28B418CD">
            <w:pPr>
              <w:pStyle w:val="71"/>
              <w:spacing w:line="180" w:lineRule="exact"/>
              <w:ind w:left="113" w:right="113"/>
              <w:jc w:val="center"/>
              <w:rPr>
                <w:rFonts w:cs="Calibri"/>
                <w:color w:val="auto"/>
                <w:w w:val="90"/>
                <w:sz w:val="18"/>
                <w:szCs w:val="18"/>
                <w:highlight w:val="none"/>
              </w:rPr>
            </w:pPr>
          </w:p>
        </w:tc>
        <w:tc>
          <w:tcPr>
            <w:tcW w:w="890" w:type="dxa"/>
            <w:tcBorders>
              <w:top w:val="single" w:color="auto" w:sz="6" w:space="0"/>
              <w:left w:val="single" w:color="auto" w:sz="6" w:space="0"/>
              <w:bottom w:val="single" w:color="auto" w:sz="6" w:space="0"/>
              <w:right w:val="single" w:color="auto" w:sz="6" w:space="0"/>
            </w:tcBorders>
            <w:noWrap w:val="0"/>
            <w:textDirection w:val="btLr"/>
            <w:vAlign w:val="center"/>
          </w:tcPr>
          <w:p w14:paraId="4858E3F3">
            <w:pPr>
              <w:pStyle w:val="71"/>
              <w:spacing w:line="180" w:lineRule="exact"/>
              <w:ind w:left="113" w:right="113"/>
              <w:jc w:val="center"/>
              <w:rPr>
                <w:rFonts w:cs="Calibri"/>
                <w:color w:val="auto"/>
                <w:spacing w:val="-24"/>
                <w:sz w:val="18"/>
                <w:szCs w:val="18"/>
                <w:highlight w:val="none"/>
              </w:rPr>
            </w:pPr>
            <w:r>
              <w:rPr>
                <w:rFonts w:cs="宋体"/>
                <w:color w:val="auto"/>
                <w:spacing w:val="-24"/>
                <w:sz w:val="18"/>
                <w:szCs w:val="18"/>
                <w:highlight w:val="none"/>
              </w:rPr>
              <w:t>1</w:t>
            </w:r>
          </w:p>
        </w:tc>
        <w:tc>
          <w:tcPr>
            <w:tcW w:w="455" w:type="dxa"/>
            <w:tcBorders>
              <w:top w:val="single" w:color="auto" w:sz="6" w:space="0"/>
              <w:left w:val="single" w:color="auto" w:sz="6" w:space="0"/>
              <w:bottom w:val="single" w:color="auto" w:sz="6" w:space="0"/>
              <w:right w:val="single" w:color="auto" w:sz="6" w:space="0"/>
            </w:tcBorders>
            <w:noWrap w:val="0"/>
            <w:textDirection w:val="btLr"/>
            <w:vAlign w:val="center"/>
          </w:tcPr>
          <w:p w14:paraId="4B3E65FA">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0E71E43F">
            <w:pPr>
              <w:pStyle w:val="71"/>
              <w:spacing w:line="180" w:lineRule="exact"/>
              <w:ind w:left="113" w:right="113"/>
              <w:jc w:val="center"/>
              <w:rPr>
                <w:rFonts w:cs="Calibri"/>
                <w:color w:val="auto"/>
                <w:spacing w:val="-24"/>
                <w:w w:val="90"/>
                <w:sz w:val="18"/>
                <w:szCs w:val="18"/>
                <w:highlight w:val="none"/>
              </w:rPr>
            </w:pPr>
          </w:p>
        </w:tc>
        <w:tc>
          <w:tcPr>
            <w:tcW w:w="411" w:type="dxa"/>
            <w:tcBorders>
              <w:top w:val="single" w:color="auto" w:sz="6" w:space="0"/>
              <w:left w:val="single" w:color="auto" w:sz="6" w:space="0"/>
              <w:bottom w:val="single" w:color="auto" w:sz="6" w:space="0"/>
              <w:right w:val="single" w:color="auto" w:sz="6" w:space="0"/>
            </w:tcBorders>
            <w:noWrap w:val="0"/>
            <w:textDirection w:val="btLr"/>
            <w:vAlign w:val="center"/>
          </w:tcPr>
          <w:p w14:paraId="39993E0A">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720FD536">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4B0F8A2C">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7F8C8183">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39EFE6A9">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4C46A6B5">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27DE60B7">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5CA23BA9">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20BF5271">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3917454F">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2A8E009E">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65CC6987">
            <w:pPr>
              <w:pStyle w:val="71"/>
              <w:spacing w:line="180" w:lineRule="exact"/>
              <w:ind w:left="113" w:right="113"/>
              <w:jc w:val="center"/>
              <w:rPr>
                <w:rFonts w:cs="Calibri"/>
                <w:color w:val="auto"/>
                <w:spacing w:val="-24"/>
                <w:w w:val="90"/>
                <w:sz w:val="18"/>
                <w:szCs w:val="18"/>
                <w:highlight w:val="none"/>
              </w:rPr>
            </w:pPr>
          </w:p>
        </w:tc>
        <w:tc>
          <w:tcPr>
            <w:tcW w:w="404" w:type="dxa"/>
            <w:tcBorders>
              <w:top w:val="single" w:color="auto" w:sz="6" w:space="0"/>
              <w:left w:val="single" w:color="auto" w:sz="6" w:space="0"/>
              <w:bottom w:val="single" w:color="auto" w:sz="6" w:space="0"/>
              <w:right w:val="single" w:color="auto" w:sz="6" w:space="0"/>
            </w:tcBorders>
            <w:noWrap w:val="0"/>
            <w:textDirection w:val="btLr"/>
            <w:vAlign w:val="top"/>
          </w:tcPr>
          <w:p w14:paraId="3A1DB8AA">
            <w:pPr>
              <w:pStyle w:val="71"/>
              <w:spacing w:line="180" w:lineRule="exact"/>
              <w:ind w:left="113" w:right="113"/>
              <w:jc w:val="center"/>
              <w:rPr>
                <w:rFonts w:cs="Calibri"/>
                <w:color w:val="auto"/>
                <w:spacing w:val="-24"/>
                <w:w w:val="90"/>
                <w:sz w:val="18"/>
                <w:szCs w:val="18"/>
                <w:highlight w:val="none"/>
              </w:rPr>
            </w:pPr>
          </w:p>
        </w:tc>
        <w:tc>
          <w:tcPr>
            <w:tcW w:w="392" w:type="dxa"/>
            <w:tcBorders>
              <w:top w:val="single" w:color="auto" w:sz="6" w:space="0"/>
              <w:left w:val="single" w:color="auto" w:sz="6" w:space="0"/>
              <w:bottom w:val="single" w:color="auto" w:sz="6" w:space="0"/>
              <w:right w:val="single" w:color="auto" w:sz="6" w:space="0"/>
            </w:tcBorders>
            <w:noWrap w:val="0"/>
            <w:textDirection w:val="btLr"/>
            <w:vAlign w:val="top"/>
          </w:tcPr>
          <w:p w14:paraId="09CD5B3B">
            <w:pPr>
              <w:pStyle w:val="71"/>
              <w:spacing w:line="180" w:lineRule="exact"/>
              <w:ind w:left="113" w:right="113"/>
              <w:jc w:val="center"/>
              <w:rPr>
                <w:rFonts w:cs="Calibri"/>
                <w:color w:val="auto"/>
                <w:spacing w:val="-24"/>
                <w:w w:val="90"/>
                <w:sz w:val="18"/>
                <w:szCs w:val="18"/>
                <w:highlight w:val="none"/>
              </w:rPr>
            </w:pPr>
          </w:p>
        </w:tc>
        <w:tc>
          <w:tcPr>
            <w:tcW w:w="387" w:type="dxa"/>
            <w:tcBorders>
              <w:top w:val="single" w:color="auto" w:sz="6" w:space="0"/>
              <w:left w:val="single" w:color="auto" w:sz="6" w:space="0"/>
              <w:bottom w:val="single" w:color="auto" w:sz="6" w:space="0"/>
              <w:right w:val="single" w:color="auto" w:sz="12" w:space="0"/>
            </w:tcBorders>
            <w:noWrap w:val="0"/>
            <w:textDirection w:val="btLr"/>
            <w:vAlign w:val="center"/>
          </w:tcPr>
          <w:p w14:paraId="63D96D1F">
            <w:pPr>
              <w:pStyle w:val="71"/>
              <w:spacing w:line="180" w:lineRule="exact"/>
              <w:ind w:left="113" w:right="113"/>
              <w:jc w:val="center"/>
              <w:rPr>
                <w:rFonts w:cs="Calibri"/>
                <w:color w:val="auto"/>
                <w:spacing w:val="-24"/>
                <w:w w:val="90"/>
                <w:sz w:val="18"/>
                <w:szCs w:val="18"/>
                <w:highlight w:val="none"/>
              </w:rPr>
            </w:pPr>
          </w:p>
        </w:tc>
      </w:tr>
      <w:tr w14:paraId="311DA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4" w:hRule="atLeast"/>
        </w:trPr>
        <w:tc>
          <w:tcPr>
            <w:tcW w:w="251" w:type="dxa"/>
            <w:tcBorders>
              <w:top w:val="nil"/>
              <w:left w:val="nil"/>
              <w:bottom w:val="nil"/>
              <w:right w:val="single" w:color="auto" w:sz="12" w:space="0"/>
            </w:tcBorders>
            <w:noWrap w:val="0"/>
            <w:textDirection w:val="btLr"/>
            <w:vAlign w:val="top"/>
          </w:tcPr>
          <w:p w14:paraId="240903EA">
            <w:pPr>
              <w:pStyle w:val="71"/>
              <w:spacing w:line="180" w:lineRule="exact"/>
              <w:ind w:left="113" w:right="113"/>
              <w:jc w:val="center"/>
              <w:rPr>
                <w:rFonts w:cs="Calibri"/>
                <w:color w:val="auto"/>
                <w:spacing w:val="-24"/>
                <w:w w:val="90"/>
                <w:sz w:val="18"/>
                <w:szCs w:val="18"/>
                <w:highlight w:val="none"/>
              </w:rPr>
            </w:pPr>
          </w:p>
        </w:tc>
        <w:tc>
          <w:tcPr>
            <w:tcW w:w="796" w:type="dxa"/>
            <w:vMerge w:val="restart"/>
            <w:tcBorders>
              <w:top w:val="single" w:color="auto" w:sz="6" w:space="0"/>
              <w:left w:val="single" w:color="auto" w:sz="12" w:space="0"/>
              <w:bottom w:val="single" w:color="auto" w:sz="6" w:space="0"/>
              <w:right w:val="single" w:color="auto" w:sz="6" w:space="0"/>
            </w:tcBorders>
            <w:noWrap w:val="0"/>
            <w:textDirection w:val="btLr"/>
            <w:vAlign w:val="center"/>
          </w:tcPr>
          <w:p w14:paraId="2DA315F6">
            <w:pPr>
              <w:pStyle w:val="71"/>
              <w:spacing w:line="180" w:lineRule="exact"/>
              <w:ind w:left="113" w:right="113"/>
              <w:jc w:val="center"/>
              <w:rPr>
                <w:rFonts w:cs="Calibri"/>
                <w:color w:val="auto"/>
                <w:w w:val="90"/>
                <w:sz w:val="18"/>
                <w:szCs w:val="18"/>
                <w:highlight w:val="none"/>
              </w:rPr>
            </w:pPr>
            <w:r>
              <w:rPr>
                <w:rFonts w:hint="eastAsia" w:cs="宋体"/>
                <w:color w:val="auto"/>
                <w:w w:val="90"/>
                <w:sz w:val="18"/>
                <w:szCs w:val="18"/>
                <w:highlight w:val="none"/>
              </w:rPr>
              <w:t>年度</w:t>
            </w:r>
          </w:p>
        </w:tc>
        <w:tc>
          <w:tcPr>
            <w:tcW w:w="890" w:type="dxa"/>
            <w:tcBorders>
              <w:top w:val="single" w:color="auto" w:sz="6" w:space="0"/>
              <w:left w:val="single" w:color="auto" w:sz="6" w:space="0"/>
              <w:bottom w:val="single" w:color="auto" w:sz="6" w:space="0"/>
              <w:right w:val="single" w:color="auto" w:sz="6" w:space="0"/>
            </w:tcBorders>
            <w:noWrap w:val="0"/>
            <w:textDirection w:val="btLr"/>
            <w:vAlign w:val="center"/>
          </w:tcPr>
          <w:p w14:paraId="0D0939DC">
            <w:pPr>
              <w:pStyle w:val="71"/>
              <w:spacing w:line="180" w:lineRule="exact"/>
              <w:ind w:left="113" w:right="113"/>
              <w:jc w:val="center"/>
              <w:rPr>
                <w:rFonts w:cs="Calibri"/>
                <w:color w:val="auto"/>
                <w:spacing w:val="-24"/>
                <w:sz w:val="18"/>
                <w:szCs w:val="18"/>
                <w:highlight w:val="none"/>
              </w:rPr>
            </w:pPr>
            <w:r>
              <w:rPr>
                <w:rFonts w:cs="宋体"/>
                <w:color w:val="auto"/>
                <w:spacing w:val="-24"/>
                <w:sz w:val="18"/>
                <w:szCs w:val="18"/>
                <w:highlight w:val="none"/>
              </w:rPr>
              <w:t>12</w:t>
            </w:r>
          </w:p>
        </w:tc>
        <w:tc>
          <w:tcPr>
            <w:tcW w:w="455" w:type="dxa"/>
            <w:tcBorders>
              <w:top w:val="single" w:color="auto" w:sz="6" w:space="0"/>
              <w:left w:val="single" w:color="auto" w:sz="6" w:space="0"/>
              <w:bottom w:val="single" w:color="auto" w:sz="6" w:space="0"/>
              <w:right w:val="single" w:color="auto" w:sz="6" w:space="0"/>
            </w:tcBorders>
            <w:noWrap w:val="0"/>
            <w:textDirection w:val="btLr"/>
            <w:vAlign w:val="center"/>
          </w:tcPr>
          <w:p w14:paraId="3C40E89F">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0506D977">
            <w:pPr>
              <w:pStyle w:val="71"/>
              <w:spacing w:line="180" w:lineRule="exact"/>
              <w:ind w:left="113" w:right="113"/>
              <w:jc w:val="center"/>
              <w:rPr>
                <w:rFonts w:cs="Calibri"/>
                <w:color w:val="auto"/>
                <w:spacing w:val="-24"/>
                <w:w w:val="90"/>
                <w:sz w:val="18"/>
                <w:szCs w:val="18"/>
                <w:highlight w:val="none"/>
              </w:rPr>
            </w:pPr>
          </w:p>
        </w:tc>
        <w:tc>
          <w:tcPr>
            <w:tcW w:w="411" w:type="dxa"/>
            <w:tcBorders>
              <w:top w:val="single" w:color="auto" w:sz="6" w:space="0"/>
              <w:left w:val="single" w:color="auto" w:sz="6" w:space="0"/>
              <w:bottom w:val="single" w:color="auto" w:sz="6" w:space="0"/>
              <w:right w:val="single" w:color="auto" w:sz="6" w:space="0"/>
            </w:tcBorders>
            <w:noWrap w:val="0"/>
            <w:textDirection w:val="btLr"/>
            <w:vAlign w:val="center"/>
          </w:tcPr>
          <w:p w14:paraId="644857A8">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05860070">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7304F65A">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481C1114">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1636EB46">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4463C9BE">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1943FEC8">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4D5BC5D1">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455AF89B">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368245E1">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725E35CE">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37382CBB">
            <w:pPr>
              <w:pStyle w:val="71"/>
              <w:spacing w:line="180" w:lineRule="exact"/>
              <w:ind w:left="113" w:right="113"/>
              <w:jc w:val="center"/>
              <w:rPr>
                <w:rFonts w:cs="Calibri"/>
                <w:color w:val="auto"/>
                <w:spacing w:val="-24"/>
                <w:w w:val="90"/>
                <w:sz w:val="18"/>
                <w:szCs w:val="18"/>
                <w:highlight w:val="none"/>
              </w:rPr>
            </w:pPr>
          </w:p>
        </w:tc>
        <w:tc>
          <w:tcPr>
            <w:tcW w:w="404" w:type="dxa"/>
            <w:tcBorders>
              <w:top w:val="single" w:color="auto" w:sz="6" w:space="0"/>
              <w:left w:val="single" w:color="auto" w:sz="6" w:space="0"/>
              <w:bottom w:val="single" w:color="auto" w:sz="6" w:space="0"/>
              <w:right w:val="single" w:color="auto" w:sz="6" w:space="0"/>
            </w:tcBorders>
            <w:noWrap w:val="0"/>
            <w:textDirection w:val="btLr"/>
            <w:vAlign w:val="top"/>
          </w:tcPr>
          <w:p w14:paraId="01731E7B">
            <w:pPr>
              <w:pStyle w:val="71"/>
              <w:spacing w:line="180" w:lineRule="exact"/>
              <w:ind w:left="113" w:right="113"/>
              <w:jc w:val="center"/>
              <w:rPr>
                <w:rFonts w:cs="Calibri"/>
                <w:color w:val="auto"/>
                <w:spacing w:val="-24"/>
                <w:w w:val="90"/>
                <w:sz w:val="18"/>
                <w:szCs w:val="18"/>
                <w:highlight w:val="none"/>
              </w:rPr>
            </w:pPr>
          </w:p>
        </w:tc>
        <w:tc>
          <w:tcPr>
            <w:tcW w:w="392" w:type="dxa"/>
            <w:tcBorders>
              <w:top w:val="single" w:color="auto" w:sz="6" w:space="0"/>
              <w:left w:val="single" w:color="auto" w:sz="6" w:space="0"/>
              <w:bottom w:val="single" w:color="auto" w:sz="6" w:space="0"/>
              <w:right w:val="single" w:color="auto" w:sz="6" w:space="0"/>
            </w:tcBorders>
            <w:noWrap w:val="0"/>
            <w:textDirection w:val="btLr"/>
            <w:vAlign w:val="top"/>
          </w:tcPr>
          <w:p w14:paraId="57708D93">
            <w:pPr>
              <w:pStyle w:val="71"/>
              <w:spacing w:line="180" w:lineRule="exact"/>
              <w:ind w:left="113" w:right="113"/>
              <w:jc w:val="center"/>
              <w:rPr>
                <w:rFonts w:cs="Calibri"/>
                <w:color w:val="auto"/>
                <w:spacing w:val="-24"/>
                <w:w w:val="90"/>
                <w:sz w:val="18"/>
                <w:szCs w:val="18"/>
                <w:highlight w:val="none"/>
              </w:rPr>
            </w:pPr>
          </w:p>
        </w:tc>
        <w:tc>
          <w:tcPr>
            <w:tcW w:w="387" w:type="dxa"/>
            <w:tcBorders>
              <w:top w:val="single" w:color="auto" w:sz="6" w:space="0"/>
              <w:left w:val="single" w:color="auto" w:sz="6" w:space="0"/>
              <w:bottom w:val="single" w:color="auto" w:sz="6" w:space="0"/>
              <w:right w:val="single" w:color="auto" w:sz="12" w:space="0"/>
            </w:tcBorders>
            <w:noWrap w:val="0"/>
            <w:textDirection w:val="btLr"/>
            <w:vAlign w:val="center"/>
          </w:tcPr>
          <w:p w14:paraId="470EAB4F">
            <w:pPr>
              <w:pStyle w:val="71"/>
              <w:spacing w:line="180" w:lineRule="exact"/>
              <w:ind w:left="113" w:right="113"/>
              <w:jc w:val="center"/>
              <w:rPr>
                <w:rFonts w:cs="Calibri"/>
                <w:color w:val="auto"/>
                <w:spacing w:val="-24"/>
                <w:w w:val="90"/>
                <w:sz w:val="18"/>
                <w:szCs w:val="18"/>
                <w:highlight w:val="none"/>
              </w:rPr>
            </w:pPr>
          </w:p>
        </w:tc>
      </w:tr>
      <w:tr w14:paraId="60408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3" w:hRule="atLeast"/>
        </w:trPr>
        <w:tc>
          <w:tcPr>
            <w:tcW w:w="251" w:type="dxa"/>
            <w:tcBorders>
              <w:top w:val="nil"/>
              <w:left w:val="nil"/>
              <w:bottom w:val="nil"/>
              <w:right w:val="single" w:color="auto" w:sz="12" w:space="0"/>
            </w:tcBorders>
            <w:noWrap w:val="0"/>
            <w:textDirection w:val="btLr"/>
            <w:vAlign w:val="top"/>
          </w:tcPr>
          <w:p w14:paraId="27074513">
            <w:pPr>
              <w:pStyle w:val="71"/>
              <w:spacing w:line="180" w:lineRule="exact"/>
              <w:ind w:left="113" w:right="113"/>
              <w:jc w:val="center"/>
              <w:rPr>
                <w:rFonts w:cs="Calibri"/>
                <w:color w:val="auto"/>
                <w:spacing w:val="-24"/>
                <w:w w:val="90"/>
                <w:sz w:val="18"/>
                <w:szCs w:val="18"/>
                <w:highlight w:val="none"/>
              </w:rPr>
            </w:pPr>
          </w:p>
        </w:tc>
        <w:tc>
          <w:tcPr>
            <w:tcW w:w="796" w:type="dxa"/>
            <w:vMerge w:val="continue"/>
            <w:tcBorders>
              <w:top w:val="single" w:color="auto" w:sz="6" w:space="0"/>
              <w:left w:val="single" w:color="auto" w:sz="12" w:space="0"/>
              <w:bottom w:val="single" w:color="auto" w:sz="6" w:space="0"/>
              <w:right w:val="single" w:color="auto" w:sz="6" w:space="0"/>
            </w:tcBorders>
            <w:noWrap w:val="0"/>
            <w:textDirection w:val="btLr"/>
            <w:vAlign w:val="center"/>
          </w:tcPr>
          <w:p w14:paraId="6BF3EC30">
            <w:pPr>
              <w:pStyle w:val="71"/>
              <w:spacing w:line="180" w:lineRule="exact"/>
              <w:ind w:left="113" w:right="113"/>
              <w:jc w:val="center"/>
              <w:rPr>
                <w:rFonts w:cs="Calibri"/>
                <w:color w:val="auto"/>
                <w:w w:val="90"/>
                <w:sz w:val="18"/>
                <w:szCs w:val="18"/>
                <w:highlight w:val="none"/>
              </w:rPr>
            </w:pPr>
          </w:p>
        </w:tc>
        <w:tc>
          <w:tcPr>
            <w:tcW w:w="890" w:type="dxa"/>
            <w:tcBorders>
              <w:top w:val="single" w:color="auto" w:sz="6" w:space="0"/>
              <w:left w:val="single" w:color="auto" w:sz="6" w:space="0"/>
              <w:bottom w:val="single" w:color="auto" w:sz="6" w:space="0"/>
              <w:right w:val="single" w:color="auto" w:sz="6" w:space="0"/>
            </w:tcBorders>
            <w:noWrap w:val="0"/>
            <w:textDirection w:val="btLr"/>
            <w:vAlign w:val="center"/>
          </w:tcPr>
          <w:p w14:paraId="3105DAC2">
            <w:pPr>
              <w:pStyle w:val="71"/>
              <w:spacing w:line="180" w:lineRule="exact"/>
              <w:ind w:left="113" w:right="113"/>
              <w:jc w:val="center"/>
              <w:rPr>
                <w:rFonts w:cs="Calibri"/>
                <w:color w:val="auto"/>
                <w:spacing w:val="-24"/>
                <w:sz w:val="18"/>
                <w:szCs w:val="18"/>
                <w:highlight w:val="none"/>
              </w:rPr>
            </w:pPr>
            <w:r>
              <w:rPr>
                <w:rFonts w:cs="宋体"/>
                <w:color w:val="auto"/>
                <w:spacing w:val="-24"/>
                <w:sz w:val="18"/>
                <w:szCs w:val="18"/>
                <w:highlight w:val="none"/>
              </w:rPr>
              <w:t>11</w:t>
            </w:r>
          </w:p>
        </w:tc>
        <w:tc>
          <w:tcPr>
            <w:tcW w:w="455" w:type="dxa"/>
            <w:tcBorders>
              <w:top w:val="single" w:color="auto" w:sz="6" w:space="0"/>
              <w:left w:val="single" w:color="auto" w:sz="6" w:space="0"/>
              <w:bottom w:val="single" w:color="auto" w:sz="6" w:space="0"/>
              <w:right w:val="single" w:color="auto" w:sz="6" w:space="0"/>
            </w:tcBorders>
            <w:noWrap w:val="0"/>
            <w:textDirection w:val="btLr"/>
            <w:vAlign w:val="center"/>
          </w:tcPr>
          <w:p w14:paraId="1AF2C521">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063FD932">
            <w:pPr>
              <w:pStyle w:val="71"/>
              <w:spacing w:line="180" w:lineRule="exact"/>
              <w:ind w:left="113" w:right="113"/>
              <w:jc w:val="center"/>
              <w:rPr>
                <w:rFonts w:cs="Calibri"/>
                <w:color w:val="auto"/>
                <w:spacing w:val="-24"/>
                <w:w w:val="90"/>
                <w:sz w:val="18"/>
                <w:szCs w:val="18"/>
                <w:highlight w:val="none"/>
              </w:rPr>
            </w:pPr>
          </w:p>
        </w:tc>
        <w:tc>
          <w:tcPr>
            <w:tcW w:w="411" w:type="dxa"/>
            <w:tcBorders>
              <w:top w:val="single" w:color="auto" w:sz="6" w:space="0"/>
              <w:left w:val="single" w:color="auto" w:sz="6" w:space="0"/>
              <w:bottom w:val="single" w:color="auto" w:sz="6" w:space="0"/>
              <w:right w:val="single" w:color="auto" w:sz="6" w:space="0"/>
            </w:tcBorders>
            <w:noWrap w:val="0"/>
            <w:textDirection w:val="btLr"/>
            <w:vAlign w:val="center"/>
          </w:tcPr>
          <w:p w14:paraId="387B8B28">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2999F595">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3D66399D">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1C52127A">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0DFA6357">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7600E28B">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1B0A7DE4">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38906711">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484AE6A7">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16C68669">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7C8ACEFE">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4C94CDD9">
            <w:pPr>
              <w:pStyle w:val="71"/>
              <w:spacing w:line="180" w:lineRule="exact"/>
              <w:ind w:left="113" w:right="113"/>
              <w:jc w:val="center"/>
              <w:rPr>
                <w:rFonts w:cs="Calibri"/>
                <w:color w:val="auto"/>
                <w:spacing w:val="-24"/>
                <w:w w:val="90"/>
                <w:sz w:val="18"/>
                <w:szCs w:val="18"/>
                <w:highlight w:val="none"/>
              </w:rPr>
            </w:pPr>
          </w:p>
        </w:tc>
        <w:tc>
          <w:tcPr>
            <w:tcW w:w="404" w:type="dxa"/>
            <w:tcBorders>
              <w:top w:val="single" w:color="auto" w:sz="6" w:space="0"/>
              <w:left w:val="single" w:color="auto" w:sz="6" w:space="0"/>
              <w:bottom w:val="single" w:color="auto" w:sz="6" w:space="0"/>
              <w:right w:val="single" w:color="auto" w:sz="6" w:space="0"/>
            </w:tcBorders>
            <w:noWrap w:val="0"/>
            <w:textDirection w:val="btLr"/>
            <w:vAlign w:val="top"/>
          </w:tcPr>
          <w:p w14:paraId="24F286FC">
            <w:pPr>
              <w:pStyle w:val="71"/>
              <w:spacing w:line="180" w:lineRule="exact"/>
              <w:ind w:left="113" w:right="113"/>
              <w:jc w:val="center"/>
              <w:rPr>
                <w:rFonts w:cs="Calibri"/>
                <w:color w:val="auto"/>
                <w:spacing w:val="-24"/>
                <w:w w:val="90"/>
                <w:sz w:val="18"/>
                <w:szCs w:val="18"/>
                <w:highlight w:val="none"/>
              </w:rPr>
            </w:pPr>
          </w:p>
        </w:tc>
        <w:tc>
          <w:tcPr>
            <w:tcW w:w="392" w:type="dxa"/>
            <w:tcBorders>
              <w:top w:val="single" w:color="auto" w:sz="6" w:space="0"/>
              <w:left w:val="single" w:color="auto" w:sz="6" w:space="0"/>
              <w:bottom w:val="single" w:color="auto" w:sz="6" w:space="0"/>
              <w:right w:val="single" w:color="auto" w:sz="6" w:space="0"/>
            </w:tcBorders>
            <w:noWrap w:val="0"/>
            <w:textDirection w:val="btLr"/>
            <w:vAlign w:val="top"/>
          </w:tcPr>
          <w:p w14:paraId="765EA9C1">
            <w:pPr>
              <w:pStyle w:val="71"/>
              <w:spacing w:line="180" w:lineRule="exact"/>
              <w:ind w:left="113" w:right="113"/>
              <w:jc w:val="center"/>
              <w:rPr>
                <w:rFonts w:cs="Calibri"/>
                <w:color w:val="auto"/>
                <w:spacing w:val="-24"/>
                <w:w w:val="90"/>
                <w:sz w:val="18"/>
                <w:szCs w:val="18"/>
                <w:highlight w:val="none"/>
              </w:rPr>
            </w:pPr>
          </w:p>
        </w:tc>
        <w:tc>
          <w:tcPr>
            <w:tcW w:w="387" w:type="dxa"/>
            <w:tcBorders>
              <w:top w:val="single" w:color="auto" w:sz="6" w:space="0"/>
              <w:left w:val="single" w:color="auto" w:sz="6" w:space="0"/>
              <w:bottom w:val="single" w:color="auto" w:sz="6" w:space="0"/>
              <w:right w:val="single" w:color="auto" w:sz="12" w:space="0"/>
            </w:tcBorders>
            <w:noWrap w:val="0"/>
            <w:textDirection w:val="btLr"/>
            <w:vAlign w:val="center"/>
          </w:tcPr>
          <w:p w14:paraId="3C62B2BC">
            <w:pPr>
              <w:pStyle w:val="71"/>
              <w:spacing w:line="180" w:lineRule="exact"/>
              <w:ind w:left="113" w:right="113"/>
              <w:jc w:val="center"/>
              <w:rPr>
                <w:rFonts w:cs="Calibri"/>
                <w:color w:val="auto"/>
                <w:spacing w:val="-24"/>
                <w:w w:val="90"/>
                <w:sz w:val="18"/>
                <w:szCs w:val="18"/>
                <w:highlight w:val="none"/>
              </w:rPr>
            </w:pPr>
          </w:p>
        </w:tc>
      </w:tr>
      <w:tr w14:paraId="6A35E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4" w:hRule="atLeast"/>
        </w:trPr>
        <w:tc>
          <w:tcPr>
            <w:tcW w:w="251" w:type="dxa"/>
            <w:tcBorders>
              <w:top w:val="nil"/>
              <w:left w:val="nil"/>
              <w:bottom w:val="nil"/>
              <w:right w:val="single" w:color="auto" w:sz="12" w:space="0"/>
            </w:tcBorders>
            <w:noWrap w:val="0"/>
            <w:textDirection w:val="btLr"/>
            <w:vAlign w:val="top"/>
          </w:tcPr>
          <w:p w14:paraId="45051805">
            <w:pPr>
              <w:pStyle w:val="71"/>
              <w:spacing w:line="180" w:lineRule="exact"/>
              <w:ind w:left="113" w:right="113"/>
              <w:jc w:val="center"/>
              <w:rPr>
                <w:rFonts w:cs="Calibri"/>
                <w:color w:val="auto"/>
                <w:spacing w:val="-24"/>
                <w:w w:val="90"/>
                <w:sz w:val="18"/>
                <w:szCs w:val="18"/>
                <w:highlight w:val="none"/>
              </w:rPr>
            </w:pPr>
          </w:p>
        </w:tc>
        <w:tc>
          <w:tcPr>
            <w:tcW w:w="796" w:type="dxa"/>
            <w:vMerge w:val="continue"/>
            <w:tcBorders>
              <w:top w:val="single" w:color="auto" w:sz="6" w:space="0"/>
              <w:left w:val="single" w:color="auto" w:sz="12" w:space="0"/>
              <w:bottom w:val="single" w:color="auto" w:sz="6" w:space="0"/>
              <w:right w:val="single" w:color="auto" w:sz="6" w:space="0"/>
            </w:tcBorders>
            <w:noWrap w:val="0"/>
            <w:textDirection w:val="btLr"/>
            <w:vAlign w:val="center"/>
          </w:tcPr>
          <w:p w14:paraId="6924D296">
            <w:pPr>
              <w:pStyle w:val="71"/>
              <w:spacing w:line="180" w:lineRule="exact"/>
              <w:ind w:left="113" w:right="113"/>
              <w:jc w:val="center"/>
              <w:rPr>
                <w:rFonts w:cs="Calibri"/>
                <w:color w:val="auto"/>
                <w:w w:val="90"/>
                <w:sz w:val="18"/>
                <w:szCs w:val="18"/>
                <w:highlight w:val="none"/>
              </w:rPr>
            </w:pPr>
          </w:p>
        </w:tc>
        <w:tc>
          <w:tcPr>
            <w:tcW w:w="890" w:type="dxa"/>
            <w:tcBorders>
              <w:top w:val="single" w:color="auto" w:sz="6" w:space="0"/>
              <w:left w:val="single" w:color="auto" w:sz="6" w:space="0"/>
              <w:bottom w:val="single" w:color="auto" w:sz="6" w:space="0"/>
              <w:right w:val="single" w:color="auto" w:sz="6" w:space="0"/>
            </w:tcBorders>
            <w:noWrap w:val="0"/>
            <w:textDirection w:val="btLr"/>
            <w:vAlign w:val="center"/>
          </w:tcPr>
          <w:p w14:paraId="410B7833">
            <w:pPr>
              <w:pStyle w:val="71"/>
              <w:spacing w:line="180" w:lineRule="exact"/>
              <w:ind w:left="113" w:right="113"/>
              <w:jc w:val="center"/>
              <w:rPr>
                <w:rFonts w:cs="Calibri"/>
                <w:color w:val="auto"/>
                <w:spacing w:val="-24"/>
                <w:sz w:val="18"/>
                <w:szCs w:val="18"/>
                <w:highlight w:val="none"/>
              </w:rPr>
            </w:pPr>
            <w:r>
              <w:rPr>
                <w:rFonts w:cs="宋体"/>
                <w:color w:val="auto"/>
                <w:spacing w:val="-24"/>
                <w:sz w:val="18"/>
                <w:szCs w:val="18"/>
                <w:highlight w:val="none"/>
              </w:rPr>
              <w:t>10</w:t>
            </w:r>
          </w:p>
        </w:tc>
        <w:tc>
          <w:tcPr>
            <w:tcW w:w="455" w:type="dxa"/>
            <w:tcBorders>
              <w:top w:val="single" w:color="auto" w:sz="6" w:space="0"/>
              <w:left w:val="single" w:color="auto" w:sz="6" w:space="0"/>
              <w:bottom w:val="single" w:color="auto" w:sz="6" w:space="0"/>
              <w:right w:val="single" w:color="auto" w:sz="6" w:space="0"/>
            </w:tcBorders>
            <w:noWrap w:val="0"/>
            <w:textDirection w:val="btLr"/>
            <w:vAlign w:val="center"/>
          </w:tcPr>
          <w:p w14:paraId="49281DE5">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6AFDA1D8">
            <w:pPr>
              <w:pStyle w:val="71"/>
              <w:spacing w:line="180" w:lineRule="exact"/>
              <w:ind w:left="113" w:right="113"/>
              <w:jc w:val="center"/>
              <w:rPr>
                <w:rFonts w:cs="Calibri"/>
                <w:color w:val="auto"/>
                <w:spacing w:val="-24"/>
                <w:w w:val="90"/>
                <w:sz w:val="18"/>
                <w:szCs w:val="18"/>
                <w:highlight w:val="none"/>
              </w:rPr>
            </w:pPr>
          </w:p>
        </w:tc>
        <w:tc>
          <w:tcPr>
            <w:tcW w:w="411" w:type="dxa"/>
            <w:tcBorders>
              <w:top w:val="single" w:color="auto" w:sz="6" w:space="0"/>
              <w:left w:val="single" w:color="auto" w:sz="6" w:space="0"/>
              <w:bottom w:val="single" w:color="auto" w:sz="6" w:space="0"/>
              <w:right w:val="single" w:color="auto" w:sz="6" w:space="0"/>
            </w:tcBorders>
            <w:noWrap w:val="0"/>
            <w:textDirection w:val="btLr"/>
            <w:vAlign w:val="center"/>
          </w:tcPr>
          <w:p w14:paraId="747466B0">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5B58EF4F">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7C46A3DC">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278A18B3">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71B3C6DF">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48D5BCAA">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30576563">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73B409F3">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3DAAB968">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7B914BB4">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06C7B65C">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0AC1899F">
            <w:pPr>
              <w:pStyle w:val="71"/>
              <w:spacing w:line="180" w:lineRule="exact"/>
              <w:ind w:left="113" w:right="113"/>
              <w:jc w:val="center"/>
              <w:rPr>
                <w:rFonts w:cs="Calibri"/>
                <w:color w:val="auto"/>
                <w:spacing w:val="-24"/>
                <w:w w:val="90"/>
                <w:sz w:val="18"/>
                <w:szCs w:val="18"/>
                <w:highlight w:val="none"/>
              </w:rPr>
            </w:pPr>
          </w:p>
        </w:tc>
        <w:tc>
          <w:tcPr>
            <w:tcW w:w="404" w:type="dxa"/>
            <w:tcBorders>
              <w:top w:val="single" w:color="auto" w:sz="6" w:space="0"/>
              <w:left w:val="single" w:color="auto" w:sz="6" w:space="0"/>
              <w:bottom w:val="single" w:color="auto" w:sz="6" w:space="0"/>
              <w:right w:val="single" w:color="auto" w:sz="6" w:space="0"/>
            </w:tcBorders>
            <w:noWrap w:val="0"/>
            <w:textDirection w:val="btLr"/>
            <w:vAlign w:val="top"/>
          </w:tcPr>
          <w:p w14:paraId="351A12A9">
            <w:pPr>
              <w:pStyle w:val="71"/>
              <w:spacing w:line="180" w:lineRule="exact"/>
              <w:ind w:left="113" w:right="113"/>
              <w:jc w:val="center"/>
              <w:rPr>
                <w:rFonts w:cs="Calibri"/>
                <w:color w:val="auto"/>
                <w:spacing w:val="-24"/>
                <w:w w:val="90"/>
                <w:sz w:val="18"/>
                <w:szCs w:val="18"/>
                <w:highlight w:val="none"/>
              </w:rPr>
            </w:pPr>
          </w:p>
        </w:tc>
        <w:tc>
          <w:tcPr>
            <w:tcW w:w="392" w:type="dxa"/>
            <w:tcBorders>
              <w:top w:val="single" w:color="auto" w:sz="6" w:space="0"/>
              <w:left w:val="single" w:color="auto" w:sz="6" w:space="0"/>
              <w:bottom w:val="single" w:color="auto" w:sz="6" w:space="0"/>
              <w:right w:val="single" w:color="auto" w:sz="6" w:space="0"/>
            </w:tcBorders>
            <w:noWrap w:val="0"/>
            <w:textDirection w:val="btLr"/>
            <w:vAlign w:val="top"/>
          </w:tcPr>
          <w:p w14:paraId="248798A2">
            <w:pPr>
              <w:pStyle w:val="71"/>
              <w:spacing w:line="180" w:lineRule="exact"/>
              <w:ind w:left="113" w:right="113"/>
              <w:jc w:val="center"/>
              <w:rPr>
                <w:rFonts w:cs="Calibri"/>
                <w:color w:val="auto"/>
                <w:spacing w:val="-24"/>
                <w:w w:val="90"/>
                <w:sz w:val="18"/>
                <w:szCs w:val="18"/>
                <w:highlight w:val="none"/>
              </w:rPr>
            </w:pPr>
          </w:p>
        </w:tc>
        <w:tc>
          <w:tcPr>
            <w:tcW w:w="387" w:type="dxa"/>
            <w:tcBorders>
              <w:top w:val="single" w:color="auto" w:sz="6" w:space="0"/>
              <w:left w:val="single" w:color="auto" w:sz="6" w:space="0"/>
              <w:bottom w:val="single" w:color="auto" w:sz="6" w:space="0"/>
              <w:right w:val="single" w:color="auto" w:sz="12" w:space="0"/>
            </w:tcBorders>
            <w:noWrap w:val="0"/>
            <w:textDirection w:val="btLr"/>
            <w:vAlign w:val="center"/>
          </w:tcPr>
          <w:p w14:paraId="4AC61D82">
            <w:pPr>
              <w:pStyle w:val="71"/>
              <w:spacing w:line="180" w:lineRule="exact"/>
              <w:ind w:left="113" w:right="113"/>
              <w:jc w:val="center"/>
              <w:rPr>
                <w:rFonts w:cs="Calibri"/>
                <w:color w:val="auto"/>
                <w:spacing w:val="-24"/>
                <w:w w:val="90"/>
                <w:sz w:val="18"/>
                <w:szCs w:val="18"/>
                <w:highlight w:val="none"/>
              </w:rPr>
            </w:pPr>
          </w:p>
        </w:tc>
      </w:tr>
      <w:tr w14:paraId="4CD38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3" w:hRule="atLeast"/>
        </w:trPr>
        <w:tc>
          <w:tcPr>
            <w:tcW w:w="251" w:type="dxa"/>
            <w:tcBorders>
              <w:top w:val="nil"/>
              <w:left w:val="nil"/>
              <w:bottom w:val="nil"/>
              <w:right w:val="single" w:color="auto" w:sz="12" w:space="0"/>
            </w:tcBorders>
            <w:noWrap w:val="0"/>
            <w:textDirection w:val="btLr"/>
            <w:vAlign w:val="top"/>
          </w:tcPr>
          <w:p w14:paraId="07FD02E9">
            <w:pPr>
              <w:pStyle w:val="71"/>
              <w:spacing w:line="180" w:lineRule="exact"/>
              <w:ind w:left="113" w:right="113"/>
              <w:jc w:val="center"/>
              <w:rPr>
                <w:rFonts w:cs="Calibri"/>
                <w:color w:val="auto"/>
                <w:spacing w:val="-24"/>
                <w:w w:val="90"/>
                <w:sz w:val="18"/>
                <w:szCs w:val="18"/>
                <w:highlight w:val="none"/>
              </w:rPr>
            </w:pPr>
          </w:p>
        </w:tc>
        <w:tc>
          <w:tcPr>
            <w:tcW w:w="796" w:type="dxa"/>
            <w:vMerge w:val="continue"/>
            <w:tcBorders>
              <w:top w:val="single" w:color="auto" w:sz="6" w:space="0"/>
              <w:left w:val="single" w:color="auto" w:sz="12" w:space="0"/>
              <w:bottom w:val="single" w:color="auto" w:sz="6" w:space="0"/>
              <w:right w:val="single" w:color="auto" w:sz="6" w:space="0"/>
            </w:tcBorders>
            <w:noWrap w:val="0"/>
            <w:textDirection w:val="btLr"/>
            <w:vAlign w:val="center"/>
          </w:tcPr>
          <w:p w14:paraId="3943F763">
            <w:pPr>
              <w:pStyle w:val="71"/>
              <w:spacing w:line="180" w:lineRule="exact"/>
              <w:ind w:left="113" w:right="113"/>
              <w:jc w:val="center"/>
              <w:rPr>
                <w:rFonts w:cs="Calibri"/>
                <w:color w:val="auto"/>
                <w:w w:val="90"/>
                <w:sz w:val="18"/>
                <w:szCs w:val="18"/>
                <w:highlight w:val="none"/>
              </w:rPr>
            </w:pPr>
          </w:p>
        </w:tc>
        <w:tc>
          <w:tcPr>
            <w:tcW w:w="890" w:type="dxa"/>
            <w:tcBorders>
              <w:top w:val="single" w:color="auto" w:sz="6" w:space="0"/>
              <w:left w:val="single" w:color="auto" w:sz="6" w:space="0"/>
              <w:bottom w:val="single" w:color="auto" w:sz="6" w:space="0"/>
              <w:right w:val="single" w:color="auto" w:sz="6" w:space="0"/>
            </w:tcBorders>
            <w:noWrap w:val="0"/>
            <w:textDirection w:val="btLr"/>
            <w:vAlign w:val="center"/>
          </w:tcPr>
          <w:p w14:paraId="025B9634">
            <w:pPr>
              <w:pStyle w:val="71"/>
              <w:spacing w:line="180" w:lineRule="exact"/>
              <w:ind w:left="113" w:right="113"/>
              <w:jc w:val="center"/>
              <w:rPr>
                <w:rFonts w:cs="Calibri"/>
                <w:color w:val="auto"/>
                <w:spacing w:val="-24"/>
                <w:sz w:val="18"/>
                <w:szCs w:val="18"/>
                <w:highlight w:val="none"/>
              </w:rPr>
            </w:pPr>
            <w:r>
              <w:rPr>
                <w:rFonts w:cs="宋体"/>
                <w:color w:val="auto"/>
                <w:spacing w:val="-24"/>
                <w:sz w:val="18"/>
                <w:szCs w:val="18"/>
                <w:highlight w:val="none"/>
              </w:rPr>
              <w:t>9</w:t>
            </w:r>
          </w:p>
        </w:tc>
        <w:tc>
          <w:tcPr>
            <w:tcW w:w="455" w:type="dxa"/>
            <w:tcBorders>
              <w:top w:val="single" w:color="auto" w:sz="6" w:space="0"/>
              <w:left w:val="single" w:color="auto" w:sz="6" w:space="0"/>
              <w:bottom w:val="single" w:color="auto" w:sz="6" w:space="0"/>
              <w:right w:val="single" w:color="auto" w:sz="6" w:space="0"/>
            </w:tcBorders>
            <w:noWrap w:val="0"/>
            <w:textDirection w:val="btLr"/>
            <w:vAlign w:val="center"/>
          </w:tcPr>
          <w:p w14:paraId="4B9A4345">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2A42AC10">
            <w:pPr>
              <w:pStyle w:val="71"/>
              <w:spacing w:line="180" w:lineRule="exact"/>
              <w:ind w:left="113" w:right="113"/>
              <w:jc w:val="center"/>
              <w:rPr>
                <w:rFonts w:cs="Calibri"/>
                <w:color w:val="auto"/>
                <w:spacing w:val="-24"/>
                <w:w w:val="90"/>
                <w:sz w:val="18"/>
                <w:szCs w:val="18"/>
                <w:highlight w:val="none"/>
              </w:rPr>
            </w:pPr>
          </w:p>
        </w:tc>
        <w:tc>
          <w:tcPr>
            <w:tcW w:w="411" w:type="dxa"/>
            <w:tcBorders>
              <w:top w:val="single" w:color="auto" w:sz="6" w:space="0"/>
              <w:left w:val="single" w:color="auto" w:sz="6" w:space="0"/>
              <w:bottom w:val="single" w:color="auto" w:sz="6" w:space="0"/>
              <w:right w:val="single" w:color="auto" w:sz="6" w:space="0"/>
            </w:tcBorders>
            <w:noWrap w:val="0"/>
            <w:textDirection w:val="btLr"/>
            <w:vAlign w:val="center"/>
          </w:tcPr>
          <w:p w14:paraId="26C580EF">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294262B3">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4994A82D">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2064FA90">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20F271C8">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6B3E1EEC">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605C0673">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00AAF0AF">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56589ABF">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31FD4AFE">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4BBECC34">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3950D20D">
            <w:pPr>
              <w:pStyle w:val="71"/>
              <w:spacing w:line="180" w:lineRule="exact"/>
              <w:ind w:left="113" w:right="113"/>
              <w:jc w:val="center"/>
              <w:rPr>
                <w:rFonts w:cs="Calibri"/>
                <w:color w:val="auto"/>
                <w:spacing w:val="-24"/>
                <w:w w:val="90"/>
                <w:sz w:val="18"/>
                <w:szCs w:val="18"/>
                <w:highlight w:val="none"/>
              </w:rPr>
            </w:pPr>
          </w:p>
        </w:tc>
        <w:tc>
          <w:tcPr>
            <w:tcW w:w="404" w:type="dxa"/>
            <w:tcBorders>
              <w:top w:val="single" w:color="auto" w:sz="6" w:space="0"/>
              <w:left w:val="single" w:color="auto" w:sz="6" w:space="0"/>
              <w:bottom w:val="single" w:color="auto" w:sz="6" w:space="0"/>
              <w:right w:val="single" w:color="auto" w:sz="6" w:space="0"/>
            </w:tcBorders>
            <w:noWrap w:val="0"/>
            <w:textDirection w:val="btLr"/>
            <w:vAlign w:val="top"/>
          </w:tcPr>
          <w:p w14:paraId="75C47256">
            <w:pPr>
              <w:pStyle w:val="71"/>
              <w:spacing w:line="180" w:lineRule="exact"/>
              <w:ind w:left="113" w:right="113"/>
              <w:jc w:val="center"/>
              <w:rPr>
                <w:rFonts w:cs="Calibri"/>
                <w:color w:val="auto"/>
                <w:spacing w:val="-24"/>
                <w:w w:val="90"/>
                <w:sz w:val="18"/>
                <w:szCs w:val="18"/>
                <w:highlight w:val="none"/>
              </w:rPr>
            </w:pPr>
          </w:p>
        </w:tc>
        <w:tc>
          <w:tcPr>
            <w:tcW w:w="392" w:type="dxa"/>
            <w:tcBorders>
              <w:top w:val="single" w:color="auto" w:sz="6" w:space="0"/>
              <w:left w:val="single" w:color="auto" w:sz="6" w:space="0"/>
              <w:bottom w:val="single" w:color="auto" w:sz="6" w:space="0"/>
              <w:right w:val="single" w:color="auto" w:sz="6" w:space="0"/>
            </w:tcBorders>
            <w:noWrap w:val="0"/>
            <w:textDirection w:val="btLr"/>
            <w:vAlign w:val="top"/>
          </w:tcPr>
          <w:p w14:paraId="2BD3B027">
            <w:pPr>
              <w:pStyle w:val="71"/>
              <w:spacing w:line="180" w:lineRule="exact"/>
              <w:ind w:left="113" w:right="113"/>
              <w:jc w:val="center"/>
              <w:rPr>
                <w:rFonts w:cs="Calibri"/>
                <w:color w:val="auto"/>
                <w:spacing w:val="-24"/>
                <w:w w:val="90"/>
                <w:sz w:val="18"/>
                <w:szCs w:val="18"/>
                <w:highlight w:val="none"/>
              </w:rPr>
            </w:pPr>
          </w:p>
        </w:tc>
        <w:tc>
          <w:tcPr>
            <w:tcW w:w="387" w:type="dxa"/>
            <w:tcBorders>
              <w:top w:val="single" w:color="auto" w:sz="6" w:space="0"/>
              <w:left w:val="single" w:color="auto" w:sz="6" w:space="0"/>
              <w:bottom w:val="single" w:color="auto" w:sz="6" w:space="0"/>
              <w:right w:val="single" w:color="auto" w:sz="12" w:space="0"/>
            </w:tcBorders>
            <w:noWrap w:val="0"/>
            <w:textDirection w:val="btLr"/>
            <w:vAlign w:val="center"/>
          </w:tcPr>
          <w:p w14:paraId="2D2EF094">
            <w:pPr>
              <w:pStyle w:val="71"/>
              <w:spacing w:line="180" w:lineRule="exact"/>
              <w:ind w:left="113" w:right="113"/>
              <w:jc w:val="center"/>
              <w:rPr>
                <w:rFonts w:cs="Calibri"/>
                <w:color w:val="auto"/>
                <w:spacing w:val="-24"/>
                <w:w w:val="90"/>
                <w:sz w:val="18"/>
                <w:szCs w:val="18"/>
                <w:highlight w:val="none"/>
              </w:rPr>
            </w:pPr>
          </w:p>
        </w:tc>
      </w:tr>
      <w:tr w14:paraId="574D9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3" w:hRule="atLeast"/>
        </w:trPr>
        <w:tc>
          <w:tcPr>
            <w:tcW w:w="251" w:type="dxa"/>
            <w:tcBorders>
              <w:top w:val="nil"/>
              <w:left w:val="nil"/>
              <w:bottom w:val="nil"/>
              <w:right w:val="single" w:color="auto" w:sz="12" w:space="0"/>
            </w:tcBorders>
            <w:noWrap w:val="0"/>
            <w:textDirection w:val="btLr"/>
            <w:vAlign w:val="top"/>
          </w:tcPr>
          <w:p w14:paraId="500B336A">
            <w:pPr>
              <w:pStyle w:val="71"/>
              <w:spacing w:line="180" w:lineRule="exact"/>
              <w:ind w:left="113" w:right="113"/>
              <w:jc w:val="center"/>
              <w:rPr>
                <w:rFonts w:cs="Calibri"/>
                <w:color w:val="auto"/>
                <w:spacing w:val="-24"/>
                <w:w w:val="90"/>
                <w:sz w:val="18"/>
                <w:szCs w:val="18"/>
                <w:highlight w:val="none"/>
              </w:rPr>
            </w:pPr>
          </w:p>
        </w:tc>
        <w:tc>
          <w:tcPr>
            <w:tcW w:w="796" w:type="dxa"/>
            <w:vMerge w:val="continue"/>
            <w:tcBorders>
              <w:top w:val="single" w:color="auto" w:sz="6" w:space="0"/>
              <w:left w:val="single" w:color="auto" w:sz="12" w:space="0"/>
              <w:bottom w:val="single" w:color="auto" w:sz="6" w:space="0"/>
              <w:right w:val="single" w:color="auto" w:sz="6" w:space="0"/>
            </w:tcBorders>
            <w:noWrap w:val="0"/>
            <w:textDirection w:val="btLr"/>
            <w:vAlign w:val="center"/>
          </w:tcPr>
          <w:p w14:paraId="3E68BC5B">
            <w:pPr>
              <w:pStyle w:val="71"/>
              <w:spacing w:line="180" w:lineRule="exact"/>
              <w:ind w:left="113" w:right="113"/>
              <w:jc w:val="center"/>
              <w:rPr>
                <w:rFonts w:cs="Calibri"/>
                <w:color w:val="auto"/>
                <w:w w:val="90"/>
                <w:sz w:val="18"/>
                <w:szCs w:val="18"/>
                <w:highlight w:val="none"/>
              </w:rPr>
            </w:pPr>
          </w:p>
        </w:tc>
        <w:tc>
          <w:tcPr>
            <w:tcW w:w="890" w:type="dxa"/>
            <w:tcBorders>
              <w:top w:val="single" w:color="auto" w:sz="6" w:space="0"/>
              <w:left w:val="single" w:color="auto" w:sz="6" w:space="0"/>
              <w:bottom w:val="single" w:color="auto" w:sz="6" w:space="0"/>
              <w:right w:val="single" w:color="auto" w:sz="6" w:space="0"/>
            </w:tcBorders>
            <w:noWrap w:val="0"/>
            <w:textDirection w:val="btLr"/>
            <w:vAlign w:val="center"/>
          </w:tcPr>
          <w:p w14:paraId="7E4F58C2">
            <w:pPr>
              <w:pStyle w:val="71"/>
              <w:spacing w:line="180" w:lineRule="exact"/>
              <w:ind w:left="113" w:right="113"/>
              <w:jc w:val="center"/>
              <w:rPr>
                <w:rFonts w:cs="Calibri"/>
                <w:color w:val="auto"/>
                <w:spacing w:val="-24"/>
                <w:sz w:val="18"/>
                <w:szCs w:val="18"/>
                <w:highlight w:val="none"/>
              </w:rPr>
            </w:pPr>
            <w:r>
              <w:rPr>
                <w:rFonts w:cs="宋体"/>
                <w:color w:val="auto"/>
                <w:spacing w:val="-24"/>
                <w:sz w:val="18"/>
                <w:szCs w:val="18"/>
                <w:highlight w:val="none"/>
              </w:rPr>
              <w:t>8</w:t>
            </w:r>
          </w:p>
        </w:tc>
        <w:tc>
          <w:tcPr>
            <w:tcW w:w="455" w:type="dxa"/>
            <w:tcBorders>
              <w:top w:val="single" w:color="auto" w:sz="6" w:space="0"/>
              <w:left w:val="single" w:color="auto" w:sz="6" w:space="0"/>
              <w:bottom w:val="single" w:color="auto" w:sz="6" w:space="0"/>
              <w:right w:val="single" w:color="auto" w:sz="6" w:space="0"/>
            </w:tcBorders>
            <w:noWrap w:val="0"/>
            <w:textDirection w:val="btLr"/>
            <w:vAlign w:val="center"/>
          </w:tcPr>
          <w:p w14:paraId="5C1597B7">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1E495760">
            <w:pPr>
              <w:pStyle w:val="71"/>
              <w:spacing w:line="180" w:lineRule="exact"/>
              <w:ind w:left="113" w:right="113"/>
              <w:jc w:val="center"/>
              <w:rPr>
                <w:rFonts w:cs="Calibri"/>
                <w:color w:val="auto"/>
                <w:spacing w:val="-24"/>
                <w:w w:val="90"/>
                <w:sz w:val="18"/>
                <w:szCs w:val="18"/>
                <w:highlight w:val="none"/>
              </w:rPr>
            </w:pPr>
          </w:p>
        </w:tc>
        <w:tc>
          <w:tcPr>
            <w:tcW w:w="411" w:type="dxa"/>
            <w:tcBorders>
              <w:top w:val="single" w:color="auto" w:sz="6" w:space="0"/>
              <w:left w:val="single" w:color="auto" w:sz="6" w:space="0"/>
              <w:bottom w:val="single" w:color="auto" w:sz="6" w:space="0"/>
              <w:right w:val="single" w:color="auto" w:sz="6" w:space="0"/>
            </w:tcBorders>
            <w:noWrap w:val="0"/>
            <w:textDirection w:val="btLr"/>
            <w:vAlign w:val="center"/>
          </w:tcPr>
          <w:p w14:paraId="10CED05C">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24100BB9">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262E4CCE">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5648AF7F">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7E47A60D">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2F76C7A0">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4250C53C">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2EFA88DB">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3ACC5F52">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7E1B3AD7">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2CF4D1C5">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13260E65">
            <w:pPr>
              <w:pStyle w:val="71"/>
              <w:spacing w:line="180" w:lineRule="exact"/>
              <w:ind w:left="113" w:right="113"/>
              <w:jc w:val="center"/>
              <w:rPr>
                <w:rFonts w:cs="Calibri"/>
                <w:color w:val="auto"/>
                <w:spacing w:val="-24"/>
                <w:w w:val="90"/>
                <w:sz w:val="18"/>
                <w:szCs w:val="18"/>
                <w:highlight w:val="none"/>
              </w:rPr>
            </w:pPr>
          </w:p>
        </w:tc>
        <w:tc>
          <w:tcPr>
            <w:tcW w:w="404" w:type="dxa"/>
            <w:tcBorders>
              <w:top w:val="single" w:color="auto" w:sz="6" w:space="0"/>
              <w:left w:val="single" w:color="auto" w:sz="6" w:space="0"/>
              <w:bottom w:val="single" w:color="auto" w:sz="6" w:space="0"/>
              <w:right w:val="single" w:color="auto" w:sz="6" w:space="0"/>
            </w:tcBorders>
            <w:noWrap w:val="0"/>
            <w:textDirection w:val="btLr"/>
            <w:vAlign w:val="top"/>
          </w:tcPr>
          <w:p w14:paraId="00570389">
            <w:pPr>
              <w:pStyle w:val="71"/>
              <w:spacing w:line="180" w:lineRule="exact"/>
              <w:ind w:left="113" w:right="113"/>
              <w:jc w:val="center"/>
              <w:rPr>
                <w:rFonts w:cs="Calibri"/>
                <w:color w:val="auto"/>
                <w:spacing w:val="-24"/>
                <w:w w:val="90"/>
                <w:sz w:val="18"/>
                <w:szCs w:val="18"/>
                <w:highlight w:val="none"/>
              </w:rPr>
            </w:pPr>
          </w:p>
        </w:tc>
        <w:tc>
          <w:tcPr>
            <w:tcW w:w="392" w:type="dxa"/>
            <w:tcBorders>
              <w:top w:val="single" w:color="auto" w:sz="6" w:space="0"/>
              <w:left w:val="single" w:color="auto" w:sz="6" w:space="0"/>
              <w:bottom w:val="single" w:color="auto" w:sz="6" w:space="0"/>
              <w:right w:val="single" w:color="auto" w:sz="6" w:space="0"/>
            </w:tcBorders>
            <w:noWrap w:val="0"/>
            <w:textDirection w:val="btLr"/>
            <w:vAlign w:val="top"/>
          </w:tcPr>
          <w:p w14:paraId="5695BD64">
            <w:pPr>
              <w:pStyle w:val="71"/>
              <w:spacing w:line="180" w:lineRule="exact"/>
              <w:ind w:left="113" w:right="113"/>
              <w:jc w:val="center"/>
              <w:rPr>
                <w:rFonts w:cs="Calibri"/>
                <w:color w:val="auto"/>
                <w:spacing w:val="-24"/>
                <w:w w:val="90"/>
                <w:sz w:val="18"/>
                <w:szCs w:val="18"/>
                <w:highlight w:val="none"/>
              </w:rPr>
            </w:pPr>
          </w:p>
        </w:tc>
        <w:tc>
          <w:tcPr>
            <w:tcW w:w="387" w:type="dxa"/>
            <w:tcBorders>
              <w:top w:val="single" w:color="auto" w:sz="6" w:space="0"/>
              <w:left w:val="single" w:color="auto" w:sz="6" w:space="0"/>
              <w:bottom w:val="single" w:color="auto" w:sz="6" w:space="0"/>
              <w:right w:val="single" w:color="auto" w:sz="12" w:space="0"/>
            </w:tcBorders>
            <w:noWrap w:val="0"/>
            <w:textDirection w:val="btLr"/>
            <w:vAlign w:val="center"/>
          </w:tcPr>
          <w:p w14:paraId="6079F143">
            <w:pPr>
              <w:pStyle w:val="71"/>
              <w:spacing w:line="180" w:lineRule="exact"/>
              <w:ind w:left="113" w:right="113"/>
              <w:jc w:val="center"/>
              <w:rPr>
                <w:rFonts w:cs="Calibri"/>
                <w:color w:val="auto"/>
                <w:spacing w:val="-24"/>
                <w:w w:val="90"/>
                <w:sz w:val="18"/>
                <w:szCs w:val="18"/>
                <w:highlight w:val="none"/>
              </w:rPr>
            </w:pPr>
          </w:p>
        </w:tc>
      </w:tr>
      <w:tr w14:paraId="79F9D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4" w:hRule="atLeast"/>
        </w:trPr>
        <w:tc>
          <w:tcPr>
            <w:tcW w:w="251" w:type="dxa"/>
            <w:tcBorders>
              <w:top w:val="nil"/>
              <w:left w:val="nil"/>
              <w:bottom w:val="nil"/>
              <w:right w:val="single" w:color="auto" w:sz="12" w:space="0"/>
            </w:tcBorders>
            <w:noWrap w:val="0"/>
            <w:textDirection w:val="btLr"/>
            <w:vAlign w:val="top"/>
          </w:tcPr>
          <w:p w14:paraId="36223629">
            <w:pPr>
              <w:pStyle w:val="71"/>
              <w:spacing w:line="180" w:lineRule="exact"/>
              <w:ind w:left="113" w:right="113"/>
              <w:jc w:val="center"/>
              <w:rPr>
                <w:rFonts w:cs="Calibri"/>
                <w:color w:val="auto"/>
                <w:spacing w:val="-24"/>
                <w:w w:val="90"/>
                <w:sz w:val="18"/>
                <w:szCs w:val="18"/>
                <w:highlight w:val="none"/>
              </w:rPr>
            </w:pPr>
          </w:p>
        </w:tc>
        <w:tc>
          <w:tcPr>
            <w:tcW w:w="796" w:type="dxa"/>
            <w:vMerge w:val="continue"/>
            <w:tcBorders>
              <w:top w:val="single" w:color="auto" w:sz="6" w:space="0"/>
              <w:left w:val="single" w:color="auto" w:sz="12" w:space="0"/>
              <w:bottom w:val="single" w:color="auto" w:sz="6" w:space="0"/>
              <w:right w:val="single" w:color="auto" w:sz="6" w:space="0"/>
            </w:tcBorders>
            <w:noWrap w:val="0"/>
            <w:textDirection w:val="btLr"/>
            <w:vAlign w:val="center"/>
          </w:tcPr>
          <w:p w14:paraId="514EE93E">
            <w:pPr>
              <w:pStyle w:val="71"/>
              <w:spacing w:line="180" w:lineRule="exact"/>
              <w:ind w:left="113" w:right="113"/>
              <w:jc w:val="center"/>
              <w:rPr>
                <w:rFonts w:cs="Calibri"/>
                <w:color w:val="auto"/>
                <w:w w:val="90"/>
                <w:sz w:val="18"/>
                <w:szCs w:val="18"/>
                <w:highlight w:val="none"/>
              </w:rPr>
            </w:pPr>
          </w:p>
        </w:tc>
        <w:tc>
          <w:tcPr>
            <w:tcW w:w="890" w:type="dxa"/>
            <w:tcBorders>
              <w:top w:val="single" w:color="auto" w:sz="6" w:space="0"/>
              <w:left w:val="single" w:color="auto" w:sz="6" w:space="0"/>
              <w:bottom w:val="single" w:color="auto" w:sz="6" w:space="0"/>
              <w:right w:val="single" w:color="auto" w:sz="6" w:space="0"/>
            </w:tcBorders>
            <w:noWrap w:val="0"/>
            <w:textDirection w:val="btLr"/>
            <w:vAlign w:val="center"/>
          </w:tcPr>
          <w:p w14:paraId="5FD66748">
            <w:pPr>
              <w:pStyle w:val="71"/>
              <w:spacing w:line="180" w:lineRule="exact"/>
              <w:ind w:left="113" w:right="113"/>
              <w:jc w:val="center"/>
              <w:rPr>
                <w:rFonts w:cs="Calibri"/>
                <w:color w:val="auto"/>
                <w:spacing w:val="-24"/>
                <w:sz w:val="18"/>
                <w:szCs w:val="18"/>
                <w:highlight w:val="none"/>
              </w:rPr>
            </w:pPr>
            <w:r>
              <w:rPr>
                <w:rFonts w:cs="宋体"/>
                <w:color w:val="auto"/>
                <w:spacing w:val="-24"/>
                <w:sz w:val="18"/>
                <w:szCs w:val="18"/>
                <w:highlight w:val="none"/>
              </w:rPr>
              <w:t>7</w:t>
            </w:r>
          </w:p>
        </w:tc>
        <w:tc>
          <w:tcPr>
            <w:tcW w:w="455" w:type="dxa"/>
            <w:tcBorders>
              <w:top w:val="single" w:color="auto" w:sz="6" w:space="0"/>
              <w:left w:val="single" w:color="auto" w:sz="6" w:space="0"/>
              <w:bottom w:val="single" w:color="auto" w:sz="6" w:space="0"/>
              <w:right w:val="single" w:color="auto" w:sz="6" w:space="0"/>
            </w:tcBorders>
            <w:noWrap w:val="0"/>
            <w:textDirection w:val="btLr"/>
            <w:vAlign w:val="center"/>
          </w:tcPr>
          <w:p w14:paraId="3551CDA8">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0D5373C1">
            <w:pPr>
              <w:pStyle w:val="71"/>
              <w:spacing w:line="180" w:lineRule="exact"/>
              <w:ind w:left="113" w:right="113"/>
              <w:jc w:val="center"/>
              <w:rPr>
                <w:rFonts w:cs="Calibri"/>
                <w:color w:val="auto"/>
                <w:spacing w:val="-24"/>
                <w:w w:val="90"/>
                <w:sz w:val="18"/>
                <w:szCs w:val="18"/>
                <w:highlight w:val="none"/>
              </w:rPr>
            </w:pPr>
          </w:p>
        </w:tc>
        <w:tc>
          <w:tcPr>
            <w:tcW w:w="411" w:type="dxa"/>
            <w:tcBorders>
              <w:top w:val="single" w:color="auto" w:sz="6" w:space="0"/>
              <w:left w:val="single" w:color="auto" w:sz="6" w:space="0"/>
              <w:bottom w:val="single" w:color="auto" w:sz="6" w:space="0"/>
              <w:right w:val="single" w:color="auto" w:sz="6" w:space="0"/>
            </w:tcBorders>
            <w:noWrap w:val="0"/>
            <w:textDirection w:val="btLr"/>
            <w:vAlign w:val="center"/>
          </w:tcPr>
          <w:p w14:paraId="07EB1029">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0C133739">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662A82C6">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77B3F0D2">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0FF56BDE">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5591FEEA">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78A10087">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3CB37212">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0F3D65E1">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1F844233">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62C4718B">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5EB1B40D">
            <w:pPr>
              <w:pStyle w:val="71"/>
              <w:spacing w:line="180" w:lineRule="exact"/>
              <w:ind w:left="113" w:right="113"/>
              <w:jc w:val="center"/>
              <w:rPr>
                <w:rFonts w:cs="Calibri"/>
                <w:color w:val="auto"/>
                <w:spacing w:val="-24"/>
                <w:w w:val="90"/>
                <w:sz w:val="18"/>
                <w:szCs w:val="18"/>
                <w:highlight w:val="none"/>
              </w:rPr>
            </w:pPr>
          </w:p>
        </w:tc>
        <w:tc>
          <w:tcPr>
            <w:tcW w:w="404" w:type="dxa"/>
            <w:tcBorders>
              <w:top w:val="single" w:color="auto" w:sz="6" w:space="0"/>
              <w:left w:val="single" w:color="auto" w:sz="6" w:space="0"/>
              <w:bottom w:val="single" w:color="auto" w:sz="6" w:space="0"/>
              <w:right w:val="single" w:color="auto" w:sz="6" w:space="0"/>
            </w:tcBorders>
            <w:noWrap w:val="0"/>
            <w:textDirection w:val="btLr"/>
            <w:vAlign w:val="top"/>
          </w:tcPr>
          <w:p w14:paraId="129EEA90">
            <w:pPr>
              <w:pStyle w:val="71"/>
              <w:spacing w:line="180" w:lineRule="exact"/>
              <w:ind w:left="113" w:right="113"/>
              <w:jc w:val="center"/>
              <w:rPr>
                <w:rFonts w:cs="Calibri"/>
                <w:color w:val="auto"/>
                <w:spacing w:val="-24"/>
                <w:w w:val="90"/>
                <w:sz w:val="18"/>
                <w:szCs w:val="18"/>
                <w:highlight w:val="none"/>
              </w:rPr>
            </w:pPr>
          </w:p>
        </w:tc>
        <w:tc>
          <w:tcPr>
            <w:tcW w:w="392" w:type="dxa"/>
            <w:tcBorders>
              <w:top w:val="single" w:color="auto" w:sz="6" w:space="0"/>
              <w:left w:val="single" w:color="auto" w:sz="6" w:space="0"/>
              <w:bottom w:val="single" w:color="auto" w:sz="6" w:space="0"/>
              <w:right w:val="single" w:color="auto" w:sz="6" w:space="0"/>
            </w:tcBorders>
            <w:noWrap w:val="0"/>
            <w:textDirection w:val="btLr"/>
            <w:vAlign w:val="top"/>
          </w:tcPr>
          <w:p w14:paraId="28523F91">
            <w:pPr>
              <w:pStyle w:val="71"/>
              <w:spacing w:line="180" w:lineRule="exact"/>
              <w:ind w:left="113" w:right="113"/>
              <w:jc w:val="center"/>
              <w:rPr>
                <w:rFonts w:cs="Calibri"/>
                <w:color w:val="auto"/>
                <w:spacing w:val="-24"/>
                <w:w w:val="90"/>
                <w:sz w:val="18"/>
                <w:szCs w:val="18"/>
                <w:highlight w:val="none"/>
              </w:rPr>
            </w:pPr>
          </w:p>
        </w:tc>
        <w:tc>
          <w:tcPr>
            <w:tcW w:w="387" w:type="dxa"/>
            <w:tcBorders>
              <w:top w:val="single" w:color="auto" w:sz="6" w:space="0"/>
              <w:left w:val="single" w:color="auto" w:sz="6" w:space="0"/>
              <w:bottom w:val="single" w:color="auto" w:sz="6" w:space="0"/>
              <w:right w:val="single" w:color="auto" w:sz="12" w:space="0"/>
            </w:tcBorders>
            <w:noWrap w:val="0"/>
            <w:textDirection w:val="btLr"/>
            <w:vAlign w:val="center"/>
          </w:tcPr>
          <w:p w14:paraId="77AEC37D">
            <w:pPr>
              <w:pStyle w:val="71"/>
              <w:spacing w:line="180" w:lineRule="exact"/>
              <w:ind w:left="113" w:right="113"/>
              <w:jc w:val="center"/>
              <w:rPr>
                <w:rFonts w:cs="Calibri"/>
                <w:color w:val="auto"/>
                <w:spacing w:val="-24"/>
                <w:w w:val="90"/>
                <w:sz w:val="18"/>
                <w:szCs w:val="18"/>
                <w:highlight w:val="none"/>
              </w:rPr>
            </w:pPr>
          </w:p>
        </w:tc>
      </w:tr>
      <w:tr w14:paraId="63CB7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3" w:hRule="atLeast"/>
        </w:trPr>
        <w:tc>
          <w:tcPr>
            <w:tcW w:w="251" w:type="dxa"/>
            <w:tcBorders>
              <w:top w:val="nil"/>
              <w:left w:val="nil"/>
              <w:bottom w:val="nil"/>
              <w:right w:val="single" w:color="auto" w:sz="12" w:space="0"/>
            </w:tcBorders>
            <w:noWrap w:val="0"/>
            <w:textDirection w:val="btLr"/>
            <w:vAlign w:val="top"/>
          </w:tcPr>
          <w:p w14:paraId="3F553DE2">
            <w:pPr>
              <w:pStyle w:val="71"/>
              <w:spacing w:line="180" w:lineRule="exact"/>
              <w:ind w:left="113" w:right="113"/>
              <w:jc w:val="center"/>
              <w:rPr>
                <w:rFonts w:cs="Calibri"/>
                <w:color w:val="auto"/>
                <w:spacing w:val="-24"/>
                <w:w w:val="90"/>
                <w:sz w:val="18"/>
                <w:szCs w:val="18"/>
                <w:highlight w:val="none"/>
              </w:rPr>
            </w:pPr>
          </w:p>
        </w:tc>
        <w:tc>
          <w:tcPr>
            <w:tcW w:w="796" w:type="dxa"/>
            <w:vMerge w:val="continue"/>
            <w:tcBorders>
              <w:top w:val="single" w:color="auto" w:sz="6" w:space="0"/>
              <w:left w:val="single" w:color="auto" w:sz="12" w:space="0"/>
              <w:bottom w:val="single" w:color="auto" w:sz="6" w:space="0"/>
              <w:right w:val="single" w:color="auto" w:sz="6" w:space="0"/>
            </w:tcBorders>
            <w:noWrap w:val="0"/>
            <w:textDirection w:val="btLr"/>
            <w:vAlign w:val="center"/>
          </w:tcPr>
          <w:p w14:paraId="4E1C4BF8">
            <w:pPr>
              <w:pStyle w:val="71"/>
              <w:spacing w:line="180" w:lineRule="exact"/>
              <w:ind w:left="113" w:right="113"/>
              <w:jc w:val="center"/>
              <w:rPr>
                <w:rFonts w:cs="Calibri"/>
                <w:color w:val="auto"/>
                <w:w w:val="90"/>
                <w:sz w:val="18"/>
                <w:szCs w:val="18"/>
                <w:highlight w:val="none"/>
              </w:rPr>
            </w:pPr>
          </w:p>
        </w:tc>
        <w:tc>
          <w:tcPr>
            <w:tcW w:w="890" w:type="dxa"/>
            <w:tcBorders>
              <w:top w:val="single" w:color="auto" w:sz="6" w:space="0"/>
              <w:left w:val="single" w:color="auto" w:sz="6" w:space="0"/>
              <w:bottom w:val="single" w:color="auto" w:sz="6" w:space="0"/>
              <w:right w:val="single" w:color="auto" w:sz="6" w:space="0"/>
            </w:tcBorders>
            <w:noWrap w:val="0"/>
            <w:textDirection w:val="btLr"/>
            <w:vAlign w:val="center"/>
          </w:tcPr>
          <w:p w14:paraId="3632B252">
            <w:pPr>
              <w:pStyle w:val="71"/>
              <w:spacing w:line="180" w:lineRule="exact"/>
              <w:ind w:left="113" w:right="113"/>
              <w:jc w:val="center"/>
              <w:rPr>
                <w:rFonts w:cs="Calibri"/>
                <w:color w:val="auto"/>
                <w:spacing w:val="-24"/>
                <w:sz w:val="18"/>
                <w:szCs w:val="18"/>
                <w:highlight w:val="none"/>
              </w:rPr>
            </w:pPr>
            <w:r>
              <w:rPr>
                <w:rFonts w:cs="宋体"/>
                <w:color w:val="auto"/>
                <w:spacing w:val="-24"/>
                <w:sz w:val="18"/>
                <w:szCs w:val="18"/>
                <w:highlight w:val="none"/>
              </w:rPr>
              <w:t>6</w:t>
            </w:r>
          </w:p>
        </w:tc>
        <w:tc>
          <w:tcPr>
            <w:tcW w:w="455" w:type="dxa"/>
            <w:tcBorders>
              <w:top w:val="single" w:color="auto" w:sz="6" w:space="0"/>
              <w:left w:val="single" w:color="auto" w:sz="6" w:space="0"/>
              <w:bottom w:val="single" w:color="auto" w:sz="6" w:space="0"/>
              <w:right w:val="single" w:color="auto" w:sz="6" w:space="0"/>
            </w:tcBorders>
            <w:noWrap w:val="0"/>
            <w:textDirection w:val="btLr"/>
            <w:vAlign w:val="center"/>
          </w:tcPr>
          <w:p w14:paraId="0D9F888C">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0BE302A7">
            <w:pPr>
              <w:pStyle w:val="71"/>
              <w:spacing w:line="180" w:lineRule="exact"/>
              <w:ind w:left="113" w:right="113"/>
              <w:jc w:val="center"/>
              <w:rPr>
                <w:rFonts w:cs="Calibri"/>
                <w:color w:val="auto"/>
                <w:spacing w:val="-24"/>
                <w:w w:val="90"/>
                <w:sz w:val="18"/>
                <w:szCs w:val="18"/>
                <w:highlight w:val="none"/>
              </w:rPr>
            </w:pPr>
          </w:p>
        </w:tc>
        <w:tc>
          <w:tcPr>
            <w:tcW w:w="411" w:type="dxa"/>
            <w:tcBorders>
              <w:top w:val="single" w:color="auto" w:sz="6" w:space="0"/>
              <w:left w:val="single" w:color="auto" w:sz="6" w:space="0"/>
              <w:bottom w:val="single" w:color="auto" w:sz="6" w:space="0"/>
              <w:right w:val="single" w:color="auto" w:sz="6" w:space="0"/>
            </w:tcBorders>
            <w:noWrap w:val="0"/>
            <w:textDirection w:val="btLr"/>
            <w:vAlign w:val="center"/>
          </w:tcPr>
          <w:p w14:paraId="565AA0D5">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0EBCA94A">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0D75D09B">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0EDDAC80">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5EC924D1">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6A49195B">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1997138A">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6D3BA0CF">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444AC7B1">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372E7B54">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3518D6A8">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769CABFA">
            <w:pPr>
              <w:pStyle w:val="71"/>
              <w:spacing w:line="180" w:lineRule="exact"/>
              <w:ind w:left="113" w:right="113"/>
              <w:jc w:val="center"/>
              <w:rPr>
                <w:rFonts w:cs="Calibri"/>
                <w:color w:val="auto"/>
                <w:spacing w:val="-24"/>
                <w:w w:val="90"/>
                <w:sz w:val="18"/>
                <w:szCs w:val="18"/>
                <w:highlight w:val="none"/>
              </w:rPr>
            </w:pPr>
          </w:p>
        </w:tc>
        <w:tc>
          <w:tcPr>
            <w:tcW w:w="404" w:type="dxa"/>
            <w:tcBorders>
              <w:top w:val="single" w:color="auto" w:sz="6" w:space="0"/>
              <w:left w:val="single" w:color="auto" w:sz="6" w:space="0"/>
              <w:bottom w:val="single" w:color="auto" w:sz="6" w:space="0"/>
              <w:right w:val="single" w:color="auto" w:sz="6" w:space="0"/>
            </w:tcBorders>
            <w:noWrap w:val="0"/>
            <w:textDirection w:val="btLr"/>
            <w:vAlign w:val="top"/>
          </w:tcPr>
          <w:p w14:paraId="697D3999">
            <w:pPr>
              <w:pStyle w:val="71"/>
              <w:spacing w:line="180" w:lineRule="exact"/>
              <w:ind w:left="113" w:right="113"/>
              <w:jc w:val="center"/>
              <w:rPr>
                <w:rFonts w:cs="Calibri"/>
                <w:color w:val="auto"/>
                <w:spacing w:val="-24"/>
                <w:w w:val="90"/>
                <w:sz w:val="18"/>
                <w:szCs w:val="18"/>
                <w:highlight w:val="none"/>
              </w:rPr>
            </w:pPr>
          </w:p>
        </w:tc>
        <w:tc>
          <w:tcPr>
            <w:tcW w:w="392" w:type="dxa"/>
            <w:tcBorders>
              <w:top w:val="single" w:color="auto" w:sz="6" w:space="0"/>
              <w:left w:val="single" w:color="auto" w:sz="6" w:space="0"/>
              <w:bottom w:val="single" w:color="auto" w:sz="6" w:space="0"/>
              <w:right w:val="single" w:color="auto" w:sz="6" w:space="0"/>
            </w:tcBorders>
            <w:noWrap w:val="0"/>
            <w:textDirection w:val="btLr"/>
            <w:vAlign w:val="top"/>
          </w:tcPr>
          <w:p w14:paraId="625985BD">
            <w:pPr>
              <w:pStyle w:val="71"/>
              <w:spacing w:line="180" w:lineRule="exact"/>
              <w:ind w:left="113" w:right="113"/>
              <w:jc w:val="center"/>
              <w:rPr>
                <w:rFonts w:cs="Calibri"/>
                <w:color w:val="auto"/>
                <w:spacing w:val="-24"/>
                <w:w w:val="90"/>
                <w:sz w:val="18"/>
                <w:szCs w:val="18"/>
                <w:highlight w:val="none"/>
              </w:rPr>
            </w:pPr>
          </w:p>
        </w:tc>
        <w:tc>
          <w:tcPr>
            <w:tcW w:w="387" w:type="dxa"/>
            <w:tcBorders>
              <w:top w:val="single" w:color="auto" w:sz="6" w:space="0"/>
              <w:left w:val="single" w:color="auto" w:sz="6" w:space="0"/>
              <w:bottom w:val="single" w:color="auto" w:sz="6" w:space="0"/>
              <w:right w:val="single" w:color="auto" w:sz="12" w:space="0"/>
            </w:tcBorders>
            <w:noWrap w:val="0"/>
            <w:textDirection w:val="btLr"/>
            <w:vAlign w:val="center"/>
          </w:tcPr>
          <w:p w14:paraId="2226BC68">
            <w:pPr>
              <w:pStyle w:val="71"/>
              <w:spacing w:line="180" w:lineRule="exact"/>
              <w:ind w:left="113" w:right="113"/>
              <w:jc w:val="center"/>
              <w:rPr>
                <w:rFonts w:cs="Calibri"/>
                <w:color w:val="auto"/>
                <w:spacing w:val="-24"/>
                <w:w w:val="90"/>
                <w:sz w:val="18"/>
                <w:szCs w:val="18"/>
                <w:highlight w:val="none"/>
              </w:rPr>
            </w:pPr>
          </w:p>
        </w:tc>
      </w:tr>
      <w:tr w14:paraId="6D5F2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3" w:hRule="atLeast"/>
        </w:trPr>
        <w:tc>
          <w:tcPr>
            <w:tcW w:w="251" w:type="dxa"/>
            <w:tcBorders>
              <w:top w:val="nil"/>
              <w:left w:val="nil"/>
              <w:bottom w:val="nil"/>
              <w:right w:val="single" w:color="auto" w:sz="12" w:space="0"/>
            </w:tcBorders>
            <w:noWrap w:val="0"/>
            <w:textDirection w:val="btLr"/>
            <w:vAlign w:val="top"/>
          </w:tcPr>
          <w:p w14:paraId="75A8D9C2">
            <w:pPr>
              <w:pStyle w:val="71"/>
              <w:spacing w:line="180" w:lineRule="exact"/>
              <w:ind w:left="113" w:right="113"/>
              <w:jc w:val="center"/>
              <w:rPr>
                <w:rFonts w:cs="Calibri"/>
                <w:color w:val="auto"/>
                <w:spacing w:val="-24"/>
                <w:w w:val="90"/>
                <w:sz w:val="18"/>
                <w:szCs w:val="18"/>
                <w:highlight w:val="none"/>
              </w:rPr>
            </w:pPr>
          </w:p>
        </w:tc>
        <w:tc>
          <w:tcPr>
            <w:tcW w:w="796" w:type="dxa"/>
            <w:vMerge w:val="continue"/>
            <w:tcBorders>
              <w:top w:val="single" w:color="auto" w:sz="6" w:space="0"/>
              <w:left w:val="single" w:color="auto" w:sz="12" w:space="0"/>
              <w:bottom w:val="single" w:color="auto" w:sz="6" w:space="0"/>
              <w:right w:val="single" w:color="auto" w:sz="6" w:space="0"/>
            </w:tcBorders>
            <w:noWrap w:val="0"/>
            <w:textDirection w:val="btLr"/>
            <w:vAlign w:val="center"/>
          </w:tcPr>
          <w:p w14:paraId="68DD2F79">
            <w:pPr>
              <w:pStyle w:val="71"/>
              <w:spacing w:line="180" w:lineRule="exact"/>
              <w:ind w:left="113" w:right="113"/>
              <w:jc w:val="center"/>
              <w:rPr>
                <w:rFonts w:cs="Calibri"/>
                <w:color w:val="auto"/>
                <w:w w:val="90"/>
                <w:sz w:val="18"/>
                <w:szCs w:val="18"/>
                <w:highlight w:val="none"/>
              </w:rPr>
            </w:pPr>
          </w:p>
        </w:tc>
        <w:tc>
          <w:tcPr>
            <w:tcW w:w="890" w:type="dxa"/>
            <w:tcBorders>
              <w:top w:val="single" w:color="auto" w:sz="6" w:space="0"/>
              <w:left w:val="single" w:color="auto" w:sz="6" w:space="0"/>
              <w:bottom w:val="single" w:color="auto" w:sz="6" w:space="0"/>
              <w:right w:val="single" w:color="auto" w:sz="6" w:space="0"/>
            </w:tcBorders>
            <w:noWrap w:val="0"/>
            <w:textDirection w:val="btLr"/>
            <w:vAlign w:val="center"/>
          </w:tcPr>
          <w:p w14:paraId="4415853C">
            <w:pPr>
              <w:pStyle w:val="71"/>
              <w:spacing w:line="180" w:lineRule="exact"/>
              <w:ind w:left="113" w:right="113"/>
              <w:jc w:val="center"/>
              <w:rPr>
                <w:rFonts w:cs="Calibri"/>
                <w:color w:val="auto"/>
                <w:spacing w:val="-24"/>
                <w:sz w:val="18"/>
                <w:szCs w:val="18"/>
                <w:highlight w:val="none"/>
              </w:rPr>
            </w:pPr>
            <w:r>
              <w:rPr>
                <w:rFonts w:cs="宋体"/>
                <w:color w:val="auto"/>
                <w:spacing w:val="-24"/>
                <w:sz w:val="18"/>
                <w:szCs w:val="18"/>
                <w:highlight w:val="none"/>
              </w:rPr>
              <w:t>5</w:t>
            </w:r>
          </w:p>
        </w:tc>
        <w:tc>
          <w:tcPr>
            <w:tcW w:w="455" w:type="dxa"/>
            <w:tcBorders>
              <w:top w:val="single" w:color="auto" w:sz="6" w:space="0"/>
              <w:left w:val="single" w:color="auto" w:sz="6" w:space="0"/>
              <w:bottom w:val="single" w:color="auto" w:sz="6" w:space="0"/>
              <w:right w:val="single" w:color="auto" w:sz="6" w:space="0"/>
            </w:tcBorders>
            <w:noWrap w:val="0"/>
            <w:textDirection w:val="btLr"/>
            <w:vAlign w:val="center"/>
          </w:tcPr>
          <w:p w14:paraId="32A4709D">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248558E1">
            <w:pPr>
              <w:pStyle w:val="71"/>
              <w:spacing w:line="180" w:lineRule="exact"/>
              <w:ind w:left="113" w:right="113"/>
              <w:jc w:val="center"/>
              <w:rPr>
                <w:rFonts w:cs="Calibri"/>
                <w:color w:val="auto"/>
                <w:spacing w:val="-24"/>
                <w:w w:val="90"/>
                <w:sz w:val="18"/>
                <w:szCs w:val="18"/>
                <w:highlight w:val="none"/>
              </w:rPr>
            </w:pPr>
          </w:p>
        </w:tc>
        <w:tc>
          <w:tcPr>
            <w:tcW w:w="411" w:type="dxa"/>
            <w:tcBorders>
              <w:top w:val="single" w:color="auto" w:sz="6" w:space="0"/>
              <w:left w:val="single" w:color="auto" w:sz="6" w:space="0"/>
              <w:bottom w:val="single" w:color="auto" w:sz="6" w:space="0"/>
              <w:right w:val="single" w:color="auto" w:sz="6" w:space="0"/>
            </w:tcBorders>
            <w:noWrap w:val="0"/>
            <w:textDirection w:val="btLr"/>
            <w:vAlign w:val="center"/>
          </w:tcPr>
          <w:p w14:paraId="60528EF2">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301070CE">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61509DF5">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26720177">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67489C64">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5C63380B">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25C92AA6">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26952028">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0B439887">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4690BB8A">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35223C6F">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4641F015">
            <w:pPr>
              <w:pStyle w:val="71"/>
              <w:spacing w:line="180" w:lineRule="exact"/>
              <w:ind w:left="113" w:right="113"/>
              <w:jc w:val="center"/>
              <w:rPr>
                <w:rFonts w:cs="Calibri"/>
                <w:color w:val="auto"/>
                <w:spacing w:val="-24"/>
                <w:w w:val="90"/>
                <w:sz w:val="18"/>
                <w:szCs w:val="18"/>
                <w:highlight w:val="none"/>
              </w:rPr>
            </w:pPr>
          </w:p>
        </w:tc>
        <w:tc>
          <w:tcPr>
            <w:tcW w:w="404" w:type="dxa"/>
            <w:tcBorders>
              <w:top w:val="single" w:color="auto" w:sz="6" w:space="0"/>
              <w:left w:val="single" w:color="auto" w:sz="6" w:space="0"/>
              <w:bottom w:val="single" w:color="auto" w:sz="6" w:space="0"/>
              <w:right w:val="single" w:color="auto" w:sz="6" w:space="0"/>
            </w:tcBorders>
            <w:noWrap w:val="0"/>
            <w:textDirection w:val="btLr"/>
            <w:vAlign w:val="top"/>
          </w:tcPr>
          <w:p w14:paraId="47BEC5C4">
            <w:pPr>
              <w:pStyle w:val="71"/>
              <w:spacing w:line="180" w:lineRule="exact"/>
              <w:ind w:left="113" w:right="113"/>
              <w:jc w:val="center"/>
              <w:rPr>
                <w:rFonts w:cs="Calibri"/>
                <w:color w:val="auto"/>
                <w:spacing w:val="-24"/>
                <w:w w:val="90"/>
                <w:sz w:val="18"/>
                <w:szCs w:val="18"/>
                <w:highlight w:val="none"/>
              </w:rPr>
            </w:pPr>
          </w:p>
        </w:tc>
        <w:tc>
          <w:tcPr>
            <w:tcW w:w="392" w:type="dxa"/>
            <w:tcBorders>
              <w:top w:val="single" w:color="auto" w:sz="6" w:space="0"/>
              <w:left w:val="single" w:color="auto" w:sz="6" w:space="0"/>
              <w:bottom w:val="single" w:color="auto" w:sz="6" w:space="0"/>
              <w:right w:val="single" w:color="auto" w:sz="6" w:space="0"/>
            </w:tcBorders>
            <w:noWrap w:val="0"/>
            <w:textDirection w:val="btLr"/>
            <w:vAlign w:val="top"/>
          </w:tcPr>
          <w:p w14:paraId="5C320F79">
            <w:pPr>
              <w:pStyle w:val="71"/>
              <w:spacing w:line="180" w:lineRule="exact"/>
              <w:ind w:left="113" w:right="113"/>
              <w:jc w:val="center"/>
              <w:rPr>
                <w:rFonts w:cs="Calibri"/>
                <w:color w:val="auto"/>
                <w:spacing w:val="-24"/>
                <w:w w:val="90"/>
                <w:sz w:val="18"/>
                <w:szCs w:val="18"/>
                <w:highlight w:val="none"/>
              </w:rPr>
            </w:pPr>
          </w:p>
        </w:tc>
        <w:tc>
          <w:tcPr>
            <w:tcW w:w="387" w:type="dxa"/>
            <w:tcBorders>
              <w:top w:val="single" w:color="auto" w:sz="6" w:space="0"/>
              <w:left w:val="single" w:color="auto" w:sz="6" w:space="0"/>
              <w:bottom w:val="single" w:color="auto" w:sz="6" w:space="0"/>
              <w:right w:val="single" w:color="auto" w:sz="12" w:space="0"/>
            </w:tcBorders>
            <w:noWrap w:val="0"/>
            <w:textDirection w:val="btLr"/>
            <w:vAlign w:val="center"/>
          </w:tcPr>
          <w:p w14:paraId="3733EFB3">
            <w:pPr>
              <w:pStyle w:val="71"/>
              <w:spacing w:line="180" w:lineRule="exact"/>
              <w:ind w:left="113" w:right="113"/>
              <w:jc w:val="center"/>
              <w:rPr>
                <w:rFonts w:cs="Calibri"/>
                <w:color w:val="auto"/>
                <w:spacing w:val="-24"/>
                <w:w w:val="90"/>
                <w:sz w:val="18"/>
                <w:szCs w:val="18"/>
                <w:highlight w:val="none"/>
              </w:rPr>
            </w:pPr>
          </w:p>
        </w:tc>
      </w:tr>
      <w:tr w14:paraId="2BDBB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4" w:hRule="atLeast"/>
        </w:trPr>
        <w:tc>
          <w:tcPr>
            <w:tcW w:w="251" w:type="dxa"/>
            <w:tcBorders>
              <w:top w:val="nil"/>
              <w:left w:val="nil"/>
              <w:bottom w:val="nil"/>
              <w:right w:val="single" w:color="auto" w:sz="12" w:space="0"/>
            </w:tcBorders>
            <w:noWrap w:val="0"/>
            <w:textDirection w:val="btLr"/>
            <w:vAlign w:val="top"/>
          </w:tcPr>
          <w:p w14:paraId="01AAF056">
            <w:pPr>
              <w:pStyle w:val="71"/>
              <w:spacing w:line="180" w:lineRule="exact"/>
              <w:ind w:left="113" w:right="113"/>
              <w:jc w:val="center"/>
              <w:rPr>
                <w:rFonts w:cs="Calibri"/>
                <w:color w:val="auto"/>
                <w:spacing w:val="-24"/>
                <w:w w:val="90"/>
                <w:sz w:val="18"/>
                <w:szCs w:val="18"/>
                <w:highlight w:val="none"/>
              </w:rPr>
            </w:pPr>
          </w:p>
        </w:tc>
        <w:tc>
          <w:tcPr>
            <w:tcW w:w="796" w:type="dxa"/>
            <w:vMerge w:val="continue"/>
            <w:tcBorders>
              <w:top w:val="single" w:color="auto" w:sz="6" w:space="0"/>
              <w:left w:val="single" w:color="auto" w:sz="12" w:space="0"/>
              <w:bottom w:val="single" w:color="auto" w:sz="6" w:space="0"/>
              <w:right w:val="single" w:color="auto" w:sz="6" w:space="0"/>
            </w:tcBorders>
            <w:noWrap w:val="0"/>
            <w:textDirection w:val="btLr"/>
            <w:vAlign w:val="center"/>
          </w:tcPr>
          <w:p w14:paraId="5D374030">
            <w:pPr>
              <w:pStyle w:val="71"/>
              <w:spacing w:line="180" w:lineRule="exact"/>
              <w:ind w:left="113" w:right="113"/>
              <w:jc w:val="center"/>
              <w:rPr>
                <w:rFonts w:cs="Calibri"/>
                <w:color w:val="auto"/>
                <w:w w:val="90"/>
                <w:sz w:val="18"/>
                <w:szCs w:val="18"/>
                <w:highlight w:val="none"/>
              </w:rPr>
            </w:pPr>
          </w:p>
        </w:tc>
        <w:tc>
          <w:tcPr>
            <w:tcW w:w="890" w:type="dxa"/>
            <w:tcBorders>
              <w:top w:val="single" w:color="auto" w:sz="6" w:space="0"/>
              <w:left w:val="single" w:color="auto" w:sz="6" w:space="0"/>
              <w:bottom w:val="single" w:color="auto" w:sz="6" w:space="0"/>
              <w:right w:val="single" w:color="auto" w:sz="6" w:space="0"/>
            </w:tcBorders>
            <w:noWrap w:val="0"/>
            <w:textDirection w:val="btLr"/>
            <w:vAlign w:val="center"/>
          </w:tcPr>
          <w:p w14:paraId="2A0FBBE4">
            <w:pPr>
              <w:pStyle w:val="71"/>
              <w:spacing w:line="180" w:lineRule="exact"/>
              <w:ind w:left="113" w:right="113"/>
              <w:jc w:val="center"/>
              <w:rPr>
                <w:rFonts w:cs="Calibri"/>
                <w:color w:val="auto"/>
                <w:spacing w:val="-24"/>
                <w:sz w:val="18"/>
                <w:szCs w:val="18"/>
                <w:highlight w:val="none"/>
              </w:rPr>
            </w:pPr>
            <w:r>
              <w:rPr>
                <w:rFonts w:cs="宋体"/>
                <w:color w:val="auto"/>
                <w:spacing w:val="-24"/>
                <w:sz w:val="18"/>
                <w:szCs w:val="18"/>
                <w:highlight w:val="none"/>
              </w:rPr>
              <w:t>4</w:t>
            </w:r>
          </w:p>
        </w:tc>
        <w:tc>
          <w:tcPr>
            <w:tcW w:w="455" w:type="dxa"/>
            <w:tcBorders>
              <w:top w:val="single" w:color="auto" w:sz="6" w:space="0"/>
              <w:left w:val="single" w:color="auto" w:sz="6" w:space="0"/>
              <w:bottom w:val="single" w:color="auto" w:sz="6" w:space="0"/>
              <w:right w:val="single" w:color="auto" w:sz="6" w:space="0"/>
            </w:tcBorders>
            <w:noWrap w:val="0"/>
            <w:textDirection w:val="btLr"/>
            <w:vAlign w:val="center"/>
          </w:tcPr>
          <w:p w14:paraId="21041B98">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0B881A5A">
            <w:pPr>
              <w:pStyle w:val="71"/>
              <w:spacing w:line="180" w:lineRule="exact"/>
              <w:ind w:left="113" w:right="113"/>
              <w:jc w:val="center"/>
              <w:rPr>
                <w:rFonts w:cs="Calibri"/>
                <w:color w:val="auto"/>
                <w:spacing w:val="-24"/>
                <w:w w:val="90"/>
                <w:sz w:val="18"/>
                <w:szCs w:val="18"/>
                <w:highlight w:val="none"/>
              </w:rPr>
            </w:pPr>
          </w:p>
        </w:tc>
        <w:tc>
          <w:tcPr>
            <w:tcW w:w="411" w:type="dxa"/>
            <w:tcBorders>
              <w:top w:val="single" w:color="auto" w:sz="6" w:space="0"/>
              <w:left w:val="single" w:color="auto" w:sz="6" w:space="0"/>
              <w:bottom w:val="single" w:color="auto" w:sz="6" w:space="0"/>
              <w:right w:val="single" w:color="auto" w:sz="6" w:space="0"/>
            </w:tcBorders>
            <w:noWrap w:val="0"/>
            <w:textDirection w:val="btLr"/>
            <w:vAlign w:val="center"/>
          </w:tcPr>
          <w:p w14:paraId="50537FFA">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16E9676E">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15BEA647">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1D389D0D">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725A5845">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3A371FA7">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3947322D">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1301C480">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2A95C855">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14F4C616">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12B2FCA9">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5393BCF5">
            <w:pPr>
              <w:pStyle w:val="71"/>
              <w:spacing w:line="180" w:lineRule="exact"/>
              <w:ind w:left="113" w:right="113"/>
              <w:jc w:val="center"/>
              <w:rPr>
                <w:rFonts w:cs="Calibri"/>
                <w:color w:val="auto"/>
                <w:spacing w:val="-24"/>
                <w:w w:val="90"/>
                <w:sz w:val="18"/>
                <w:szCs w:val="18"/>
                <w:highlight w:val="none"/>
              </w:rPr>
            </w:pPr>
          </w:p>
        </w:tc>
        <w:tc>
          <w:tcPr>
            <w:tcW w:w="404" w:type="dxa"/>
            <w:tcBorders>
              <w:top w:val="single" w:color="auto" w:sz="6" w:space="0"/>
              <w:left w:val="single" w:color="auto" w:sz="6" w:space="0"/>
              <w:bottom w:val="single" w:color="auto" w:sz="6" w:space="0"/>
              <w:right w:val="single" w:color="auto" w:sz="6" w:space="0"/>
            </w:tcBorders>
            <w:noWrap w:val="0"/>
            <w:textDirection w:val="btLr"/>
            <w:vAlign w:val="top"/>
          </w:tcPr>
          <w:p w14:paraId="7A120F35">
            <w:pPr>
              <w:pStyle w:val="71"/>
              <w:spacing w:line="180" w:lineRule="exact"/>
              <w:ind w:left="113" w:right="113"/>
              <w:jc w:val="center"/>
              <w:rPr>
                <w:rFonts w:cs="Calibri"/>
                <w:color w:val="auto"/>
                <w:spacing w:val="-24"/>
                <w:w w:val="90"/>
                <w:sz w:val="18"/>
                <w:szCs w:val="18"/>
                <w:highlight w:val="none"/>
              </w:rPr>
            </w:pPr>
          </w:p>
        </w:tc>
        <w:tc>
          <w:tcPr>
            <w:tcW w:w="392" w:type="dxa"/>
            <w:tcBorders>
              <w:top w:val="single" w:color="auto" w:sz="6" w:space="0"/>
              <w:left w:val="single" w:color="auto" w:sz="6" w:space="0"/>
              <w:bottom w:val="single" w:color="auto" w:sz="6" w:space="0"/>
              <w:right w:val="single" w:color="auto" w:sz="6" w:space="0"/>
            </w:tcBorders>
            <w:noWrap w:val="0"/>
            <w:textDirection w:val="btLr"/>
            <w:vAlign w:val="top"/>
          </w:tcPr>
          <w:p w14:paraId="2D98DA10">
            <w:pPr>
              <w:pStyle w:val="71"/>
              <w:spacing w:line="180" w:lineRule="exact"/>
              <w:ind w:left="113" w:right="113"/>
              <w:jc w:val="center"/>
              <w:rPr>
                <w:rFonts w:cs="Calibri"/>
                <w:color w:val="auto"/>
                <w:spacing w:val="-24"/>
                <w:w w:val="90"/>
                <w:sz w:val="18"/>
                <w:szCs w:val="18"/>
                <w:highlight w:val="none"/>
              </w:rPr>
            </w:pPr>
          </w:p>
        </w:tc>
        <w:tc>
          <w:tcPr>
            <w:tcW w:w="387" w:type="dxa"/>
            <w:tcBorders>
              <w:top w:val="single" w:color="auto" w:sz="6" w:space="0"/>
              <w:left w:val="single" w:color="auto" w:sz="6" w:space="0"/>
              <w:bottom w:val="single" w:color="auto" w:sz="6" w:space="0"/>
              <w:right w:val="single" w:color="auto" w:sz="12" w:space="0"/>
            </w:tcBorders>
            <w:noWrap w:val="0"/>
            <w:textDirection w:val="btLr"/>
            <w:vAlign w:val="center"/>
          </w:tcPr>
          <w:p w14:paraId="73FD2148">
            <w:pPr>
              <w:pStyle w:val="71"/>
              <w:spacing w:line="180" w:lineRule="exact"/>
              <w:ind w:left="113" w:right="113"/>
              <w:jc w:val="center"/>
              <w:rPr>
                <w:rFonts w:cs="Calibri"/>
                <w:color w:val="auto"/>
                <w:spacing w:val="-24"/>
                <w:w w:val="90"/>
                <w:sz w:val="18"/>
                <w:szCs w:val="18"/>
                <w:highlight w:val="none"/>
              </w:rPr>
            </w:pPr>
          </w:p>
        </w:tc>
      </w:tr>
      <w:tr w14:paraId="3AEFB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3" w:hRule="atLeast"/>
        </w:trPr>
        <w:tc>
          <w:tcPr>
            <w:tcW w:w="251" w:type="dxa"/>
            <w:tcBorders>
              <w:top w:val="nil"/>
              <w:left w:val="nil"/>
              <w:bottom w:val="nil"/>
              <w:right w:val="single" w:color="auto" w:sz="12" w:space="0"/>
            </w:tcBorders>
            <w:noWrap w:val="0"/>
            <w:textDirection w:val="btLr"/>
            <w:vAlign w:val="top"/>
          </w:tcPr>
          <w:p w14:paraId="09BE5519">
            <w:pPr>
              <w:pStyle w:val="71"/>
              <w:spacing w:line="180" w:lineRule="exact"/>
              <w:ind w:left="113" w:right="113"/>
              <w:jc w:val="center"/>
              <w:rPr>
                <w:rFonts w:cs="Calibri"/>
                <w:color w:val="auto"/>
                <w:spacing w:val="-24"/>
                <w:w w:val="90"/>
                <w:sz w:val="18"/>
                <w:szCs w:val="18"/>
                <w:highlight w:val="none"/>
              </w:rPr>
            </w:pPr>
          </w:p>
        </w:tc>
        <w:tc>
          <w:tcPr>
            <w:tcW w:w="796" w:type="dxa"/>
            <w:vMerge w:val="continue"/>
            <w:tcBorders>
              <w:top w:val="single" w:color="auto" w:sz="6" w:space="0"/>
              <w:left w:val="single" w:color="auto" w:sz="12" w:space="0"/>
              <w:bottom w:val="single" w:color="auto" w:sz="6" w:space="0"/>
              <w:right w:val="single" w:color="auto" w:sz="6" w:space="0"/>
            </w:tcBorders>
            <w:noWrap w:val="0"/>
            <w:textDirection w:val="btLr"/>
            <w:vAlign w:val="center"/>
          </w:tcPr>
          <w:p w14:paraId="6EADE084">
            <w:pPr>
              <w:pStyle w:val="71"/>
              <w:spacing w:line="180" w:lineRule="exact"/>
              <w:ind w:left="113" w:right="113"/>
              <w:jc w:val="center"/>
              <w:rPr>
                <w:rFonts w:cs="Calibri"/>
                <w:color w:val="auto"/>
                <w:w w:val="90"/>
                <w:sz w:val="18"/>
                <w:szCs w:val="18"/>
                <w:highlight w:val="none"/>
              </w:rPr>
            </w:pPr>
          </w:p>
        </w:tc>
        <w:tc>
          <w:tcPr>
            <w:tcW w:w="890" w:type="dxa"/>
            <w:tcBorders>
              <w:top w:val="single" w:color="auto" w:sz="6" w:space="0"/>
              <w:left w:val="single" w:color="auto" w:sz="6" w:space="0"/>
              <w:bottom w:val="single" w:color="auto" w:sz="6" w:space="0"/>
              <w:right w:val="single" w:color="auto" w:sz="6" w:space="0"/>
            </w:tcBorders>
            <w:noWrap w:val="0"/>
            <w:textDirection w:val="btLr"/>
            <w:vAlign w:val="center"/>
          </w:tcPr>
          <w:p w14:paraId="2CEB1D47">
            <w:pPr>
              <w:pStyle w:val="71"/>
              <w:spacing w:line="180" w:lineRule="exact"/>
              <w:ind w:left="113" w:right="113"/>
              <w:jc w:val="center"/>
              <w:rPr>
                <w:rFonts w:cs="Calibri"/>
                <w:color w:val="auto"/>
                <w:spacing w:val="-24"/>
                <w:sz w:val="18"/>
                <w:szCs w:val="18"/>
                <w:highlight w:val="none"/>
              </w:rPr>
            </w:pPr>
            <w:r>
              <w:rPr>
                <w:rFonts w:cs="宋体"/>
                <w:color w:val="auto"/>
                <w:spacing w:val="-24"/>
                <w:sz w:val="18"/>
                <w:szCs w:val="18"/>
                <w:highlight w:val="none"/>
              </w:rPr>
              <w:t>3</w:t>
            </w:r>
          </w:p>
        </w:tc>
        <w:tc>
          <w:tcPr>
            <w:tcW w:w="455" w:type="dxa"/>
            <w:tcBorders>
              <w:top w:val="single" w:color="auto" w:sz="6" w:space="0"/>
              <w:left w:val="single" w:color="auto" w:sz="6" w:space="0"/>
              <w:bottom w:val="single" w:color="auto" w:sz="6" w:space="0"/>
              <w:right w:val="single" w:color="auto" w:sz="6" w:space="0"/>
            </w:tcBorders>
            <w:noWrap w:val="0"/>
            <w:textDirection w:val="btLr"/>
            <w:vAlign w:val="center"/>
          </w:tcPr>
          <w:p w14:paraId="5C260A40">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6449A0BC">
            <w:pPr>
              <w:pStyle w:val="71"/>
              <w:spacing w:line="180" w:lineRule="exact"/>
              <w:ind w:left="113" w:right="113"/>
              <w:jc w:val="center"/>
              <w:rPr>
                <w:rFonts w:cs="Calibri"/>
                <w:color w:val="auto"/>
                <w:spacing w:val="-24"/>
                <w:w w:val="90"/>
                <w:sz w:val="18"/>
                <w:szCs w:val="18"/>
                <w:highlight w:val="none"/>
              </w:rPr>
            </w:pPr>
          </w:p>
        </w:tc>
        <w:tc>
          <w:tcPr>
            <w:tcW w:w="411" w:type="dxa"/>
            <w:tcBorders>
              <w:top w:val="single" w:color="auto" w:sz="6" w:space="0"/>
              <w:left w:val="single" w:color="auto" w:sz="6" w:space="0"/>
              <w:bottom w:val="single" w:color="auto" w:sz="6" w:space="0"/>
              <w:right w:val="single" w:color="auto" w:sz="6" w:space="0"/>
            </w:tcBorders>
            <w:noWrap w:val="0"/>
            <w:textDirection w:val="btLr"/>
            <w:vAlign w:val="center"/>
          </w:tcPr>
          <w:p w14:paraId="7B8B335B">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0C1AEF1D">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3EA6B7ED">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1FC682F9">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63415D37">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22273A73">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4095997F">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1841E693">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27626108">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2FDA78FE">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2569E151">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70591306">
            <w:pPr>
              <w:pStyle w:val="71"/>
              <w:spacing w:line="180" w:lineRule="exact"/>
              <w:ind w:left="113" w:right="113"/>
              <w:jc w:val="center"/>
              <w:rPr>
                <w:rFonts w:cs="Calibri"/>
                <w:color w:val="auto"/>
                <w:spacing w:val="-24"/>
                <w:w w:val="90"/>
                <w:sz w:val="18"/>
                <w:szCs w:val="18"/>
                <w:highlight w:val="none"/>
              </w:rPr>
            </w:pPr>
          </w:p>
        </w:tc>
        <w:tc>
          <w:tcPr>
            <w:tcW w:w="404" w:type="dxa"/>
            <w:tcBorders>
              <w:top w:val="single" w:color="auto" w:sz="6" w:space="0"/>
              <w:left w:val="single" w:color="auto" w:sz="6" w:space="0"/>
              <w:bottom w:val="single" w:color="auto" w:sz="6" w:space="0"/>
              <w:right w:val="single" w:color="auto" w:sz="6" w:space="0"/>
            </w:tcBorders>
            <w:noWrap w:val="0"/>
            <w:textDirection w:val="btLr"/>
            <w:vAlign w:val="top"/>
          </w:tcPr>
          <w:p w14:paraId="540A0727">
            <w:pPr>
              <w:pStyle w:val="71"/>
              <w:spacing w:line="180" w:lineRule="exact"/>
              <w:ind w:left="113" w:right="113"/>
              <w:jc w:val="center"/>
              <w:rPr>
                <w:rFonts w:cs="Calibri"/>
                <w:color w:val="auto"/>
                <w:spacing w:val="-24"/>
                <w:w w:val="90"/>
                <w:sz w:val="18"/>
                <w:szCs w:val="18"/>
                <w:highlight w:val="none"/>
              </w:rPr>
            </w:pPr>
          </w:p>
        </w:tc>
        <w:tc>
          <w:tcPr>
            <w:tcW w:w="392" w:type="dxa"/>
            <w:tcBorders>
              <w:top w:val="single" w:color="auto" w:sz="6" w:space="0"/>
              <w:left w:val="single" w:color="auto" w:sz="6" w:space="0"/>
              <w:bottom w:val="single" w:color="auto" w:sz="6" w:space="0"/>
              <w:right w:val="single" w:color="auto" w:sz="6" w:space="0"/>
            </w:tcBorders>
            <w:noWrap w:val="0"/>
            <w:textDirection w:val="btLr"/>
            <w:vAlign w:val="top"/>
          </w:tcPr>
          <w:p w14:paraId="0B4D6C5E">
            <w:pPr>
              <w:pStyle w:val="71"/>
              <w:spacing w:line="180" w:lineRule="exact"/>
              <w:ind w:left="113" w:right="113"/>
              <w:jc w:val="center"/>
              <w:rPr>
                <w:rFonts w:cs="Calibri"/>
                <w:color w:val="auto"/>
                <w:spacing w:val="-24"/>
                <w:w w:val="90"/>
                <w:sz w:val="18"/>
                <w:szCs w:val="18"/>
                <w:highlight w:val="none"/>
              </w:rPr>
            </w:pPr>
          </w:p>
        </w:tc>
        <w:tc>
          <w:tcPr>
            <w:tcW w:w="387" w:type="dxa"/>
            <w:tcBorders>
              <w:top w:val="single" w:color="auto" w:sz="6" w:space="0"/>
              <w:left w:val="single" w:color="auto" w:sz="6" w:space="0"/>
              <w:bottom w:val="single" w:color="auto" w:sz="6" w:space="0"/>
              <w:right w:val="single" w:color="auto" w:sz="12" w:space="0"/>
            </w:tcBorders>
            <w:noWrap w:val="0"/>
            <w:textDirection w:val="btLr"/>
            <w:vAlign w:val="center"/>
          </w:tcPr>
          <w:p w14:paraId="6EAF05DB">
            <w:pPr>
              <w:pStyle w:val="71"/>
              <w:spacing w:line="180" w:lineRule="exact"/>
              <w:ind w:left="113" w:right="113"/>
              <w:jc w:val="center"/>
              <w:rPr>
                <w:rFonts w:cs="Calibri"/>
                <w:color w:val="auto"/>
                <w:spacing w:val="-24"/>
                <w:w w:val="90"/>
                <w:sz w:val="18"/>
                <w:szCs w:val="18"/>
                <w:highlight w:val="none"/>
              </w:rPr>
            </w:pPr>
          </w:p>
        </w:tc>
      </w:tr>
      <w:tr w14:paraId="210E5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4" w:hRule="atLeast"/>
        </w:trPr>
        <w:tc>
          <w:tcPr>
            <w:tcW w:w="251" w:type="dxa"/>
            <w:tcBorders>
              <w:top w:val="nil"/>
              <w:left w:val="nil"/>
              <w:bottom w:val="nil"/>
              <w:right w:val="single" w:color="auto" w:sz="12" w:space="0"/>
            </w:tcBorders>
            <w:noWrap w:val="0"/>
            <w:textDirection w:val="btLr"/>
            <w:vAlign w:val="top"/>
          </w:tcPr>
          <w:p w14:paraId="523E1FE5">
            <w:pPr>
              <w:pStyle w:val="71"/>
              <w:spacing w:line="180" w:lineRule="exact"/>
              <w:ind w:left="113" w:right="113"/>
              <w:jc w:val="center"/>
              <w:rPr>
                <w:rFonts w:cs="Calibri"/>
                <w:color w:val="auto"/>
                <w:spacing w:val="-24"/>
                <w:w w:val="90"/>
                <w:sz w:val="18"/>
                <w:szCs w:val="18"/>
                <w:highlight w:val="none"/>
              </w:rPr>
            </w:pPr>
          </w:p>
        </w:tc>
        <w:tc>
          <w:tcPr>
            <w:tcW w:w="796" w:type="dxa"/>
            <w:vMerge w:val="continue"/>
            <w:tcBorders>
              <w:top w:val="single" w:color="auto" w:sz="6" w:space="0"/>
              <w:left w:val="single" w:color="auto" w:sz="12" w:space="0"/>
              <w:bottom w:val="single" w:color="auto" w:sz="6" w:space="0"/>
              <w:right w:val="single" w:color="auto" w:sz="6" w:space="0"/>
            </w:tcBorders>
            <w:noWrap w:val="0"/>
            <w:textDirection w:val="btLr"/>
            <w:vAlign w:val="center"/>
          </w:tcPr>
          <w:p w14:paraId="7E8B79C7">
            <w:pPr>
              <w:pStyle w:val="71"/>
              <w:spacing w:line="180" w:lineRule="exact"/>
              <w:ind w:left="113" w:right="113"/>
              <w:jc w:val="center"/>
              <w:rPr>
                <w:rFonts w:cs="Calibri"/>
                <w:color w:val="auto"/>
                <w:w w:val="90"/>
                <w:sz w:val="18"/>
                <w:szCs w:val="18"/>
                <w:highlight w:val="none"/>
              </w:rPr>
            </w:pPr>
          </w:p>
        </w:tc>
        <w:tc>
          <w:tcPr>
            <w:tcW w:w="890" w:type="dxa"/>
            <w:tcBorders>
              <w:top w:val="single" w:color="auto" w:sz="6" w:space="0"/>
              <w:left w:val="single" w:color="auto" w:sz="6" w:space="0"/>
              <w:bottom w:val="single" w:color="auto" w:sz="6" w:space="0"/>
              <w:right w:val="single" w:color="auto" w:sz="6" w:space="0"/>
            </w:tcBorders>
            <w:noWrap w:val="0"/>
            <w:textDirection w:val="btLr"/>
            <w:vAlign w:val="center"/>
          </w:tcPr>
          <w:p w14:paraId="17B7A3D4">
            <w:pPr>
              <w:pStyle w:val="71"/>
              <w:spacing w:line="180" w:lineRule="exact"/>
              <w:ind w:left="113" w:right="113"/>
              <w:jc w:val="center"/>
              <w:rPr>
                <w:rFonts w:cs="Calibri"/>
                <w:color w:val="auto"/>
                <w:spacing w:val="-24"/>
                <w:sz w:val="18"/>
                <w:szCs w:val="18"/>
                <w:highlight w:val="none"/>
              </w:rPr>
            </w:pPr>
            <w:r>
              <w:rPr>
                <w:rFonts w:cs="宋体"/>
                <w:color w:val="auto"/>
                <w:spacing w:val="-24"/>
                <w:sz w:val="18"/>
                <w:szCs w:val="18"/>
                <w:highlight w:val="none"/>
              </w:rPr>
              <w:t>2</w:t>
            </w:r>
          </w:p>
        </w:tc>
        <w:tc>
          <w:tcPr>
            <w:tcW w:w="455" w:type="dxa"/>
            <w:tcBorders>
              <w:top w:val="single" w:color="auto" w:sz="6" w:space="0"/>
              <w:left w:val="single" w:color="auto" w:sz="6" w:space="0"/>
              <w:bottom w:val="single" w:color="auto" w:sz="6" w:space="0"/>
              <w:right w:val="single" w:color="auto" w:sz="6" w:space="0"/>
            </w:tcBorders>
            <w:noWrap w:val="0"/>
            <w:textDirection w:val="btLr"/>
            <w:vAlign w:val="center"/>
          </w:tcPr>
          <w:p w14:paraId="3E49B5BB">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4282FEAD">
            <w:pPr>
              <w:pStyle w:val="71"/>
              <w:spacing w:line="180" w:lineRule="exact"/>
              <w:ind w:left="113" w:right="113"/>
              <w:jc w:val="center"/>
              <w:rPr>
                <w:rFonts w:cs="Calibri"/>
                <w:color w:val="auto"/>
                <w:spacing w:val="-24"/>
                <w:w w:val="90"/>
                <w:sz w:val="18"/>
                <w:szCs w:val="18"/>
                <w:highlight w:val="none"/>
              </w:rPr>
            </w:pPr>
          </w:p>
        </w:tc>
        <w:tc>
          <w:tcPr>
            <w:tcW w:w="411" w:type="dxa"/>
            <w:tcBorders>
              <w:top w:val="single" w:color="auto" w:sz="6" w:space="0"/>
              <w:left w:val="single" w:color="auto" w:sz="6" w:space="0"/>
              <w:bottom w:val="single" w:color="auto" w:sz="6" w:space="0"/>
              <w:right w:val="single" w:color="auto" w:sz="6" w:space="0"/>
            </w:tcBorders>
            <w:noWrap w:val="0"/>
            <w:textDirection w:val="btLr"/>
            <w:vAlign w:val="center"/>
          </w:tcPr>
          <w:p w14:paraId="0737B4A3">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43A96155">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45F98DFB">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3A9FF96E">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278BE400">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62849204">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0FDD2F8C">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54FA761D">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1707FA8F">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6183E182">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5F582D35">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456817F7">
            <w:pPr>
              <w:pStyle w:val="71"/>
              <w:spacing w:line="180" w:lineRule="exact"/>
              <w:ind w:left="113" w:right="113"/>
              <w:jc w:val="center"/>
              <w:rPr>
                <w:rFonts w:cs="Calibri"/>
                <w:color w:val="auto"/>
                <w:spacing w:val="-24"/>
                <w:w w:val="90"/>
                <w:sz w:val="18"/>
                <w:szCs w:val="18"/>
                <w:highlight w:val="none"/>
              </w:rPr>
            </w:pPr>
          </w:p>
        </w:tc>
        <w:tc>
          <w:tcPr>
            <w:tcW w:w="404" w:type="dxa"/>
            <w:tcBorders>
              <w:top w:val="single" w:color="auto" w:sz="6" w:space="0"/>
              <w:left w:val="single" w:color="auto" w:sz="6" w:space="0"/>
              <w:bottom w:val="single" w:color="auto" w:sz="6" w:space="0"/>
              <w:right w:val="single" w:color="auto" w:sz="6" w:space="0"/>
            </w:tcBorders>
            <w:noWrap w:val="0"/>
            <w:textDirection w:val="btLr"/>
            <w:vAlign w:val="top"/>
          </w:tcPr>
          <w:p w14:paraId="1463D607">
            <w:pPr>
              <w:pStyle w:val="71"/>
              <w:spacing w:line="180" w:lineRule="exact"/>
              <w:ind w:left="113" w:right="113"/>
              <w:jc w:val="center"/>
              <w:rPr>
                <w:rFonts w:cs="Calibri"/>
                <w:color w:val="auto"/>
                <w:spacing w:val="-24"/>
                <w:w w:val="90"/>
                <w:sz w:val="18"/>
                <w:szCs w:val="18"/>
                <w:highlight w:val="none"/>
              </w:rPr>
            </w:pPr>
          </w:p>
        </w:tc>
        <w:tc>
          <w:tcPr>
            <w:tcW w:w="392" w:type="dxa"/>
            <w:tcBorders>
              <w:top w:val="single" w:color="auto" w:sz="6" w:space="0"/>
              <w:left w:val="single" w:color="auto" w:sz="6" w:space="0"/>
              <w:bottom w:val="single" w:color="auto" w:sz="6" w:space="0"/>
              <w:right w:val="single" w:color="auto" w:sz="6" w:space="0"/>
            </w:tcBorders>
            <w:noWrap w:val="0"/>
            <w:textDirection w:val="btLr"/>
            <w:vAlign w:val="top"/>
          </w:tcPr>
          <w:p w14:paraId="0A65777C">
            <w:pPr>
              <w:pStyle w:val="71"/>
              <w:spacing w:line="180" w:lineRule="exact"/>
              <w:ind w:left="113" w:right="113"/>
              <w:jc w:val="center"/>
              <w:rPr>
                <w:rFonts w:cs="Calibri"/>
                <w:color w:val="auto"/>
                <w:spacing w:val="-24"/>
                <w:w w:val="90"/>
                <w:sz w:val="18"/>
                <w:szCs w:val="18"/>
                <w:highlight w:val="none"/>
              </w:rPr>
            </w:pPr>
          </w:p>
        </w:tc>
        <w:tc>
          <w:tcPr>
            <w:tcW w:w="387" w:type="dxa"/>
            <w:tcBorders>
              <w:top w:val="single" w:color="auto" w:sz="6" w:space="0"/>
              <w:left w:val="single" w:color="auto" w:sz="6" w:space="0"/>
              <w:bottom w:val="single" w:color="auto" w:sz="6" w:space="0"/>
              <w:right w:val="single" w:color="auto" w:sz="12" w:space="0"/>
            </w:tcBorders>
            <w:noWrap w:val="0"/>
            <w:textDirection w:val="btLr"/>
            <w:vAlign w:val="center"/>
          </w:tcPr>
          <w:p w14:paraId="3B9D7D8A">
            <w:pPr>
              <w:pStyle w:val="71"/>
              <w:spacing w:line="180" w:lineRule="exact"/>
              <w:ind w:left="113" w:right="113"/>
              <w:jc w:val="center"/>
              <w:rPr>
                <w:rFonts w:cs="Calibri"/>
                <w:color w:val="auto"/>
                <w:spacing w:val="-24"/>
                <w:w w:val="90"/>
                <w:sz w:val="18"/>
                <w:szCs w:val="18"/>
                <w:highlight w:val="none"/>
              </w:rPr>
            </w:pPr>
          </w:p>
        </w:tc>
      </w:tr>
      <w:tr w14:paraId="5D7AD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3" w:hRule="atLeast"/>
        </w:trPr>
        <w:tc>
          <w:tcPr>
            <w:tcW w:w="251" w:type="dxa"/>
            <w:tcBorders>
              <w:top w:val="nil"/>
              <w:left w:val="nil"/>
              <w:bottom w:val="nil"/>
              <w:right w:val="single" w:color="auto" w:sz="12" w:space="0"/>
            </w:tcBorders>
            <w:noWrap w:val="0"/>
            <w:textDirection w:val="btLr"/>
            <w:vAlign w:val="top"/>
          </w:tcPr>
          <w:p w14:paraId="4B3632DD">
            <w:pPr>
              <w:pStyle w:val="71"/>
              <w:spacing w:line="180" w:lineRule="exact"/>
              <w:ind w:left="113" w:right="113"/>
              <w:jc w:val="center"/>
              <w:rPr>
                <w:rFonts w:cs="Calibri"/>
                <w:color w:val="auto"/>
                <w:spacing w:val="-24"/>
                <w:w w:val="90"/>
                <w:sz w:val="18"/>
                <w:szCs w:val="18"/>
                <w:highlight w:val="none"/>
              </w:rPr>
            </w:pPr>
          </w:p>
        </w:tc>
        <w:tc>
          <w:tcPr>
            <w:tcW w:w="796" w:type="dxa"/>
            <w:vMerge w:val="continue"/>
            <w:tcBorders>
              <w:top w:val="single" w:color="auto" w:sz="6" w:space="0"/>
              <w:left w:val="single" w:color="auto" w:sz="12" w:space="0"/>
              <w:bottom w:val="single" w:color="auto" w:sz="6" w:space="0"/>
              <w:right w:val="single" w:color="auto" w:sz="6" w:space="0"/>
            </w:tcBorders>
            <w:noWrap w:val="0"/>
            <w:textDirection w:val="btLr"/>
            <w:vAlign w:val="center"/>
          </w:tcPr>
          <w:p w14:paraId="01FAB55F">
            <w:pPr>
              <w:pStyle w:val="71"/>
              <w:spacing w:line="180" w:lineRule="exact"/>
              <w:ind w:left="113" w:right="113"/>
              <w:jc w:val="center"/>
              <w:rPr>
                <w:rFonts w:cs="Calibri"/>
                <w:color w:val="auto"/>
                <w:w w:val="90"/>
                <w:sz w:val="18"/>
                <w:szCs w:val="18"/>
                <w:highlight w:val="none"/>
              </w:rPr>
            </w:pPr>
          </w:p>
        </w:tc>
        <w:tc>
          <w:tcPr>
            <w:tcW w:w="890" w:type="dxa"/>
            <w:tcBorders>
              <w:top w:val="single" w:color="auto" w:sz="6" w:space="0"/>
              <w:left w:val="single" w:color="auto" w:sz="6" w:space="0"/>
              <w:bottom w:val="single" w:color="auto" w:sz="6" w:space="0"/>
              <w:right w:val="single" w:color="auto" w:sz="6" w:space="0"/>
            </w:tcBorders>
            <w:noWrap w:val="0"/>
            <w:textDirection w:val="btLr"/>
            <w:vAlign w:val="center"/>
          </w:tcPr>
          <w:p w14:paraId="65B84629">
            <w:pPr>
              <w:pStyle w:val="71"/>
              <w:spacing w:line="180" w:lineRule="exact"/>
              <w:ind w:left="113" w:right="113"/>
              <w:jc w:val="center"/>
              <w:rPr>
                <w:rFonts w:cs="Calibri"/>
                <w:color w:val="auto"/>
                <w:spacing w:val="-24"/>
                <w:sz w:val="18"/>
                <w:szCs w:val="18"/>
                <w:highlight w:val="none"/>
              </w:rPr>
            </w:pPr>
            <w:r>
              <w:rPr>
                <w:rFonts w:cs="宋体"/>
                <w:color w:val="auto"/>
                <w:spacing w:val="-24"/>
                <w:sz w:val="18"/>
                <w:szCs w:val="18"/>
                <w:highlight w:val="none"/>
              </w:rPr>
              <w:t>1</w:t>
            </w:r>
          </w:p>
        </w:tc>
        <w:tc>
          <w:tcPr>
            <w:tcW w:w="455" w:type="dxa"/>
            <w:tcBorders>
              <w:top w:val="single" w:color="auto" w:sz="6" w:space="0"/>
              <w:left w:val="single" w:color="auto" w:sz="6" w:space="0"/>
              <w:bottom w:val="single" w:color="auto" w:sz="6" w:space="0"/>
              <w:right w:val="single" w:color="auto" w:sz="6" w:space="0"/>
            </w:tcBorders>
            <w:noWrap w:val="0"/>
            <w:textDirection w:val="btLr"/>
            <w:vAlign w:val="center"/>
          </w:tcPr>
          <w:p w14:paraId="251DEAB3">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37C54F96">
            <w:pPr>
              <w:pStyle w:val="71"/>
              <w:spacing w:line="180" w:lineRule="exact"/>
              <w:ind w:left="113" w:right="113"/>
              <w:jc w:val="center"/>
              <w:rPr>
                <w:rFonts w:cs="Calibri"/>
                <w:color w:val="auto"/>
                <w:spacing w:val="-24"/>
                <w:w w:val="90"/>
                <w:sz w:val="18"/>
                <w:szCs w:val="18"/>
                <w:highlight w:val="none"/>
              </w:rPr>
            </w:pPr>
          </w:p>
        </w:tc>
        <w:tc>
          <w:tcPr>
            <w:tcW w:w="411" w:type="dxa"/>
            <w:tcBorders>
              <w:top w:val="single" w:color="auto" w:sz="6" w:space="0"/>
              <w:left w:val="single" w:color="auto" w:sz="6" w:space="0"/>
              <w:bottom w:val="single" w:color="auto" w:sz="6" w:space="0"/>
              <w:right w:val="single" w:color="auto" w:sz="6" w:space="0"/>
            </w:tcBorders>
            <w:noWrap w:val="0"/>
            <w:textDirection w:val="btLr"/>
            <w:vAlign w:val="center"/>
          </w:tcPr>
          <w:p w14:paraId="712AE872">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3E24D514">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22D5E302">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6BE0CA7D">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7B736305">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2AF5253F">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718CF7AD">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04348359">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319FD344">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0ADCAFE5">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398A0609">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06864587">
            <w:pPr>
              <w:pStyle w:val="71"/>
              <w:spacing w:line="180" w:lineRule="exact"/>
              <w:ind w:left="113" w:right="113"/>
              <w:jc w:val="center"/>
              <w:rPr>
                <w:rFonts w:cs="Calibri"/>
                <w:color w:val="auto"/>
                <w:spacing w:val="-24"/>
                <w:w w:val="90"/>
                <w:sz w:val="18"/>
                <w:szCs w:val="18"/>
                <w:highlight w:val="none"/>
              </w:rPr>
            </w:pPr>
          </w:p>
        </w:tc>
        <w:tc>
          <w:tcPr>
            <w:tcW w:w="404" w:type="dxa"/>
            <w:tcBorders>
              <w:top w:val="single" w:color="auto" w:sz="6" w:space="0"/>
              <w:left w:val="single" w:color="auto" w:sz="6" w:space="0"/>
              <w:bottom w:val="single" w:color="auto" w:sz="6" w:space="0"/>
              <w:right w:val="single" w:color="auto" w:sz="6" w:space="0"/>
            </w:tcBorders>
            <w:noWrap w:val="0"/>
            <w:textDirection w:val="btLr"/>
            <w:vAlign w:val="top"/>
          </w:tcPr>
          <w:p w14:paraId="258A6DC1">
            <w:pPr>
              <w:pStyle w:val="71"/>
              <w:spacing w:line="180" w:lineRule="exact"/>
              <w:ind w:left="113" w:right="113"/>
              <w:jc w:val="center"/>
              <w:rPr>
                <w:rFonts w:cs="Calibri"/>
                <w:color w:val="auto"/>
                <w:spacing w:val="-24"/>
                <w:w w:val="90"/>
                <w:sz w:val="18"/>
                <w:szCs w:val="18"/>
                <w:highlight w:val="none"/>
              </w:rPr>
            </w:pPr>
          </w:p>
        </w:tc>
        <w:tc>
          <w:tcPr>
            <w:tcW w:w="392" w:type="dxa"/>
            <w:tcBorders>
              <w:top w:val="single" w:color="auto" w:sz="6" w:space="0"/>
              <w:left w:val="single" w:color="auto" w:sz="6" w:space="0"/>
              <w:bottom w:val="single" w:color="auto" w:sz="6" w:space="0"/>
              <w:right w:val="single" w:color="auto" w:sz="6" w:space="0"/>
            </w:tcBorders>
            <w:noWrap w:val="0"/>
            <w:textDirection w:val="btLr"/>
            <w:vAlign w:val="top"/>
          </w:tcPr>
          <w:p w14:paraId="4E518265">
            <w:pPr>
              <w:pStyle w:val="71"/>
              <w:spacing w:line="180" w:lineRule="exact"/>
              <w:ind w:left="113" w:right="113"/>
              <w:jc w:val="center"/>
              <w:rPr>
                <w:rFonts w:cs="Calibri"/>
                <w:color w:val="auto"/>
                <w:spacing w:val="-24"/>
                <w:w w:val="90"/>
                <w:sz w:val="18"/>
                <w:szCs w:val="18"/>
                <w:highlight w:val="none"/>
              </w:rPr>
            </w:pPr>
          </w:p>
        </w:tc>
        <w:tc>
          <w:tcPr>
            <w:tcW w:w="387" w:type="dxa"/>
            <w:tcBorders>
              <w:top w:val="single" w:color="auto" w:sz="6" w:space="0"/>
              <w:left w:val="single" w:color="auto" w:sz="6" w:space="0"/>
              <w:bottom w:val="single" w:color="auto" w:sz="6" w:space="0"/>
              <w:right w:val="single" w:color="auto" w:sz="12" w:space="0"/>
            </w:tcBorders>
            <w:noWrap w:val="0"/>
            <w:textDirection w:val="btLr"/>
            <w:vAlign w:val="center"/>
          </w:tcPr>
          <w:p w14:paraId="4D2D4813">
            <w:pPr>
              <w:pStyle w:val="71"/>
              <w:spacing w:line="180" w:lineRule="exact"/>
              <w:ind w:left="113" w:right="113"/>
              <w:jc w:val="center"/>
              <w:rPr>
                <w:rFonts w:cs="Calibri"/>
                <w:color w:val="auto"/>
                <w:spacing w:val="-24"/>
                <w:w w:val="90"/>
                <w:sz w:val="18"/>
                <w:szCs w:val="18"/>
                <w:highlight w:val="none"/>
              </w:rPr>
            </w:pPr>
          </w:p>
        </w:tc>
      </w:tr>
      <w:tr w14:paraId="2AABC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3" w:hRule="atLeast"/>
        </w:trPr>
        <w:tc>
          <w:tcPr>
            <w:tcW w:w="251" w:type="dxa"/>
            <w:tcBorders>
              <w:top w:val="nil"/>
              <w:left w:val="nil"/>
              <w:bottom w:val="nil"/>
              <w:right w:val="single" w:color="auto" w:sz="12" w:space="0"/>
            </w:tcBorders>
            <w:noWrap w:val="0"/>
            <w:textDirection w:val="btLr"/>
            <w:vAlign w:val="top"/>
          </w:tcPr>
          <w:p w14:paraId="1CF070FF">
            <w:pPr>
              <w:pStyle w:val="71"/>
              <w:spacing w:line="180" w:lineRule="exact"/>
              <w:ind w:left="113" w:right="113"/>
              <w:jc w:val="center"/>
              <w:rPr>
                <w:rFonts w:cs="Calibri"/>
                <w:color w:val="auto"/>
                <w:spacing w:val="-24"/>
                <w:w w:val="90"/>
                <w:sz w:val="18"/>
                <w:szCs w:val="18"/>
                <w:highlight w:val="none"/>
              </w:rPr>
            </w:pPr>
          </w:p>
        </w:tc>
        <w:tc>
          <w:tcPr>
            <w:tcW w:w="796" w:type="dxa"/>
            <w:vMerge w:val="restart"/>
            <w:tcBorders>
              <w:top w:val="single" w:color="auto" w:sz="6" w:space="0"/>
              <w:left w:val="single" w:color="auto" w:sz="12" w:space="0"/>
              <w:bottom w:val="single" w:color="auto" w:sz="6" w:space="0"/>
              <w:right w:val="single" w:color="auto" w:sz="6" w:space="0"/>
            </w:tcBorders>
            <w:noWrap w:val="0"/>
            <w:textDirection w:val="btLr"/>
            <w:vAlign w:val="center"/>
          </w:tcPr>
          <w:p w14:paraId="5D82E3D1">
            <w:pPr>
              <w:pStyle w:val="71"/>
              <w:spacing w:line="180" w:lineRule="exact"/>
              <w:ind w:left="113" w:right="113"/>
              <w:jc w:val="center"/>
              <w:rPr>
                <w:rFonts w:cs="Calibri"/>
                <w:color w:val="auto"/>
                <w:w w:val="90"/>
                <w:sz w:val="18"/>
                <w:szCs w:val="18"/>
                <w:highlight w:val="none"/>
              </w:rPr>
            </w:pPr>
            <w:r>
              <w:rPr>
                <w:rFonts w:hint="eastAsia" w:cs="宋体"/>
                <w:color w:val="auto"/>
                <w:w w:val="90"/>
                <w:sz w:val="18"/>
                <w:szCs w:val="18"/>
                <w:highlight w:val="none"/>
              </w:rPr>
              <w:t>年度</w:t>
            </w:r>
          </w:p>
        </w:tc>
        <w:tc>
          <w:tcPr>
            <w:tcW w:w="890" w:type="dxa"/>
            <w:tcBorders>
              <w:top w:val="single" w:color="auto" w:sz="6" w:space="0"/>
              <w:left w:val="single" w:color="auto" w:sz="6" w:space="0"/>
              <w:bottom w:val="single" w:color="auto" w:sz="6" w:space="0"/>
              <w:right w:val="single" w:color="auto" w:sz="6" w:space="0"/>
            </w:tcBorders>
            <w:noWrap w:val="0"/>
            <w:textDirection w:val="btLr"/>
            <w:vAlign w:val="center"/>
          </w:tcPr>
          <w:p w14:paraId="7F4FB64B">
            <w:pPr>
              <w:pStyle w:val="71"/>
              <w:spacing w:line="180" w:lineRule="exact"/>
              <w:ind w:left="113" w:right="113"/>
              <w:jc w:val="center"/>
              <w:rPr>
                <w:rFonts w:cs="Calibri"/>
                <w:color w:val="auto"/>
                <w:spacing w:val="-24"/>
                <w:sz w:val="18"/>
                <w:szCs w:val="18"/>
                <w:highlight w:val="none"/>
              </w:rPr>
            </w:pPr>
            <w:r>
              <w:rPr>
                <w:rFonts w:cs="宋体"/>
                <w:color w:val="auto"/>
                <w:spacing w:val="-24"/>
                <w:sz w:val="18"/>
                <w:szCs w:val="18"/>
                <w:highlight w:val="none"/>
              </w:rPr>
              <w:t>12</w:t>
            </w:r>
          </w:p>
        </w:tc>
        <w:tc>
          <w:tcPr>
            <w:tcW w:w="455" w:type="dxa"/>
            <w:tcBorders>
              <w:top w:val="single" w:color="auto" w:sz="6" w:space="0"/>
              <w:left w:val="single" w:color="auto" w:sz="6" w:space="0"/>
              <w:bottom w:val="single" w:color="auto" w:sz="6" w:space="0"/>
              <w:right w:val="single" w:color="auto" w:sz="6" w:space="0"/>
            </w:tcBorders>
            <w:noWrap w:val="0"/>
            <w:textDirection w:val="btLr"/>
            <w:vAlign w:val="center"/>
          </w:tcPr>
          <w:p w14:paraId="3FBFFB91">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0CE45865">
            <w:pPr>
              <w:pStyle w:val="71"/>
              <w:spacing w:line="180" w:lineRule="exact"/>
              <w:ind w:left="113" w:right="113"/>
              <w:jc w:val="center"/>
              <w:rPr>
                <w:rFonts w:cs="Calibri"/>
                <w:color w:val="auto"/>
                <w:spacing w:val="-24"/>
                <w:w w:val="90"/>
                <w:sz w:val="18"/>
                <w:szCs w:val="18"/>
                <w:highlight w:val="none"/>
              </w:rPr>
            </w:pPr>
          </w:p>
        </w:tc>
        <w:tc>
          <w:tcPr>
            <w:tcW w:w="411" w:type="dxa"/>
            <w:tcBorders>
              <w:top w:val="single" w:color="auto" w:sz="6" w:space="0"/>
              <w:left w:val="single" w:color="auto" w:sz="6" w:space="0"/>
              <w:bottom w:val="single" w:color="auto" w:sz="6" w:space="0"/>
              <w:right w:val="single" w:color="auto" w:sz="6" w:space="0"/>
            </w:tcBorders>
            <w:noWrap w:val="0"/>
            <w:textDirection w:val="btLr"/>
            <w:vAlign w:val="center"/>
          </w:tcPr>
          <w:p w14:paraId="7EEA538C">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15DE841F">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777EA94C">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7E20DF5A">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1C58A006">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27CCE8C2">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6A8C4446">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0DED66FD">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29E21879">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2555C562">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025AAD63">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4E04A9E5">
            <w:pPr>
              <w:pStyle w:val="71"/>
              <w:spacing w:line="180" w:lineRule="exact"/>
              <w:ind w:left="113" w:right="113"/>
              <w:jc w:val="center"/>
              <w:rPr>
                <w:rFonts w:cs="Calibri"/>
                <w:color w:val="auto"/>
                <w:spacing w:val="-24"/>
                <w:w w:val="90"/>
                <w:sz w:val="18"/>
                <w:szCs w:val="18"/>
                <w:highlight w:val="none"/>
              </w:rPr>
            </w:pPr>
          </w:p>
        </w:tc>
        <w:tc>
          <w:tcPr>
            <w:tcW w:w="404" w:type="dxa"/>
            <w:tcBorders>
              <w:top w:val="single" w:color="auto" w:sz="6" w:space="0"/>
              <w:left w:val="single" w:color="auto" w:sz="6" w:space="0"/>
              <w:bottom w:val="single" w:color="auto" w:sz="6" w:space="0"/>
              <w:right w:val="single" w:color="auto" w:sz="6" w:space="0"/>
            </w:tcBorders>
            <w:noWrap w:val="0"/>
            <w:textDirection w:val="btLr"/>
            <w:vAlign w:val="top"/>
          </w:tcPr>
          <w:p w14:paraId="1AB26CC7">
            <w:pPr>
              <w:pStyle w:val="71"/>
              <w:spacing w:line="180" w:lineRule="exact"/>
              <w:ind w:left="113" w:right="113"/>
              <w:jc w:val="center"/>
              <w:rPr>
                <w:rFonts w:cs="Calibri"/>
                <w:color w:val="auto"/>
                <w:spacing w:val="-24"/>
                <w:w w:val="90"/>
                <w:sz w:val="18"/>
                <w:szCs w:val="18"/>
                <w:highlight w:val="none"/>
              </w:rPr>
            </w:pPr>
          </w:p>
        </w:tc>
        <w:tc>
          <w:tcPr>
            <w:tcW w:w="392" w:type="dxa"/>
            <w:tcBorders>
              <w:top w:val="single" w:color="auto" w:sz="6" w:space="0"/>
              <w:left w:val="single" w:color="auto" w:sz="6" w:space="0"/>
              <w:bottom w:val="single" w:color="auto" w:sz="6" w:space="0"/>
              <w:right w:val="single" w:color="auto" w:sz="6" w:space="0"/>
            </w:tcBorders>
            <w:noWrap w:val="0"/>
            <w:textDirection w:val="btLr"/>
            <w:vAlign w:val="top"/>
          </w:tcPr>
          <w:p w14:paraId="1DE51ACE">
            <w:pPr>
              <w:pStyle w:val="71"/>
              <w:spacing w:line="180" w:lineRule="exact"/>
              <w:ind w:left="113" w:right="113"/>
              <w:jc w:val="center"/>
              <w:rPr>
                <w:rFonts w:cs="Calibri"/>
                <w:color w:val="auto"/>
                <w:spacing w:val="-24"/>
                <w:w w:val="90"/>
                <w:sz w:val="18"/>
                <w:szCs w:val="18"/>
                <w:highlight w:val="none"/>
              </w:rPr>
            </w:pPr>
          </w:p>
        </w:tc>
        <w:tc>
          <w:tcPr>
            <w:tcW w:w="387" w:type="dxa"/>
            <w:tcBorders>
              <w:top w:val="single" w:color="auto" w:sz="6" w:space="0"/>
              <w:left w:val="single" w:color="auto" w:sz="6" w:space="0"/>
              <w:bottom w:val="single" w:color="auto" w:sz="6" w:space="0"/>
              <w:right w:val="single" w:color="auto" w:sz="12" w:space="0"/>
            </w:tcBorders>
            <w:noWrap w:val="0"/>
            <w:textDirection w:val="btLr"/>
            <w:vAlign w:val="center"/>
          </w:tcPr>
          <w:p w14:paraId="319B7195">
            <w:pPr>
              <w:pStyle w:val="71"/>
              <w:spacing w:line="180" w:lineRule="exact"/>
              <w:ind w:left="113" w:right="113"/>
              <w:jc w:val="center"/>
              <w:rPr>
                <w:rFonts w:cs="Calibri"/>
                <w:color w:val="auto"/>
                <w:spacing w:val="-24"/>
                <w:w w:val="90"/>
                <w:sz w:val="18"/>
                <w:szCs w:val="18"/>
                <w:highlight w:val="none"/>
              </w:rPr>
            </w:pPr>
          </w:p>
        </w:tc>
      </w:tr>
      <w:tr w14:paraId="4A965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4" w:hRule="atLeast"/>
        </w:trPr>
        <w:tc>
          <w:tcPr>
            <w:tcW w:w="251" w:type="dxa"/>
            <w:tcBorders>
              <w:top w:val="nil"/>
              <w:left w:val="nil"/>
              <w:bottom w:val="nil"/>
              <w:right w:val="single" w:color="auto" w:sz="12" w:space="0"/>
            </w:tcBorders>
            <w:noWrap w:val="0"/>
            <w:textDirection w:val="btLr"/>
            <w:vAlign w:val="top"/>
          </w:tcPr>
          <w:p w14:paraId="3AA287B9">
            <w:pPr>
              <w:pStyle w:val="71"/>
              <w:spacing w:line="180" w:lineRule="exact"/>
              <w:ind w:left="113" w:right="113"/>
              <w:jc w:val="center"/>
              <w:rPr>
                <w:rFonts w:cs="Calibri"/>
                <w:color w:val="auto"/>
                <w:spacing w:val="-24"/>
                <w:w w:val="90"/>
                <w:sz w:val="18"/>
                <w:szCs w:val="18"/>
                <w:highlight w:val="none"/>
              </w:rPr>
            </w:pPr>
          </w:p>
        </w:tc>
        <w:tc>
          <w:tcPr>
            <w:tcW w:w="796" w:type="dxa"/>
            <w:vMerge w:val="continue"/>
            <w:tcBorders>
              <w:top w:val="single" w:color="auto" w:sz="6" w:space="0"/>
              <w:left w:val="single" w:color="auto" w:sz="12" w:space="0"/>
              <w:bottom w:val="single" w:color="auto" w:sz="6" w:space="0"/>
              <w:right w:val="single" w:color="auto" w:sz="6" w:space="0"/>
            </w:tcBorders>
            <w:noWrap w:val="0"/>
            <w:textDirection w:val="btLr"/>
            <w:vAlign w:val="center"/>
          </w:tcPr>
          <w:p w14:paraId="6ED58B73">
            <w:pPr>
              <w:pStyle w:val="71"/>
              <w:spacing w:line="180" w:lineRule="exact"/>
              <w:ind w:left="113" w:right="113"/>
              <w:jc w:val="center"/>
              <w:rPr>
                <w:rFonts w:cs="Calibri"/>
                <w:color w:val="auto"/>
                <w:spacing w:val="-24"/>
                <w:w w:val="90"/>
                <w:sz w:val="18"/>
                <w:szCs w:val="18"/>
                <w:highlight w:val="none"/>
              </w:rPr>
            </w:pPr>
          </w:p>
        </w:tc>
        <w:tc>
          <w:tcPr>
            <w:tcW w:w="890" w:type="dxa"/>
            <w:tcBorders>
              <w:top w:val="single" w:color="auto" w:sz="6" w:space="0"/>
              <w:left w:val="single" w:color="auto" w:sz="6" w:space="0"/>
              <w:bottom w:val="single" w:color="auto" w:sz="6" w:space="0"/>
              <w:right w:val="single" w:color="auto" w:sz="6" w:space="0"/>
            </w:tcBorders>
            <w:noWrap w:val="0"/>
            <w:textDirection w:val="btLr"/>
            <w:vAlign w:val="center"/>
          </w:tcPr>
          <w:p w14:paraId="22540865">
            <w:pPr>
              <w:pStyle w:val="71"/>
              <w:spacing w:line="180" w:lineRule="exact"/>
              <w:ind w:left="113" w:right="113"/>
              <w:jc w:val="center"/>
              <w:rPr>
                <w:rFonts w:cs="Calibri"/>
                <w:color w:val="auto"/>
                <w:spacing w:val="-24"/>
                <w:sz w:val="18"/>
                <w:szCs w:val="18"/>
                <w:highlight w:val="none"/>
              </w:rPr>
            </w:pPr>
            <w:r>
              <w:rPr>
                <w:rFonts w:cs="宋体"/>
                <w:color w:val="auto"/>
                <w:spacing w:val="-24"/>
                <w:sz w:val="18"/>
                <w:szCs w:val="18"/>
                <w:highlight w:val="none"/>
              </w:rPr>
              <w:t>11</w:t>
            </w:r>
          </w:p>
        </w:tc>
        <w:tc>
          <w:tcPr>
            <w:tcW w:w="455" w:type="dxa"/>
            <w:tcBorders>
              <w:top w:val="single" w:color="auto" w:sz="6" w:space="0"/>
              <w:left w:val="single" w:color="auto" w:sz="6" w:space="0"/>
              <w:bottom w:val="single" w:color="auto" w:sz="6" w:space="0"/>
              <w:right w:val="single" w:color="auto" w:sz="6" w:space="0"/>
            </w:tcBorders>
            <w:noWrap w:val="0"/>
            <w:textDirection w:val="btLr"/>
            <w:vAlign w:val="center"/>
          </w:tcPr>
          <w:p w14:paraId="642CCAF2">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5ED31D6E">
            <w:pPr>
              <w:pStyle w:val="71"/>
              <w:spacing w:line="180" w:lineRule="exact"/>
              <w:ind w:left="113" w:right="113"/>
              <w:jc w:val="center"/>
              <w:rPr>
                <w:rFonts w:cs="Calibri"/>
                <w:color w:val="auto"/>
                <w:spacing w:val="-24"/>
                <w:w w:val="90"/>
                <w:sz w:val="18"/>
                <w:szCs w:val="18"/>
                <w:highlight w:val="none"/>
              </w:rPr>
            </w:pPr>
          </w:p>
        </w:tc>
        <w:tc>
          <w:tcPr>
            <w:tcW w:w="411" w:type="dxa"/>
            <w:tcBorders>
              <w:top w:val="single" w:color="auto" w:sz="6" w:space="0"/>
              <w:left w:val="single" w:color="auto" w:sz="6" w:space="0"/>
              <w:bottom w:val="single" w:color="auto" w:sz="6" w:space="0"/>
              <w:right w:val="single" w:color="auto" w:sz="6" w:space="0"/>
            </w:tcBorders>
            <w:noWrap w:val="0"/>
            <w:textDirection w:val="btLr"/>
            <w:vAlign w:val="center"/>
          </w:tcPr>
          <w:p w14:paraId="58E9BA39">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2F44FBD5">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6FEB6CE0">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7405A04E">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11D82F33">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35352CD5">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0A44AD3F">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4C240F8C">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06BDB070">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2E0EE39F">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57799A2D">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07A7A158">
            <w:pPr>
              <w:pStyle w:val="71"/>
              <w:spacing w:line="180" w:lineRule="exact"/>
              <w:ind w:left="113" w:right="113"/>
              <w:jc w:val="center"/>
              <w:rPr>
                <w:rFonts w:cs="Calibri"/>
                <w:color w:val="auto"/>
                <w:spacing w:val="-24"/>
                <w:w w:val="90"/>
                <w:sz w:val="18"/>
                <w:szCs w:val="18"/>
                <w:highlight w:val="none"/>
              </w:rPr>
            </w:pPr>
          </w:p>
        </w:tc>
        <w:tc>
          <w:tcPr>
            <w:tcW w:w="404" w:type="dxa"/>
            <w:tcBorders>
              <w:top w:val="single" w:color="auto" w:sz="6" w:space="0"/>
              <w:left w:val="single" w:color="auto" w:sz="6" w:space="0"/>
              <w:bottom w:val="single" w:color="auto" w:sz="6" w:space="0"/>
              <w:right w:val="single" w:color="auto" w:sz="6" w:space="0"/>
            </w:tcBorders>
            <w:noWrap w:val="0"/>
            <w:textDirection w:val="btLr"/>
            <w:vAlign w:val="top"/>
          </w:tcPr>
          <w:p w14:paraId="747B9A43">
            <w:pPr>
              <w:pStyle w:val="71"/>
              <w:spacing w:line="180" w:lineRule="exact"/>
              <w:ind w:left="113" w:right="113"/>
              <w:jc w:val="center"/>
              <w:rPr>
                <w:rFonts w:cs="Calibri"/>
                <w:color w:val="auto"/>
                <w:spacing w:val="-24"/>
                <w:w w:val="90"/>
                <w:sz w:val="18"/>
                <w:szCs w:val="18"/>
                <w:highlight w:val="none"/>
              </w:rPr>
            </w:pPr>
          </w:p>
        </w:tc>
        <w:tc>
          <w:tcPr>
            <w:tcW w:w="392" w:type="dxa"/>
            <w:tcBorders>
              <w:top w:val="single" w:color="auto" w:sz="6" w:space="0"/>
              <w:left w:val="single" w:color="auto" w:sz="6" w:space="0"/>
              <w:bottom w:val="single" w:color="auto" w:sz="6" w:space="0"/>
              <w:right w:val="single" w:color="auto" w:sz="6" w:space="0"/>
            </w:tcBorders>
            <w:noWrap w:val="0"/>
            <w:textDirection w:val="btLr"/>
            <w:vAlign w:val="top"/>
          </w:tcPr>
          <w:p w14:paraId="573489EE">
            <w:pPr>
              <w:pStyle w:val="71"/>
              <w:spacing w:line="180" w:lineRule="exact"/>
              <w:ind w:left="113" w:right="113"/>
              <w:jc w:val="center"/>
              <w:rPr>
                <w:rFonts w:cs="Calibri"/>
                <w:color w:val="auto"/>
                <w:spacing w:val="-24"/>
                <w:w w:val="90"/>
                <w:sz w:val="18"/>
                <w:szCs w:val="18"/>
                <w:highlight w:val="none"/>
              </w:rPr>
            </w:pPr>
          </w:p>
        </w:tc>
        <w:tc>
          <w:tcPr>
            <w:tcW w:w="387" w:type="dxa"/>
            <w:tcBorders>
              <w:top w:val="single" w:color="auto" w:sz="6" w:space="0"/>
              <w:left w:val="single" w:color="auto" w:sz="6" w:space="0"/>
              <w:bottom w:val="single" w:color="auto" w:sz="6" w:space="0"/>
              <w:right w:val="single" w:color="auto" w:sz="12" w:space="0"/>
            </w:tcBorders>
            <w:noWrap w:val="0"/>
            <w:textDirection w:val="btLr"/>
            <w:vAlign w:val="center"/>
          </w:tcPr>
          <w:p w14:paraId="469F6361">
            <w:pPr>
              <w:pStyle w:val="71"/>
              <w:spacing w:line="180" w:lineRule="exact"/>
              <w:ind w:left="113" w:right="113"/>
              <w:jc w:val="center"/>
              <w:rPr>
                <w:rFonts w:cs="Calibri"/>
                <w:color w:val="auto"/>
                <w:spacing w:val="-24"/>
                <w:w w:val="90"/>
                <w:sz w:val="18"/>
                <w:szCs w:val="18"/>
                <w:highlight w:val="none"/>
              </w:rPr>
            </w:pPr>
          </w:p>
        </w:tc>
      </w:tr>
      <w:tr w14:paraId="1AEA1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3" w:hRule="atLeast"/>
        </w:trPr>
        <w:tc>
          <w:tcPr>
            <w:tcW w:w="251" w:type="dxa"/>
            <w:tcBorders>
              <w:top w:val="nil"/>
              <w:left w:val="nil"/>
              <w:bottom w:val="nil"/>
              <w:right w:val="single" w:color="auto" w:sz="12" w:space="0"/>
            </w:tcBorders>
            <w:noWrap w:val="0"/>
            <w:textDirection w:val="btLr"/>
            <w:vAlign w:val="top"/>
          </w:tcPr>
          <w:p w14:paraId="1D5BB6B9">
            <w:pPr>
              <w:pStyle w:val="71"/>
              <w:spacing w:line="180" w:lineRule="exact"/>
              <w:ind w:left="113" w:right="113"/>
              <w:jc w:val="center"/>
              <w:rPr>
                <w:rFonts w:cs="Calibri"/>
                <w:color w:val="auto"/>
                <w:spacing w:val="-24"/>
                <w:w w:val="90"/>
                <w:sz w:val="18"/>
                <w:szCs w:val="18"/>
                <w:highlight w:val="none"/>
              </w:rPr>
            </w:pPr>
          </w:p>
        </w:tc>
        <w:tc>
          <w:tcPr>
            <w:tcW w:w="796" w:type="dxa"/>
            <w:vMerge w:val="continue"/>
            <w:tcBorders>
              <w:top w:val="single" w:color="auto" w:sz="6" w:space="0"/>
              <w:left w:val="single" w:color="auto" w:sz="12" w:space="0"/>
              <w:bottom w:val="single" w:color="auto" w:sz="6" w:space="0"/>
              <w:right w:val="single" w:color="auto" w:sz="6" w:space="0"/>
            </w:tcBorders>
            <w:noWrap w:val="0"/>
            <w:textDirection w:val="btLr"/>
            <w:vAlign w:val="center"/>
          </w:tcPr>
          <w:p w14:paraId="278D6CBC">
            <w:pPr>
              <w:pStyle w:val="71"/>
              <w:spacing w:line="180" w:lineRule="exact"/>
              <w:ind w:left="113" w:right="113"/>
              <w:jc w:val="center"/>
              <w:rPr>
                <w:rFonts w:cs="Calibri"/>
                <w:color w:val="auto"/>
                <w:spacing w:val="-24"/>
                <w:w w:val="90"/>
                <w:sz w:val="18"/>
                <w:szCs w:val="18"/>
                <w:highlight w:val="none"/>
              </w:rPr>
            </w:pPr>
          </w:p>
        </w:tc>
        <w:tc>
          <w:tcPr>
            <w:tcW w:w="890" w:type="dxa"/>
            <w:tcBorders>
              <w:top w:val="single" w:color="auto" w:sz="6" w:space="0"/>
              <w:left w:val="single" w:color="auto" w:sz="6" w:space="0"/>
              <w:bottom w:val="single" w:color="auto" w:sz="6" w:space="0"/>
              <w:right w:val="single" w:color="auto" w:sz="6" w:space="0"/>
            </w:tcBorders>
            <w:noWrap w:val="0"/>
            <w:textDirection w:val="btLr"/>
            <w:vAlign w:val="center"/>
          </w:tcPr>
          <w:p w14:paraId="683D1F42">
            <w:pPr>
              <w:pStyle w:val="71"/>
              <w:spacing w:line="180" w:lineRule="exact"/>
              <w:ind w:left="113" w:right="113"/>
              <w:jc w:val="center"/>
              <w:rPr>
                <w:rFonts w:cs="Calibri"/>
                <w:color w:val="auto"/>
                <w:spacing w:val="-24"/>
                <w:sz w:val="18"/>
                <w:szCs w:val="18"/>
                <w:highlight w:val="none"/>
              </w:rPr>
            </w:pPr>
            <w:r>
              <w:rPr>
                <w:rFonts w:cs="宋体"/>
                <w:color w:val="auto"/>
                <w:spacing w:val="-24"/>
                <w:sz w:val="18"/>
                <w:szCs w:val="18"/>
                <w:highlight w:val="none"/>
              </w:rPr>
              <w:t>10</w:t>
            </w:r>
          </w:p>
        </w:tc>
        <w:tc>
          <w:tcPr>
            <w:tcW w:w="455" w:type="dxa"/>
            <w:tcBorders>
              <w:top w:val="single" w:color="auto" w:sz="6" w:space="0"/>
              <w:left w:val="single" w:color="auto" w:sz="6" w:space="0"/>
              <w:bottom w:val="single" w:color="auto" w:sz="6" w:space="0"/>
              <w:right w:val="single" w:color="auto" w:sz="6" w:space="0"/>
            </w:tcBorders>
            <w:noWrap w:val="0"/>
            <w:textDirection w:val="btLr"/>
            <w:vAlign w:val="center"/>
          </w:tcPr>
          <w:p w14:paraId="64C8914F">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725F8F38">
            <w:pPr>
              <w:pStyle w:val="71"/>
              <w:spacing w:line="180" w:lineRule="exact"/>
              <w:ind w:left="113" w:right="113"/>
              <w:jc w:val="center"/>
              <w:rPr>
                <w:rFonts w:cs="Calibri"/>
                <w:color w:val="auto"/>
                <w:spacing w:val="-24"/>
                <w:w w:val="90"/>
                <w:sz w:val="18"/>
                <w:szCs w:val="18"/>
                <w:highlight w:val="none"/>
              </w:rPr>
            </w:pPr>
          </w:p>
        </w:tc>
        <w:tc>
          <w:tcPr>
            <w:tcW w:w="411" w:type="dxa"/>
            <w:tcBorders>
              <w:top w:val="single" w:color="auto" w:sz="6" w:space="0"/>
              <w:left w:val="single" w:color="auto" w:sz="6" w:space="0"/>
              <w:bottom w:val="single" w:color="auto" w:sz="6" w:space="0"/>
              <w:right w:val="single" w:color="auto" w:sz="6" w:space="0"/>
            </w:tcBorders>
            <w:noWrap w:val="0"/>
            <w:textDirection w:val="btLr"/>
            <w:vAlign w:val="center"/>
          </w:tcPr>
          <w:p w14:paraId="7E4FE493">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3F2146C1">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0BB7DBEE">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3CF715D0">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02E7EA93">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54E0021B">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0D94012D">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716122EA">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206BF139">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3737020E">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4ABE8EF4">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223F31A2">
            <w:pPr>
              <w:pStyle w:val="71"/>
              <w:spacing w:line="180" w:lineRule="exact"/>
              <w:ind w:left="113" w:right="113"/>
              <w:jc w:val="center"/>
              <w:rPr>
                <w:rFonts w:cs="Calibri"/>
                <w:color w:val="auto"/>
                <w:spacing w:val="-24"/>
                <w:w w:val="90"/>
                <w:sz w:val="18"/>
                <w:szCs w:val="18"/>
                <w:highlight w:val="none"/>
              </w:rPr>
            </w:pPr>
          </w:p>
        </w:tc>
        <w:tc>
          <w:tcPr>
            <w:tcW w:w="404" w:type="dxa"/>
            <w:tcBorders>
              <w:top w:val="single" w:color="auto" w:sz="6" w:space="0"/>
              <w:left w:val="single" w:color="auto" w:sz="6" w:space="0"/>
              <w:bottom w:val="single" w:color="auto" w:sz="6" w:space="0"/>
              <w:right w:val="single" w:color="auto" w:sz="6" w:space="0"/>
            </w:tcBorders>
            <w:noWrap w:val="0"/>
            <w:textDirection w:val="btLr"/>
            <w:vAlign w:val="top"/>
          </w:tcPr>
          <w:p w14:paraId="7534360B">
            <w:pPr>
              <w:pStyle w:val="71"/>
              <w:spacing w:line="180" w:lineRule="exact"/>
              <w:ind w:left="113" w:right="113"/>
              <w:jc w:val="center"/>
              <w:rPr>
                <w:rFonts w:cs="Calibri"/>
                <w:color w:val="auto"/>
                <w:spacing w:val="-24"/>
                <w:w w:val="90"/>
                <w:sz w:val="18"/>
                <w:szCs w:val="18"/>
                <w:highlight w:val="none"/>
              </w:rPr>
            </w:pPr>
          </w:p>
        </w:tc>
        <w:tc>
          <w:tcPr>
            <w:tcW w:w="392" w:type="dxa"/>
            <w:tcBorders>
              <w:top w:val="single" w:color="auto" w:sz="6" w:space="0"/>
              <w:left w:val="single" w:color="auto" w:sz="6" w:space="0"/>
              <w:bottom w:val="single" w:color="auto" w:sz="6" w:space="0"/>
              <w:right w:val="single" w:color="auto" w:sz="6" w:space="0"/>
            </w:tcBorders>
            <w:noWrap w:val="0"/>
            <w:textDirection w:val="btLr"/>
            <w:vAlign w:val="top"/>
          </w:tcPr>
          <w:p w14:paraId="0D590F24">
            <w:pPr>
              <w:pStyle w:val="71"/>
              <w:spacing w:line="180" w:lineRule="exact"/>
              <w:ind w:left="113" w:right="113"/>
              <w:jc w:val="center"/>
              <w:rPr>
                <w:rFonts w:cs="Calibri"/>
                <w:color w:val="auto"/>
                <w:spacing w:val="-24"/>
                <w:w w:val="90"/>
                <w:sz w:val="18"/>
                <w:szCs w:val="18"/>
                <w:highlight w:val="none"/>
              </w:rPr>
            </w:pPr>
          </w:p>
        </w:tc>
        <w:tc>
          <w:tcPr>
            <w:tcW w:w="387" w:type="dxa"/>
            <w:tcBorders>
              <w:top w:val="single" w:color="auto" w:sz="6" w:space="0"/>
              <w:left w:val="single" w:color="auto" w:sz="6" w:space="0"/>
              <w:bottom w:val="single" w:color="auto" w:sz="6" w:space="0"/>
              <w:right w:val="single" w:color="auto" w:sz="12" w:space="0"/>
            </w:tcBorders>
            <w:noWrap w:val="0"/>
            <w:textDirection w:val="btLr"/>
            <w:vAlign w:val="center"/>
          </w:tcPr>
          <w:p w14:paraId="2484E35E">
            <w:pPr>
              <w:pStyle w:val="71"/>
              <w:spacing w:line="180" w:lineRule="exact"/>
              <w:ind w:left="113" w:right="113"/>
              <w:jc w:val="center"/>
              <w:rPr>
                <w:rFonts w:cs="Calibri"/>
                <w:color w:val="auto"/>
                <w:spacing w:val="-24"/>
                <w:w w:val="90"/>
                <w:sz w:val="18"/>
                <w:szCs w:val="18"/>
                <w:highlight w:val="none"/>
              </w:rPr>
            </w:pPr>
          </w:p>
        </w:tc>
      </w:tr>
      <w:tr w14:paraId="6AF6A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3" w:hRule="atLeast"/>
        </w:trPr>
        <w:tc>
          <w:tcPr>
            <w:tcW w:w="251" w:type="dxa"/>
            <w:tcBorders>
              <w:top w:val="nil"/>
              <w:left w:val="nil"/>
              <w:bottom w:val="nil"/>
              <w:right w:val="single" w:color="auto" w:sz="12" w:space="0"/>
            </w:tcBorders>
            <w:noWrap w:val="0"/>
            <w:textDirection w:val="btLr"/>
            <w:vAlign w:val="top"/>
          </w:tcPr>
          <w:p w14:paraId="518568D6">
            <w:pPr>
              <w:pStyle w:val="71"/>
              <w:spacing w:line="180" w:lineRule="exact"/>
              <w:ind w:left="113" w:right="113"/>
              <w:jc w:val="center"/>
              <w:rPr>
                <w:rFonts w:cs="Calibri"/>
                <w:color w:val="auto"/>
                <w:spacing w:val="-24"/>
                <w:w w:val="90"/>
                <w:sz w:val="18"/>
                <w:szCs w:val="18"/>
                <w:highlight w:val="none"/>
              </w:rPr>
            </w:pPr>
          </w:p>
        </w:tc>
        <w:tc>
          <w:tcPr>
            <w:tcW w:w="796" w:type="dxa"/>
            <w:vMerge w:val="continue"/>
            <w:tcBorders>
              <w:top w:val="single" w:color="auto" w:sz="6" w:space="0"/>
              <w:left w:val="single" w:color="auto" w:sz="12" w:space="0"/>
              <w:bottom w:val="single" w:color="auto" w:sz="6" w:space="0"/>
              <w:right w:val="single" w:color="auto" w:sz="6" w:space="0"/>
            </w:tcBorders>
            <w:noWrap w:val="0"/>
            <w:textDirection w:val="btLr"/>
            <w:vAlign w:val="center"/>
          </w:tcPr>
          <w:p w14:paraId="33592027">
            <w:pPr>
              <w:pStyle w:val="71"/>
              <w:spacing w:line="180" w:lineRule="exact"/>
              <w:ind w:left="113" w:right="113"/>
              <w:jc w:val="center"/>
              <w:rPr>
                <w:rFonts w:cs="Calibri"/>
                <w:color w:val="auto"/>
                <w:spacing w:val="-24"/>
                <w:w w:val="90"/>
                <w:sz w:val="18"/>
                <w:szCs w:val="18"/>
                <w:highlight w:val="none"/>
              </w:rPr>
            </w:pPr>
          </w:p>
        </w:tc>
        <w:tc>
          <w:tcPr>
            <w:tcW w:w="890" w:type="dxa"/>
            <w:tcBorders>
              <w:top w:val="single" w:color="auto" w:sz="6" w:space="0"/>
              <w:left w:val="single" w:color="auto" w:sz="6" w:space="0"/>
              <w:bottom w:val="single" w:color="auto" w:sz="6" w:space="0"/>
              <w:right w:val="single" w:color="auto" w:sz="6" w:space="0"/>
            </w:tcBorders>
            <w:noWrap w:val="0"/>
            <w:textDirection w:val="btLr"/>
            <w:vAlign w:val="center"/>
          </w:tcPr>
          <w:p w14:paraId="3AB38A24">
            <w:pPr>
              <w:pStyle w:val="71"/>
              <w:spacing w:line="180" w:lineRule="exact"/>
              <w:ind w:left="113" w:right="113"/>
              <w:jc w:val="center"/>
              <w:rPr>
                <w:rFonts w:cs="Calibri"/>
                <w:color w:val="auto"/>
                <w:spacing w:val="-24"/>
                <w:sz w:val="18"/>
                <w:szCs w:val="18"/>
                <w:highlight w:val="none"/>
              </w:rPr>
            </w:pPr>
            <w:r>
              <w:rPr>
                <w:rFonts w:cs="宋体"/>
                <w:color w:val="auto"/>
                <w:spacing w:val="-24"/>
                <w:sz w:val="18"/>
                <w:szCs w:val="18"/>
                <w:highlight w:val="none"/>
              </w:rPr>
              <w:t>9</w:t>
            </w:r>
          </w:p>
        </w:tc>
        <w:tc>
          <w:tcPr>
            <w:tcW w:w="455" w:type="dxa"/>
            <w:tcBorders>
              <w:top w:val="single" w:color="auto" w:sz="6" w:space="0"/>
              <w:left w:val="single" w:color="auto" w:sz="6" w:space="0"/>
              <w:bottom w:val="single" w:color="auto" w:sz="6" w:space="0"/>
              <w:right w:val="single" w:color="auto" w:sz="6" w:space="0"/>
            </w:tcBorders>
            <w:noWrap w:val="0"/>
            <w:textDirection w:val="btLr"/>
            <w:vAlign w:val="center"/>
          </w:tcPr>
          <w:p w14:paraId="07163F60">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797C188C">
            <w:pPr>
              <w:pStyle w:val="71"/>
              <w:spacing w:line="180" w:lineRule="exact"/>
              <w:ind w:left="113" w:right="113"/>
              <w:jc w:val="center"/>
              <w:rPr>
                <w:rFonts w:cs="Calibri"/>
                <w:color w:val="auto"/>
                <w:spacing w:val="-24"/>
                <w:w w:val="90"/>
                <w:sz w:val="18"/>
                <w:szCs w:val="18"/>
                <w:highlight w:val="none"/>
              </w:rPr>
            </w:pPr>
          </w:p>
        </w:tc>
        <w:tc>
          <w:tcPr>
            <w:tcW w:w="411" w:type="dxa"/>
            <w:tcBorders>
              <w:top w:val="single" w:color="auto" w:sz="6" w:space="0"/>
              <w:left w:val="single" w:color="auto" w:sz="6" w:space="0"/>
              <w:bottom w:val="single" w:color="auto" w:sz="6" w:space="0"/>
              <w:right w:val="single" w:color="auto" w:sz="6" w:space="0"/>
            </w:tcBorders>
            <w:noWrap w:val="0"/>
            <w:textDirection w:val="btLr"/>
            <w:vAlign w:val="center"/>
          </w:tcPr>
          <w:p w14:paraId="71C130FC">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5A640ABC">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31467D2C">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7BED00C2">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77DDA369">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4FC9FD4F">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667F76DD">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21868159">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0EB1E9D5">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17E9FD54">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4230DCCC">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4F902EDF">
            <w:pPr>
              <w:pStyle w:val="71"/>
              <w:spacing w:line="180" w:lineRule="exact"/>
              <w:ind w:left="113" w:right="113"/>
              <w:jc w:val="center"/>
              <w:rPr>
                <w:rFonts w:cs="Calibri"/>
                <w:color w:val="auto"/>
                <w:spacing w:val="-24"/>
                <w:w w:val="90"/>
                <w:sz w:val="18"/>
                <w:szCs w:val="18"/>
                <w:highlight w:val="none"/>
              </w:rPr>
            </w:pPr>
          </w:p>
        </w:tc>
        <w:tc>
          <w:tcPr>
            <w:tcW w:w="404" w:type="dxa"/>
            <w:tcBorders>
              <w:top w:val="single" w:color="auto" w:sz="6" w:space="0"/>
              <w:left w:val="single" w:color="auto" w:sz="6" w:space="0"/>
              <w:bottom w:val="single" w:color="auto" w:sz="6" w:space="0"/>
              <w:right w:val="single" w:color="auto" w:sz="6" w:space="0"/>
            </w:tcBorders>
            <w:noWrap w:val="0"/>
            <w:textDirection w:val="btLr"/>
            <w:vAlign w:val="top"/>
          </w:tcPr>
          <w:p w14:paraId="1640282E">
            <w:pPr>
              <w:pStyle w:val="71"/>
              <w:spacing w:line="180" w:lineRule="exact"/>
              <w:ind w:left="113" w:right="113"/>
              <w:jc w:val="center"/>
              <w:rPr>
                <w:rFonts w:cs="Calibri"/>
                <w:color w:val="auto"/>
                <w:spacing w:val="-24"/>
                <w:w w:val="90"/>
                <w:sz w:val="18"/>
                <w:szCs w:val="18"/>
                <w:highlight w:val="none"/>
              </w:rPr>
            </w:pPr>
          </w:p>
        </w:tc>
        <w:tc>
          <w:tcPr>
            <w:tcW w:w="392" w:type="dxa"/>
            <w:tcBorders>
              <w:top w:val="single" w:color="auto" w:sz="6" w:space="0"/>
              <w:left w:val="single" w:color="auto" w:sz="6" w:space="0"/>
              <w:bottom w:val="single" w:color="auto" w:sz="6" w:space="0"/>
              <w:right w:val="single" w:color="auto" w:sz="6" w:space="0"/>
            </w:tcBorders>
            <w:noWrap w:val="0"/>
            <w:textDirection w:val="btLr"/>
            <w:vAlign w:val="top"/>
          </w:tcPr>
          <w:p w14:paraId="3FA0EE73">
            <w:pPr>
              <w:pStyle w:val="71"/>
              <w:spacing w:line="180" w:lineRule="exact"/>
              <w:ind w:left="113" w:right="113"/>
              <w:jc w:val="center"/>
              <w:rPr>
                <w:rFonts w:cs="Calibri"/>
                <w:color w:val="auto"/>
                <w:spacing w:val="-24"/>
                <w:w w:val="90"/>
                <w:sz w:val="18"/>
                <w:szCs w:val="18"/>
                <w:highlight w:val="none"/>
              </w:rPr>
            </w:pPr>
          </w:p>
        </w:tc>
        <w:tc>
          <w:tcPr>
            <w:tcW w:w="387" w:type="dxa"/>
            <w:tcBorders>
              <w:top w:val="single" w:color="auto" w:sz="6" w:space="0"/>
              <w:left w:val="single" w:color="auto" w:sz="6" w:space="0"/>
              <w:bottom w:val="single" w:color="auto" w:sz="6" w:space="0"/>
              <w:right w:val="single" w:color="auto" w:sz="12" w:space="0"/>
            </w:tcBorders>
            <w:noWrap w:val="0"/>
            <w:textDirection w:val="btLr"/>
            <w:vAlign w:val="center"/>
          </w:tcPr>
          <w:p w14:paraId="18F5D911">
            <w:pPr>
              <w:pStyle w:val="71"/>
              <w:spacing w:line="180" w:lineRule="exact"/>
              <w:ind w:left="113" w:right="113"/>
              <w:jc w:val="center"/>
              <w:rPr>
                <w:rFonts w:cs="Calibri"/>
                <w:color w:val="auto"/>
                <w:spacing w:val="-24"/>
                <w:w w:val="90"/>
                <w:sz w:val="18"/>
                <w:szCs w:val="18"/>
                <w:highlight w:val="none"/>
              </w:rPr>
            </w:pPr>
          </w:p>
        </w:tc>
      </w:tr>
      <w:tr w14:paraId="7BA32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4" w:hRule="atLeast"/>
        </w:trPr>
        <w:tc>
          <w:tcPr>
            <w:tcW w:w="251" w:type="dxa"/>
            <w:tcBorders>
              <w:top w:val="nil"/>
              <w:left w:val="nil"/>
              <w:bottom w:val="nil"/>
              <w:right w:val="single" w:color="auto" w:sz="12" w:space="0"/>
            </w:tcBorders>
            <w:noWrap w:val="0"/>
            <w:textDirection w:val="btLr"/>
            <w:vAlign w:val="top"/>
          </w:tcPr>
          <w:p w14:paraId="4C93F23B">
            <w:pPr>
              <w:pStyle w:val="71"/>
              <w:spacing w:line="180" w:lineRule="exact"/>
              <w:ind w:left="113" w:right="113"/>
              <w:jc w:val="center"/>
              <w:rPr>
                <w:rFonts w:cs="Calibri"/>
                <w:color w:val="auto"/>
                <w:spacing w:val="-24"/>
                <w:w w:val="90"/>
                <w:sz w:val="18"/>
                <w:szCs w:val="18"/>
                <w:highlight w:val="none"/>
              </w:rPr>
            </w:pPr>
          </w:p>
        </w:tc>
        <w:tc>
          <w:tcPr>
            <w:tcW w:w="796" w:type="dxa"/>
            <w:vMerge w:val="continue"/>
            <w:tcBorders>
              <w:top w:val="single" w:color="auto" w:sz="6" w:space="0"/>
              <w:left w:val="single" w:color="auto" w:sz="12" w:space="0"/>
              <w:bottom w:val="single" w:color="auto" w:sz="6" w:space="0"/>
              <w:right w:val="single" w:color="auto" w:sz="6" w:space="0"/>
            </w:tcBorders>
            <w:noWrap w:val="0"/>
            <w:textDirection w:val="btLr"/>
            <w:vAlign w:val="center"/>
          </w:tcPr>
          <w:p w14:paraId="0C78E28A">
            <w:pPr>
              <w:pStyle w:val="71"/>
              <w:spacing w:line="180" w:lineRule="exact"/>
              <w:ind w:left="113" w:right="113"/>
              <w:jc w:val="center"/>
              <w:rPr>
                <w:rFonts w:cs="Calibri"/>
                <w:color w:val="auto"/>
                <w:spacing w:val="-24"/>
                <w:w w:val="90"/>
                <w:sz w:val="18"/>
                <w:szCs w:val="18"/>
                <w:highlight w:val="none"/>
              </w:rPr>
            </w:pPr>
          </w:p>
        </w:tc>
        <w:tc>
          <w:tcPr>
            <w:tcW w:w="890" w:type="dxa"/>
            <w:tcBorders>
              <w:top w:val="single" w:color="auto" w:sz="6" w:space="0"/>
              <w:left w:val="single" w:color="auto" w:sz="6" w:space="0"/>
              <w:bottom w:val="single" w:color="auto" w:sz="6" w:space="0"/>
              <w:right w:val="single" w:color="auto" w:sz="6" w:space="0"/>
            </w:tcBorders>
            <w:noWrap w:val="0"/>
            <w:textDirection w:val="btLr"/>
            <w:vAlign w:val="center"/>
          </w:tcPr>
          <w:p w14:paraId="0A397996">
            <w:pPr>
              <w:pStyle w:val="71"/>
              <w:spacing w:line="180" w:lineRule="exact"/>
              <w:ind w:left="113" w:right="113"/>
              <w:jc w:val="center"/>
              <w:rPr>
                <w:rFonts w:cs="Calibri"/>
                <w:color w:val="auto"/>
                <w:spacing w:val="-24"/>
                <w:sz w:val="18"/>
                <w:szCs w:val="18"/>
                <w:highlight w:val="none"/>
              </w:rPr>
            </w:pPr>
            <w:r>
              <w:rPr>
                <w:rFonts w:cs="宋体"/>
                <w:color w:val="auto"/>
                <w:spacing w:val="-24"/>
                <w:sz w:val="18"/>
                <w:szCs w:val="18"/>
                <w:highlight w:val="none"/>
              </w:rPr>
              <w:t>8</w:t>
            </w:r>
          </w:p>
        </w:tc>
        <w:tc>
          <w:tcPr>
            <w:tcW w:w="455" w:type="dxa"/>
            <w:tcBorders>
              <w:top w:val="single" w:color="auto" w:sz="6" w:space="0"/>
              <w:left w:val="single" w:color="auto" w:sz="6" w:space="0"/>
              <w:bottom w:val="single" w:color="auto" w:sz="6" w:space="0"/>
              <w:right w:val="single" w:color="auto" w:sz="6" w:space="0"/>
            </w:tcBorders>
            <w:noWrap w:val="0"/>
            <w:textDirection w:val="btLr"/>
            <w:vAlign w:val="center"/>
          </w:tcPr>
          <w:p w14:paraId="1D7C22F8">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16B58DCF">
            <w:pPr>
              <w:pStyle w:val="71"/>
              <w:spacing w:line="180" w:lineRule="exact"/>
              <w:ind w:left="113" w:right="113"/>
              <w:jc w:val="center"/>
              <w:rPr>
                <w:rFonts w:cs="Calibri"/>
                <w:color w:val="auto"/>
                <w:spacing w:val="-24"/>
                <w:w w:val="90"/>
                <w:sz w:val="18"/>
                <w:szCs w:val="18"/>
                <w:highlight w:val="none"/>
              </w:rPr>
            </w:pPr>
          </w:p>
        </w:tc>
        <w:tc>
          <w:tcPr>
            <w:tcW w:w="411" w:type="dxa"/>
            <w:tcBorders>
              <w:top w:val="single" w:color="auto" w:sz="6" w:space="0"/>
              <w:left w:val="single" w:color="auto" w:sz="6" w:space="0"/>
              <w:bottom w:val="single" w:color="auto" w:sz="6" w:space="0"/>
              <w:right w:val="single" w:color="auto" w:sz="6" w:space="0"/>
            </w:tcBorders>
            <w:noWrap w:val="0"/>
            <w:textDirection w:val="btLr"/>
            <w:vAlign w:val="center"/>
          </w:tcPr>
          <w:p w14:paraId="04A42B39">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247082D3">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52E71EB9">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663A38FE">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422B622F">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4A3D3E74">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2E4A75DA">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622B867E">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2E8A9B80">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55FE2C9B">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7BDAAD2B">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65BAA5F6">
            <w:pPr>
              <w:pStyle w:val="71"/>
              <w:spacing w:line="180" w:lineRule="exact"/>
              <w:ind w:left="113" w:right="113"/>
              <w:jc w:val="center"/>
              <w:rPr>
                <w:rFonts w:cs="Calibri"/>
                <w:color w:val="auto"/>
                <w:spacing w:val="-24"/>
                <w:w w:val="90"/>
                <w:sz w:val="18"/>
                <w:szCs w:val="18"/>
                <w:highlight w:val="none"/>
              </w:rPr>
            </w:pPr>
          </w:p>
        </w:tc>
        <w:tc>
          <w:tcPr>
            <w:tcW w:w="404" w:type="dxa"/>
            <w:tcBorders>
              <w:top w:val="single" w:color="auto" w:sz="6" w:space="0"/>
              <w:left w:val="single" w:color="auto" w:sz="6" w:space="0"/>
              <w:bottom w:val="single" w:color="auto" w:sz="6" w:space="0"/>
              <w:right w:val="single" w:color="auto" w:sz="6" w:space="0"/>
            </w:tcBorders>
            <w:noWrap w:val="0"/>
            <w:textDirection w:val="btLr"/>
            <w:vAlign w:val="top"/>
          </w:tcPr>
          <w:p w14:paraId="47027CEF">
            <w:pPr>
              <w:pStyle w:val="71"/>
              <w:spacing w:line="180" w:lineRule="exact"/>
              <w:ind w:left="113" w:right="113"/>
              <w:jc w:val="center"/>
              <w:rPr>
                <w:rFonts w:cs="Calibri"/>
                <w:color w:val="auto"/>
                <w:spacing w:val="-24"/>
                <w:w w:val="90"/>
                <w:sz w:val="18"/>
                <w:szCs w:val="18"/>
                <w:highlight w:val="none"/>
              </w:rPr>
            </w:pPr>
          </w:p>
        </w:tc>
        <w:tc>
          <w:tcPr>
            <w:tcW w:w="392" w:type="dxa"/>
            <w:tcBorders>
              <w:top w:val="single" w:color="auto" w:sz="6" w:space="0"/>
              <w:left w:val="single" w:color="auto" w:sz="6" w:space="0"/>
              <w:bottom w:val="single" w:color="auto" w:sz="6" w:space="0"/>
              <w:right w:val="single" w:color="auto" w:sz="6" w:space="0"/>
            </w:tcBorders>
            <w:noWrap w:val="0"/>
            <w:textDirection w:val="btLr"/>
            <w:vAlign w:val="top"/>
          </w:tcPr>
          <w:p w14:paraId="69B69180">
            <w:pPr>
              <w:pStyle w:val="71"/>
              <w:spacing w:line="180" w:lineRule="exact"/>
              <w:ind w:left="113" w:right="113"/>
              <w:jc w:val="center"/>
              <w:rPr>
                <w:rFonts w:cs="Calibri"/>
                <w:color w:val="auto"/>
                <w:spacing w:val="-24"/>
                <w:w w:val="90"/>
                <w:sz w:val="18"/>
                <w:szCs w:val="18"/>
                <w:highlight w:val="none"/>
              </w:rPr>
            </w:pPr>
          </w:p>
        </w:tc>
        <w:tc>
          <w:tcPr>
            <w:tcW w:w="387" w:type="dxa"/>
            <w:tcBorders>
              <w:top w:val="single" w:color="auto" w:sz="6" w:space="0"/>
              <w:left w:val="single" w:color="auto" w:sz="6" w:space="0"/>
              <w:bottom w:val="single" w:color="auto" w:sz="6" w:space="0"/>
              <w:right w:val="single" w:color="auto" w:sz="12" w:space="0"/>
            </w:tcBorders>
            <w:noWrap w:val="0"/>
            <w:textDirection w:val="btLr"/>
            <w:vAlign w:val="center"/>
          </w:tcPr>
          <w:p w14:paraId="0008CE0F">
            <w:pPr>
              <w:pStyle w:val="71"/>
              <w:spacing w:line="180" w:lineRule="exact"/>
              <w:ind w:left="113" w:right="113"/>
              <w:jc w:val="center"/>
              <w:rPr>
                <w:rFonts w:cs="Calibri"/>
                <w:color w:val="auto"/>
                <w:spacing w:val="-24"/>
                <w:w w:val="90"/>
                <w:sz w:val="18"/>
                <w:szCs w:val="18"/>
                <w:highlight w:val="none"/>
              </w:rPr>
            </w:pPr>
          </w:p>
        </w:tc>
      </w:tr>
      <w:tr w14:paraId="1757C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3" w:hRule="atLeast"/>
        </w:trPr>
        <w:tc>
          <w:tcPr>
            <w:tcW w:w="251" w:type="dxa"/>
            <w:tcBorders>
              <w:top w:val="nil"/>
              <w:left w:val="nil"/>
              <w:bottom w:val="nil"/>
              <w:right w:val="single" w:color="auto" w:sz="12" w:space="0"/>
            </w:tcBorders>
            <w:noWrap w:val="0"/>
            <w:textDirection w:val="btLr"/>
            <w:vAlign w:val="top"/>
          </w:tcPr>
          <w:p w14:paraId="29FE5E27">
            <w:pPr>
              <w:pStyle w:val="71"/>
              <w:spacing w:line="180" w:lineRule="exact"/>
              <w:ind w:left="113" w:right="113"/>
              <w:jc w:val="center"/>
              <w:rPr>
                <w:rFonts w:cs="Calibri"/>
                <w:color w:val="auto"/>
                <w:spacing w:val="-24"/>
                <w:w w:val="90"/>
                <w:sz w:val="18"/>
                <w:szCs w:val="18"/>
                <w:highlight w:val="none"/>
              </w:rPr>
            </w:pPr>
          </w:p>
        </w:tc>
        <w:tc>
          <w:tcPr>
            <w:tcW w:w="796" w:type="dxa"/>
            <w:vMerge w:val="continue"/>
            <w:tcBorders>
              <w:top w:val="single" w:color="auto" w:sz="6" w:space="0"/>
              <w:left w:val="single" w:color="auto" w:sz="12" w:space="0"/>
              <w:bottom w:val="single" w:color="auto" w:sz="6" w:space="0"/>
              <w:right w:val="single" w:color="auto" w:sz="6" w:space="0"/>
            </w:tcBorders>
            <w:noWrap w:val="0"/>
            <w:textDirection w:val="btLr"/>
            <w:vAlign w:val="center"/>
          </w:tcPr>
          <w:p w14:paraId="262A4E4B">
            <w:pPr>
              <w:pStyle w:val="71"/>
              <w:spacing w:line="180" w:lineRule="exact"/>
              <w:ind w:left="113" w:right="113"/>
              <w:jc w:val="center"/>
              <w:rPr>
                <w:rFonts w:cs="Calibri"/>
                <w:color w:val="auto"/>
                <w:spacing w:val="-24"/>
                <w:w w:val="90"/>
                <w:sz w:val="18"/>
                <w:szCs w:val="18"/>
                <w:highlight w:val="none"/>
              </w:rPr>
            </w:pPr>
          </w:p>
        </w:tc>
        <w:tc>
          <w:tcPr>
            <w:tcW w:w="890" w:type="dxa"/>
            <w:tcBorders>
              <w:top w:val="single" w:color="auto" w:sz="6" w:space="0"/>
              <w:left w:val="single" w:color="auto" w:sz="6" w:space="0"/>
              <w:bottom w:val="single" w:color="auto" w:sz="6" w:space="0"/>
              <w:right w:val="single" w:color="auto" w:sz="6" w:space="0"/>
            </w:tcBorders>
            <w:noWrap w:val="0"/>
            <w:textDirection w:val="btLr"/>
            <w:vAlign w:val="center"/>
          </w:tcPr>
          <w:p w14:paraId="0B613D48">
            <w:pPr>
              <w:pStyle w:val="71"/>
              <w:spacing w:line="180" w:lineRule="exact"/>
              <w:ind w:left="113" w:right="113"/>
              <w:jc w:val="center"/>
              <w:rPr>
                <w:rFonts w:cs="Calibri"/>
                <w:color w:val="auto"/>
                <w:spacing w:val="-24"/>
                <w:sz w:val="18"/>
                <w:szCs w:val="18"/>
                <w:highlight w:val="none"/>
              </w:rPr>
            </w:pPr>
            <w:r>
              <w:rPr>
                <w:rFonts w:cs="宋体"/>
                <w:color w:val="auto"/>
                <w:spacing w:val="-24"/>
                <w:sz w:val="18"/>
                <w:szCs w:val="18"/>
                <w:highlight w:val="none"/>
              </w:rPr>
              <w:t>7</w:t>
            </w:r>
          </w:p>
        </w:tc>
        <w:tc>
          <w:tcPr>
            <w:tcW w:w="455" w:type="dxa"/>
            <w:tcBorders>
              <w:top w:val="single" w:color="auto" w:sz="6" w:space="0"/>
              <w:left w:val="single" w:color="auto" w:sz="6" w:space="0"/>
              <w:bottom w:val="single" w:color="auto" w:sz="6" w:space="0"/>
              <w:right w:val="single" w:color="auto" w:sz="6" w:space="0"/>
            </w:tcBorders>
            <w:noWrap w:val="0"/>
            <w:textDirection w:val="btLr"/>
            <w:vAlign w:val="center"/>
          </w:tcPr>
          <w:p w14:paraId="11F6F33B">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6C162425">
            <w:pPr>
              <w:pStyle w:val="71"/>
              <w:spacing w:line="180" w:lineRule="exact"/>
              <w:ind w:left="113" w:right="113"/>
              <w:jc w:val="center"/>
              <w:rPr>
                <w:rFonts w:cs="Calibri"/>
                <w:color w:val="auto"/>
                <w:spacing w:val="-24"/>
                <w:w w:val="90"/>
                <w:sz w:val="18"/>
                <w:szCs w:val="18"/>
                <w:highlight w:val="none"/>
              </w:rPr>
            </w:pPr>
          </w:p>
        </w:tc>
        <w:tc>
          <w:tcPr>
            <w:tcW w:w="411" w:type="dxa"/>
            <w:tcBorders>
              <w:top w:val="single" w:color="auto" w:sz="6" w:space="0"/>
              <w:left w:val="single" w:color="auto" w:sz="6" w:space="0"/>
              <w:bottom w:val="single" w:color="auto" w:sz="6" w:space="0"/>
              <w:right w:val="single" w:color="auto" w:sz="6" w:space="0"/>
            </w:tcBorders>
            <w:noWrap w:val="0"/>
            <w:textDirection w:val="btLr"/>
            <w:vAlign w:val="center"/>
          </w:tcPr>
          <w:p w14:paraId="0ECA68B7">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0BC20D0C">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27ECCE78">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34454186">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7198BB6F">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57376A24">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4E98BA13">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35CA889F">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61A468A3">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06260FEB">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2AC403E4">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43CC6506">
            <w:pPr>
              <w:pStyle w:val="71"/>
              <w:spacing w:line="180" w:lineRule="exact"/>
              <w:ind w:left="113" w:right="113"/>
              <w:jc w:val="center"/>
              <w:rPr>
                <w:rFonts w:cs="Calibri"/>
                <w:color w:val="auto"/>
                <w:spacing w:val="-24"/>
                <w:w w:val="90"/>
                <w:sz w:val="18"/>
                <w:szCs w:val="18"/>
                <w:highlight w:val="none"/>
              </w:rPr>
            </w:pPr>
          </w:p>
        </w:tc>
        <w:tc>
          <w:tcPr>
            <w:tcW w:w="404" w:type="dxa"/>
            <w:tcBorders>
              <w:top w:val="single" w:color="auto" w:sz="6" w:space="0"/>
              <w:left w:val="single" w:color="auto" w:sz="6" w:space="0"/>
              <w:bottom w:val="single" w:color="auto" w:sz="6" w:space="0"/>
              <w:right w:val="single" w:color="auto" w:sz="6" w:space="0"/>
            </w:tcBorders>
            <w:noWrap w:val="0"/>
            <w:textDirection w:val="btLr"/>
            <w:vAlign w:val="top"/>
          </w:tcPr>
          <w:p w14:paraId="1A3608BC">
            <w:pPr>
              <w:pStyle w:val="71"/>
              <w:spacing w:line="180" w:lineRule="exact"/>
              <w:ind w:left="113" w:right="113"/>
              <w:jc w:val="center"/>
              <w:rPr>
                <w:rFonts w:cs="Calibri"/>
                <w:color w:val="auto"/>
                <w:spacing w:val="-24"/>
                <w:w w:val="90"/>
                <w:sz w:val="18"/>
                <w:szCs w:val="18"/>
                <w:highlight w:val="none"/>
              </w:rPr>
            </w:pPr>
          </w:p>
        </w:tc>
        <w:tc>
          <w:tcPr>
            <w:tcW w:w="392" w:type="dxa"/>
            <w:tcBorders>
              <w:top w:val="single" w:color="auto" w:sz="6" w:space="0"/>
              <w:left w:val="single" w:color="auto" w:sz="6" w:space="0"/>
              <w:bottom w:val="single" w:color="auto" w:sz="6" w:space="0"/>
              <w:right w:val="single" w:color="auto" w:sz="6" w:space="0"/>
            </w:tcBorders>
            <w:noWrap w:val="0"/>
            <w:textDirection w:val="btLr"/>
            <w:vAlign w:val="top"/>
          </w:tcPr>
          <w:p w14:paraId="7A383A6F">
            <w:pPr>
              <w:pStyle w:val="71"/>
              <w:spacing w:line="180" w:lineRule="exact"/>
              <w:ind w:left="113" w:right="113"/>
              <w:jc w:val="center"/>
              <w:rPr>
                <w:rFonts w:cs="Calibri"/>
                <w:color w:val="auto"/>
                <w:spacing w:val="-24"/>
                <w:w w:val="90"/>
                <w:sz w:val="18"/>
                <w:szCs w:val="18"/>
                <w:highlight w:val="none"/>
              </w:rPr>
            </w:pPr>
          </w:p>
        </w:tc>
        <w:tc>
          <w:tcPr>
            <w:tcW w:w="387" w:type="dxa"/>
            <w:tcBorders>
              <w:top w:val="single" w:color="auto" w:sz="6" w:space="0"/>
              <w:left w:val="single" w:color="auto" w:sz="6" w:space="0"/>
              <w:bottom w:val="single" w:color="auto" w:sz="6" w:space="0"/>
              <w:right w:val="single" w:color="auto" w:sz="12" w:space="0"/>
            </w:tcBorders>
            <w:noWrap w:val="0"/>
            <w:textDirection w:val="btLr"/>
            <w:vAlign w:val="center"/>
          </w:tcPr>
          <w:p w14:paraId="090D7242">
            <w:pPr>
              <w:pStyle w:val="71"/>
              <w:spacing w:line="180" w:lineRule="exact"/>
              <w:ind w:left="113" w:right="113"/>
              <w:jc w:val="center"/>
              <w:rPr>
                <w:rFonts w:cs="Calibri"/>
                <w:color w:val="auto"/>
                <w:spacing w:val="-24"/>
                <w:w w:val="90"/>
                <w:sz w:val="18"/>
                <w:szCs w:val="18"/>
                <w:highlight w:val="none"/>
              </w:rPr>
            </w:pPr>
          </w:p>
        </w:tc>
      </w:tr>
      <w:tr w14:paraId="3AC63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4" w:hRule="atLeast"/>
        </w:trPr>
        <w:tc>
          <w:tcPr>
            <w:tcW w:w="251" w:type="dxa"/>
            <w:vMerge w:val="restart"/>
            <w:tcBorders>
              <w:top w:val="nil"/>
              <w:left w:val="nil"/>
              <w:right w:val="single" w:color="auto" w:sz="12" w:space="0"/>
            </w:tcBorders>
            <w:noWrap w:val="0"/>
            <w:textDirection w:val="btLr"/>
            <w:vAlign w:val="center"/>
          </w:tcPr>
          <w:p w14:paraId="6F299F20">
            <w:pPr>
              <w:pStyle w:val="71"/>
              <w:spacing w:line="240" w:lineRule="exact"/>
              <w:ind w:left="113" w:right="113"/>
              <w:rPr>
                <w:rFonts w:ascii="黑体" w:eastAsia="黑体" w:cs="黑体"/>
                <w:color w:val="auto"/>
                <w:spacing w:val="-24"/>
                <w:w w:val="90"/>
                <w:sz w:val="18"/>
                <w:szCs w:val="18"/>
                <w:highlight w:val="none"/>
              </w:rPr>
            </w:pPr>
          </w:p>
        </w:tc>
        <w:tc>
          <w:tcPr>
            <w:tcW w:w="796" w:type="dxa"/>
            <w:vMerge w:val="continue"/>
            <w:tcBorders>
              <w:top w:val="single" w:color="auto" w:sz="6" w:space="0"/>
              <w:left w:val="single" w:color="auto" w:sz="12" w:space="0"/>
              <w:bottom w:val="single" w:color="auto" w:sz="6" w:space="0"/>
              <w:right w:val="single" w:color="auto" w:sz="6" w:space="0"/>
            </w:tcBorders>
            <w:noWrap w:val="0"/>
            <w:textDirection w:val="btLr"/>
            <w:vAlign w:val="center"/>
          </w:tcPr>
          <w:p w14:paraId="0A8BB935">
            <w:pPr>
              <w:pStyle w:val="71"/>
              <w:spacing w:line="180" w:lineRule="exact"/>
              <w:ind w:left="113" w:right="113"/>
              <w:jc w:val="center"/>
              <w:rPr>
                <w:rFonts w:cs="Calibri"/>
                <w:color w:val="auto"/>
                <w:spacing w:val="-24"/>
                <w:w w:val="90"/>
                <w:sz w:val="18"/>
                <w:szCs w:val="18"/>
                <w:highlight w:val="none"/>
              </w:rPr>
            </w:pPr>
          </w:p>
        </w:tc>
        <w:tc>
          <w:tcPr>
            <w:tcW w:w="890" w:type="dxa"/>
            <w:tcBorders>
              <w:top w:val="single" w:color="auto" w:sz="6" w:space="0"/>
              <w:left w:val="single" w:color="auto" w:sz="6" w:space="0"/>
              <w:bottom w:val="single" w:color="auto" w:sz="6" w:space="0"/>
              <w:right w:val="single" w:color="auto" w:sz="6" w:space="0"/>
            </w:tcBorders>
            <w:noWrap w:val="0"/>
            <w:textDirection w:val="btLr"/>
            <w:vAlign w:val="center"/>
          </w:tcPr>
          <w:p w14:paraId="1F6E6363">
            <w:pPr>
              <w:pStyle w:val="71"/>
              <w:spacing w:line="180" w:lineRule="exact"/>
              <w:ind w:left="113" w:right="113"/>
              <w:jc w:val="center"/>
              <w:rPr>
                <w:rFonts w:cs="Calibri"/>
                <w:color w:val="auto"/>
                <w:spacing w:val="-24"/>
                <w:sz w:val="18"/>
                <w:szCs w:val="18"/>
                <w:highlight w:val="none"/>
              </w:rPr>
            </w:pPr>
            <w:r>
              <w:rPr>
                <w:rFonts w:cs="宋体"/>
                <w:color w:val="auto"/>
                <w:spacing w:val="-24"/>
                <w:sz w:val="18"/>
                <w:szCs w:val="18"/>
                <w:highlight w:val="none"/>
              </w:rPr>
              <w:t>6</w:t>
            </w:r>
          </w:p>
        </w:tc>
        <w:tc>
          <w:tcPr>
            <w:tcW w:w="455" w:type="dxa"/>
            <w:tcBorders>
              <w:top w:val="single" w:color="auto" w:sz="6" w:space="0"/>
              <w:left w:val="single" w:color="auto" w:sz="6" w:space="0"/>
              <w:bottom w:val="single" w:color="auto" w:sz="6" w:space="0"/>
              <w:right w:val="single" w:color="auto" w:sz="6" w:space="0"/>
            </w:tcBorders>
            <w:noWrap w:val="0"/>
            <w:textDirection w:val="btLr"/>
            <w:vAlign w:val="center"/>
          </w:tcPr>
          <w:p w14:paraId="31D1125A">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0E7FA54C">
            <w:pPr>
              <w:pStyle w:val="71"/>
              <w:spacing w:line="180" w:lineRule="exact"/>
              <w:ind w:left="113" w:right="113"/>
              <w:jc w:val="center"/>
              <w:rPr>
                <w:rFonts w:cs="Calibri"/>
                <w:color w:val="auto"/>
                <w:spacing w:val="-24"/>
                <w:w w:val="90"/>
                <w:sz w:val="18"/>
                <w:szCs w:val="18"/>
                <w:highlight w:val="none"/>
              </w:rPr>
            </w:pPr>
          </w:p>
        </w:tc>
        <w:tc>
          <w:tcPr>
            <w:tcW w:w="411" w:type="dxa"/>
            <w:tcBorders>
              <w:top w:val="single" w:color="auto" w:sz="6" w:space="0"/>
              <w:left w:val="single" w:color="auto" w:sz="6" w:space="0"/>
              <w:bottom w:val="single" w:color="auto" w:sz="6" w:space="0"/>
              <w:right w:val="single" w:color="auto" w:sz="6" w:space="0"/>
            </w:tcBorders>
            <w:noWrap w:val="0"/>
            <w:textDirection w:val="btLr"/>
            <w:vAlign w:val="center"/>
          </w:tcPr>
          <w:p w14:paraId="1678B0A6">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36C8A826">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1C0147D6">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56B67DFA">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5074F412">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2045D63D">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20D2B5CF">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1A3B11A8">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1096BF4A">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321114AF">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712D2DFB">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0280CD11">
            <w:pPr>
              <w:pStyle w:val="71"/>
              <w:spacing w:line="180" w:lineRule="exact"/>
              <w:ind w:left="113" w:right="113"/>
              <w:jc w:val="center"/>
              <w:rPr>
                <w:rFonts w:cs="Calibri"/>
                <w:color w:val="auto"/>
                <w:spacing w:val="-24"/>
                <w:w w:val="90"/>
                <w:sz w:val="18"/>
                <w:szCs w:val="18"/>
                <w:highlight w:val="none"/>
              </w:rPr>
            </w:pPr>
          </w:p>
        </w:tc>
        <w:tc>
          <w:tcPr>
            <w:tcW w:w="404" w:type="dxa"/>
            <w:tcBorders>
              <w:top w:val="single" w:color="auto" w:sz="6" w:space="0"/>
              <w:left w:val="single" w:color="auto" w:sz="6" w:space="0"/>
              <w:bottom w:val="single" w:color="auto" w:sz="6" w:space="0"/>
              <w:right w:val="single" w:color="auto" w:sz="6" w:space="0"/>
            </w:tcBorders>
            <w:noWrap w:val="0"/>
            <w:textDirection w:val="btLr"/>
            <w:vAlign w:val="top"/>
          </w:tcPr>
          <w:p w14:paraId="344CB323">
            <w:pPr>
              <w:pStyle w:val="71"/>
              <w:spacing w:line="180" w:lineRule="exact"/>
              <w:ind w:left="113" w:right="113"/>
              <w:jc w:val="center"/>
              <w:rPr>
                <w:rFonts w:cs="Calibri"/>
                <w:color w:val="auto"/>
                <w:spacing w:val="-24"/>
                <w:w w:val="90"/>
                <w:sz w:val="18"/>
                <w:szCs w:val="18"/>
                <w:highlight w:val="none"/>
              </w:rPr>
            </w:pPr>
          </w:p>
        </w:tc>
        <w:tc>
          <w:tcPr>
            <w:tcW w:w="392" w:type="dxa"/>
            <w:tcBorders>
              <w:top w:val="single" w:color="auto" w:sz="6" w:space="0"/>
              <w:left w:val="single" w:color="auto" w:sz="6" w:space="0"/>
              <w:bottom w:val="single" w:color="auto" w:sz="6" w:space="0"/>
              <w:right w:val="single" w:color="auto" w:sz="6" w:space="0"/>
            </w:tcBorders>
            <w:noWrap w:val="0"/>
            <w:textDirection w:val="btLr"/>
            <w:vAlign w:val="top"/>
          </w:tcPr>
          <w:p w14:paraId="5236246B">
            <w:pPr>
              <w:pStyle w:val="71"/>
              <w:spacing w:line="180" w:lineRule="exact"/>
              <w:ind w:left="113" w:right="113"/>
              <w:jc w:val="center"/>
              <w:rPr>
                <w:rFonts w:cs="Calibri"/>
                <w:color w:val="auto"/>
                <w:spacing w:val="-24"/>
                <w:w w:val="90"/>
                <w:sz w:val="18"/>
                <w:szCs w:val="18"/>
                <w:highlight w:val="none"/>
              </w:rPr>
            </w:pPr>
          </w:p>
        </w:tc>
        <w:tc>
          <w:tcPr>
            <w:tcW w:w="387" w:type="dxa"/>
            <w:tcBorders>
              <w:top w:val="single" w:color="auto" w:sz="6" w:space="0"/>
              <w:left w:val="single" w:color="auto" w:sz="6" w:space="0"/>
              <w:bottom w:val="single" w:color="auto" w:sz="6" w:space="0"/>
              <w:right w:val="single" w:color="auto" w:sz="12" w:space="0"/>
            </w:tcBorders>
            <w:noWrap w:val="0"/>
            <w:textDirection w:val="btLr"/>
            <w:vAlign w:val="center"/>
          </w:tcPr>
          <w:p w14:paraId="210E5E7E">
            <w:pPr>
              <w:pStyle w:val="71"/>
              <w:spacing w:line="180" w:lineRule="exact"/>
              <w:ind w:left="113" w:right="113"/>
              <w:jc w:val="center"/>
              <w:rPr>
                <w:rFonts w:cs="Calibri"/>
                <w:color w:val="auto"/>
                <w:spacing w:val="-24"/>
                <w:w w:val="90"/>
                <w:sz w:val="18"/>
                <w:szCs w:val="18"/>
                <w:highlight w:val="none"/>
              </w:rPr>
            </w:pPr>
          </w:p>
        </w:tc>
      </w:tr>
      <w:tr w14:paraId="03B77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3" w:hRule="atLeast"/>
        </w:trPr>
        <w:tc>
          <w:tcPr>
            <w:tcW w:w="251" w:type="dxa"/>
            <w:vMerge w:val="continue"/>
            <w:tcBorders>
              <w:left w:val="nil"/>
              <w:right w:val="single" w:color="auto" w:sz="12" w:space="0"/>
            </w:tcBorders>
            <w:noWrap w:val="0"/>
            <w:textDirection w:val="btLr"/>
            <w:vAlign w:val="top"/>
          </w:tcPr>
          <w:p w14:paraId="790B2911">
            <w:pPr>
              <w:pStyle w:val="71"/>
              <w:spacing w:line="240" w:lineRule="exact"/>
              <w:ind w:left="113" w:right="113"/>
              <w:jc w:val="center"/>
              <w:rPr>
                <w:rFonts w:cs="Calibri"/>
                <w:color w:val="auto"/>
                <w:spacing w:val="-24"/>
                <w:w w:val="90"/>
                <w:sz w:val="18"/>
                <w:szCs w:val="18"/>
                <w:highlight w:val="none"/>
              </w:rPr>
            </w:pPr>
          </w:p>
        </w:tc>
        <w:tc>
          <w:tcPr>
            <w:tcW w:w="796" w:type="dxa"/>
            <w:vMerge w:val="continue"/>
            <w:tcBorders>
              <w:top w:val="single" w:color="auto" w:sz="6" w:space="0"/>
              <w:left w:val="single" w:color="auto" w:sz="12" w:space="0"/>
              <w:bottom w:val="single" w:color="auto" w:sz="6" w:space="0"/>
              <w:right w:val="single" w:color="auto" w:sz="6" w:space="0"/>
            </w:tcBorders>
            <w:noWrap w:val="0"/>
            <w:textDirection w:val="btLr"/>
            <w:vAlign w:val="center"/>
          </w:tcPr>
          <w:p w14:paraId="64BDBF26">
            <w:pPr>
              <w:pStyle w:val="71"/>
              <w:spacing w:line="180" w:lineRule="exact"/>
              <w:ind w:left="113" w:right="113"/>
              <w:jc w:val="center"/>
              <w:rPr>
                <w:rFonts w:cs="Calibri"/>
                <w:color w:val="auto"/>
                <w:spacing w:val="-24"/>
                <w:w w:val="90"/>
                <w:sz w:val="18"/>
                <w:szCs w:val="18"/>
                <w:highlight w:val="none"/>
              </w:rPr>
            </w:pPr>
          </w:p>
        </w:tc>
        <w:tc>
          <w:tcPr>
            <w:tcW w:w="890" w:type="dxa"/>
            <w:tcBorders>
              <w:top w:val="single" w:color="auto" w:sz="6" w:space="0"/>
              <w:left w:val="single" w:color="auto" w:sz="6" w:space="0"/>
              <w:bottom w:val="single" w:color="auto" w:sz="6" w:space="0"/>
              <w:right w:val="single" w:color="auto" w:sz="6" w:space="0"/>
            </w:tcBorders>
            <w:noWrap w:val="0"/>
            <w:textDirection w:val="btLr"/>
            <w:vAlign w:val="center"/>
          </w:tcPr>
          <w:p w14:paraId="5BFADA09">
            <w:pPr>
              <w:pStyle w:val="71"/>
              <w:spacing w:line="180" w:lineRule="exact"/>
              <w:ind w:left="113" w:right="113"/>
              <w:jc w:val="center"/>
              <w:rPr>
                <w:rFonts w:cs="Calibri"/>
                <w:color w:val="auto"/>
                <w:spacing w:val="-24"/>
                <w:sz w:val="18"/>
                <w:szCs w:val="18"/>
                <w:highlight w:val="none"/>
              </w:rPr>
            </w:pPr>
            <w:r>
              <w:rPr>
                <w:rFonts w:cs="宋体"/>
                <w:color w:val="auto"/>
                <w:spacing w:val="-24"/>
                <w:sz w:val="18"/>
                <w:szCs w:val="18"/>
                <w:highlight w:val="none"/>
              </w:rPr>
              <w:t>5</w:t>
            </w:r>
          </w:p>
        </w:tc>
        <w:tc>
          <w:tcPr>
            <w:tcW w:w="455" w:type="dxa"/>
            <w:tcBorders>
              <w:top w:val="single" w:color="auto" w:sz="6" w:space="0"/>
              <w:left w:val="single" w:color="auto" w:sz="6" w:space="0"/>
              <w:bottom w:val="single" w:color="auto" w:sz="6" w:space="0"/>
              <w:right w:val="single" w:color="auto" w:sz="6" w:space="0"/>
            </w:tcBorders>
            <w:noWrap w:val="0"/>
            <w:textDirection w:val="btLr"/>
            <w:vAlign w:val="center"/>
          </w:tcPr>
          <w:p w14:paraId="6111A1F2">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283AFC4D">
            <w:pPr>
              <w:pStyle w:val="71"/>
              <w:spacing w:line="180" w:lineRule="exact"/>
              <w:ind w:left="113" w:right="113"/>
              <w:jc w:val="center"/>
              <w:rPr>
                <w:rFonts w:cs="Calibri"/>
                <w:color w:val="auto"/>
                <w:spacing w:val="-24"/>
                <w:w w:val="90"/>
                <w:sz w:val="18"/>
                <w:szCs w:val="18"/>
                <w:highlight w:val="none"/>
              </w:rPr>
            </w:pPr>
          </w:p>
        </w:tc>
        <w:tc>
          <w:tcPr>
            <w:tcW w:w="411" w:type="dxa"/>
            <w:tcBorders>
              <w:top w:val="single" w:color="auto" w:sz="6" w:space="0"/>
              <w:left w:val="single" w:color="auto" w:sz="6" w:space="0"/>
              <w:bottom w:val="single" w:color="auto" w:sz="6" w:space="0"/>
              <w:right w:val="single" w:color="auto" w:sz="6" w:space="0"/>
            </w:tcBorders>
            <w:noWrap w:val="0"/>
            <w:textDirection w:val="btLr"/>
            <w:vAlign w:val="center"/>
          </w:tcPr>
          <w:p w14:paraId="7163398E">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39869C1F">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189D33FA">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2ACD676A">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522F775B">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431C55B7">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77D6BD80">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6050F966">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1C0353BF">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6CFE5C93">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6E2512C6">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22900C82">
            <w:pPr>
              <w:pStyle w:val="71"/>
              <w:spacing w:line="180" w:lineRule="exact"/>
              <w:ind w:left="113" w:right="113"/>
              <w:jc w:val="center"/>
              <w:rPr>
                <w:rFonts w:cs="Calibri"/>
                <w:color w:val="auto"/>
                <w:spacing w:val="-24"/>
                <w:w w:val="90"/>
                <w:sz w:val="18"/>
                <w:szCs w:val="18"/>
                <w:highlight w:val="none"/>
              </w:rPr>
            </w:pPr>
          </w:p>
        </w:tc>
        <w:tc>
          <w:tcPr>
            <w:tcW w:w="404" w:type="dxa"/>
            <w:tcBorders>
              <w:top w:val="single" w:color="auto" w:sz="6" w:space="0"/>
              <w:left w:val="single" w:color="auto" w:sz="6" w:space="0"/>
              <w:bottom w:val="single" w:color="auto" w:sz="6" w:space="0"/>
              <w:right w:val="single" w:color="auto" w:sz="6" w:space="0"/>
            </w:tcBorders>
            <w:noWrap w:val="0"/>
            <w:textDirection w:val="btLr"/>
            <w:vAlign w:val="top"/>
          </w:tcPr>
          <w:p w14:paraId="075C42A3">
            <w:pPr>
              <w:pStyle w:val="71"/>
              <w:spacing w:line="180" w:lineRule="exact"/>
              <w:ind w:left="113" w:right="113"/>
              <w:jc w:val="center"/>
              <w:rPr>
                <w:rFonts w:cs="Calibri"/>
                <w:color w:val="auto"/>
                <w:spacing w:val="-24"/>
                <w:w w:val="90"/>
                <w:sz w:val="18"/>
                <w:szCs w:val="18"/>
                <w:highlight w:val="none"/>
              </w:rPr>
            </w:pPr>
          </w:p>
        </w:tc>
        <w:tc>
          <w:tcPr>
            <w:tcW w:w="392" w:type="dxa"/>
            <w:tcBorders>
              <w:top w:val="single" w:color="auto" w:sz="6" w:space="0"/>
              <w:left w:val="single" w:color="auto" w:sz="6" w:space="0"/>
              <w:bottom w:val="single" w:color="auto" w:sz="6" w:space="0"/>
              <w:right w:val="single" w:color="auto" w:sz="6" w:space="0"/>
            </w:tcBorders>
            <w:noWrap w:val="0"/>
            <w:textDirection w:val="btLr"/>
            <w:vAlign w:val="top"/>
          </w:tcPr>
          <w:p w14:paraId="6F0B1AF1">
            <w:pPr>
              <w:pStyle w:val="71"/>
              <w:spacing w:line="180" w:lineRule="exact"/>
              <w:ind w:left="113" w:right="113"/>
              <w:jc w:val="center"/>
              <w:rPr>
                <w:rFonts w:cs="Calibri"/>
                <w:color w:val="auto"/>
                <w:spacing w:val="-24"/>
                <w:w w:val="90"/>
                <w:sz w:val="18"/>
                <w:szCs w:val="18"/>
                <w:highlight w:val="none"/>
              </w:rPr>
            </w:pPr>
          </w:p>
        </w:tc>
        <w:tc>
          <w:tcPr>
            <w:tcW w:w="387" w:type="dxa"/>
            <w:tcBorders>
              <w:top w:val="single" w:color="auto" w:sz="6" w:space="0"/>
              <w:left w:val="single" w:color="auto" w:sz="6" w:space="0"/>
              <w:bottom w:val="single" w:color="auto" w:sz="6" w:space="0"/>
              <w:right w:val="single" w:color="auto" w:sz="12" w:space="0"/>
            </w:tcBorders>
            <w:noWrap w:val="0"/>
            <w:textDirection w:val="btLr"/>
            <w:vAlign w:val="center"/>
          </w:tcPr>
          <w:p w14:paraId="68F3EFEE">
            <w:pPr>
              <w:pStyle w:val="71"/>
              <w:spacing w:line="180" w:lineRule="exact"/>
              <w:ind w:left="113" w:right="113"/>
              <w:jc w:val="center"/>
              <w:rPr>
                <w:rFonts w:cs="Calibri"/>
                <w:color w:val="auto"/>
                <w:spacing w:val="-24"/>
                <w:w w:val="90"/>
                <w:sz w:val="18"/>
                <w:szCs w:val="18"/>
                <w:highlight w:val="none"/>
              </w:rPr>
            </w:pPr>
          </w:p>
        </w:tc>
      </w:tr>
      <w:tr w14:paraId="1A353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3" w:hRule="atLeast"/>
        </w:trPr>
        <w:tc>
          <w:tcPr>
            <w:tcW w:w="251" w:type="dxa"/>
            <w:vMerge w:val="continue"/>
            <w:tcBorders>
              <w:left w:val="nil"/>
              <w:right w:val="single" w:color="auto" w:sz="12" w:space="0"/>
            </w:tcBorders>
            <w:noWrap w:val="0"/>
            <w:textDirection w:val="btLr"/>
            <w:vAlign w:val="top"/>
          </w:tcPr>
          <w:p w14:paraId="42CDD28E">
            <w:pPr>
              <w:pStyle w:val="71"/>
              <w:spacing w:line="240" w:lineRule="exact"/>
              <w:ind w:left="113" w:right="113"/>
              <w:jc w:val="center"/>
              <w:rPr>
                <w:rFonts w:cs="Calibri"/>
                <w:color w:val="auto"/>
                <w:spacing w:val="-24"/>
                <w:w w:val="90"/>
                <w:sz w:val="18"/>
                <w:szCs w:val="18"/>
                <w:highlight w:val="none"/>
              </w:rPr>
            </w:pPr>
          </w:p>
        </w:tc>
        <w:tc>
          <w:tcPr>
            <w:tcW w:w="796" w:type="dxa"/>
            <w:vMerge w:val="continue"/>
            <w:tcBorders>
              <w:top w:val="single" w:color="auto" w:sz="6" w:space="0"/>
              <w:left w:val="single" w:color="auto" w:sz="12" w:space="0"/>
              <w:bottom w:val="single" w:color="auto" w:sz="6" w:space="0"/>
              <w:right w:val="single" w:color="auto" w:sz="6" w:space="0"/>
            </w:tcBorders>
            <w:noWrap w:val="0"/>
            <w:textDirection w:val="btLr"/>
            <w:vAlign w:val="center"/>
          </w:tcPr>
          <w:p w14:paraId="5D7999B1">
            <w:pPr>
              <w:pStyle w:val="71"/>
              <w:spacing w:line="180" w:lineRule="exact"/>
              <w:ind w:left="113" w:right="113"/>
              <w:jc w:val="center"/>
              <w:rPr>
                <w:rFonts w:cs="Calibri"/>
                <w:color w:val="auto"/>
                <w:spacing w:val="-24"/>
                <w:w w:val="90"/>
                <w:sz w:val="18"/>
                <w:szCs w:val="18"/>
                <w:highlight w:val="none"/>
              </w:rPr>
            </w:pPr>
          </w:p>
        </w:tc>
        <w:tc>
          <w:tcPr>
            <w:tcW w:w="890" w:type="dxa"/>
            <w:tcBorders>
              <w:top w:val="single" w:color="auto" w:sz="6" w:space="0"/>
              <w:left w:val="single" w:color="auto" w:sz="6" w:space="0"/>
              <w:bottom w:val="single" w:color="auto" w:sz="6" w:space="0"/>
              <w:right w:val="single" w:color="auto" w:sz="6" w:space="0"/>
            </w:tcBorders>
            <w:noWrap w:val="0"/>
            <w:textDirection w:val="btLr"/>
            <w:vAlign w:val="center"/>
          </w:tcPr>
          <w:p w14:paraId="0CB894DE">
            <w:pPr>
              <w:pStyle w:val="71"/>
              <w:spacing w:line="180" w:lineRule="exact"/>
              <w:ind w:left="113" w:right="113"/>
              <w:jc w:val="center"/>
              <w:rPr>
                <w:rFonts w:cs="Calibri"/>
                <w:color w:val="auto"/>
                <w:spacing w:val="-24"/>
                <w:sz w:val="18"/>
                <w:szCs w:val="18"/>
                <w:highlight w:val="none"/>
              </w:rPr>
            </w:pPr>
            <w:r>
              <w:rPr>
                <w:rFonts w:cs="宋体"/>
                <w:color w:val="auto"/>
                <w:spacing w:val="-24"/>
                <w:sz w:val="18"/>
                <w:szCs w:val="18"/>
                <w:highlight w:val="none"/>
              </w:rPr>
              <w:t>4</w:t>
            </w:r>
          </w:p>
        </w:tc>
        <w:tc>
          <w:tcPr>
            <w:tcW w:w="455" w:type="dxa"/>
            <w:tcBorders>
              <w:top w:val="single" w:color="auto" w:sz="6" w:space="0"/>
              <w:left w:val="single" w:color="auto" w:sz="6" w:space="0"/>
              <w:bottom w:val="single" w:color="auto" w:sz="6" w:space="0"/>
              <w:right w:val="single" w:color="auto" w:sz="6" w:space="0"/>
            </w:tcBorders>
            <w:noWrap w:val="0"/>
            <w:textDirection w:val="btLr"/>
            <w:vAlign w:val="center"/>
          </w:tcPr>
          <w:p w14:paraId="2052893A">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20CEC1FF">
            <w:pPr>
              <w:pStyle w:val="71"/>
              <w:spacing w:line="180" w:lineRule="exact"/>
              <w:ind w:left="113" w:right="113"/>
              <w:jc w:val="center"/>
              <w:rPr>
                <w:rFonts w:cs="Calibri"/>
                <w:color w:val="auto"/>
                <w:spacing w:val="-24"/>
                <w:w w:val="90"/>
                <w:sz w:val="18"/>
                <w:szCs w:val="18"/>
                <w:highlight w:val="none"/>
              </w:rPr>
            </w:pPr>
          </w:p>
        </w:tc>
        <w:tc>
          <w:tcPr>
            <w:tcW w:w="411" w:type="dxa"/>
            <w:tcBorders>
              <w:top w:val="single" w:color="auto" w:sz="6" w:space="0"/>
              <w:left w:val="single" w:color="auto" w:sz="6" w:space="0"/>
              <w:bottom w:val="single" w:color="auto" w:sz="6" w:space="0"/>
              <w:right w:val="single" w:color="auto" w:sz="6" w:space="0"/>
            </w:tcBorders>
            <w:noWrap w:val="0"/>
            <w:textDirection w:val="btLr"/>
            <w:vAlign w:val="center"/>
          </w:tcPr>
          <w:p w14:paraId="46EC57F9">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5C08A072">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2FE50330">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129AABF7">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0016461C">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3107B9B0">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721D4BF9">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708B579F">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69160733">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5E1A2B40">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4B2CF4FC">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5B9B25BE">
            <w:pPr>
              <w:pStyle w:val="71"/>
              <w:spacing w:line="180" w:lineRule="exact"/>
              <w:ind w:left="113" w:right="113"/>
              <w:jc w:val="center"/>
              <w:rPr>
                <w:rFonts w:cs="Calibri"/>
                <w:color w:val="auto"/>
                <w:spacing w:val="-24"/>
                <w:w w:val="90"/>
                <w:sz w:val="18"/>
                <w:szCs w:val="18"/>
                <w:highlight w:val="none"/>
              </w:rPr>
            </w:pPr>
          </w:p>
        </w:tc>
        <w:tc>
          <w:tcPr>
            <w:tcW w:w="404" w:type="dxa"/>
            <w:tcBorders>
              <w:top w:val="single" w:color="auto" w:sz="6" w:space="0"/>
              <w:left w:val="single" w:color="auto" w:sz="6" w:space="0"/>
              <w:bottom w:val="single" w:color="auto" w:sz="6" w:space="0"/>
              <w:right w:val="single" w:color="auto" w:sz="6" w:space="0"/>
            </w:tcBorders>
            <w:noWrap w:val="0"/>
            <w:textDirection w:val="btLr"/>
            <w:vAlign w:val="top"/>
          </w:tcPr>
          <w:p w14:paraId="575867A8">
            <w:pPr>
              <w:pStyle w:val="71"/>
              <w:spacing w:line="180" w:lineRule="exact"/>
              <w:ind w:left="113" w:right="113"/>
              <w:jc w:val="center"/>
              <w:rPr>
                <w:rFonts w:cs="Calibri"/>
                <w:color w:val="auto"/>
                <w:spacing w:val="-24"/>
                <w:w w:val="90"/>
                <w:sz w:val="18"/>
                <w:szCs w:val="18"/>
                <w:highlight w:val="none"/>
              </w:rPr>
            </w:pPr>
          </w:p>
        </w:tc>
        <w:tc>
          <w:tcPr>
            <w:tcW w:w="392" w:type="dxa"/>
            <w:tcBorders>
              <w:top w:val="single" w:color="auto" w:sz="6" w:space="0"/>
              <w:left w:val="single" w:color="auto" w:sz="6" w:space="0"/>
              <w:bottom w:val="single" w:color="auto" w:sz="6" w:space="0"/>
              <w:right w:val="single" w:color="auto" w:sz="6" w:space="0"/>
            </w:tcBorders>
            <w:noWrap w:val="0"/>
            <w:textDirection w:val="btLr"/>
            <w:vAlign w:val="top"/>
          </w:tcPr>
          <w:p w14:paraId="51DE9065">
            <w:pPr>
              <w:pStyle w:val="71"/>
              <w:spacing w:line="180" w:lineRule="exact"/>
              <w:ind w:left="113" w:right="113"/>
              <w:jc w:val="center"/>
              <w:rPr>
                <w:rFonts w:cs="Calibri"/>
                <w:color w:val="auto"/>
                <w:spacing w:val="-24"/>
                <w:w w:val="90"/>
                <w:sz w:val="18"/>
                <w:szCs w:val="18"/>
                <w:highlight w:val="none"/>
              </w:rPr>
            </w:pPr>
          </w:p>
        </w:tc>
        <w:tc>
          <w:tcPr>
            <w:tcW w:w="387" w:type="dxa"/>
            <w:tcBorders>
              <w:top w:val="single" w:color="auto" w:sz="6" w:space="0"/>
              <w:left w:val="single" w:color="auto" w:sz="6" w:space="0"/>
              <w:bottom w:val="single" w:color="auto" w:sz="6" w:space="0"/>
              <w:right w:val="single" w:color="auto" w:sz="12" w:space="0"/>
            </w:tcBorders>
            <w:noWrap w:val="0"/>
            <w:textDirection w:val="btLr"/>
            <w:vAlign w:val="center"/>
          </w:tcPr>
          <w:p w14:paraId="3E8D7606">
            <w:pPr>
              <w:pStyle w:val="71"/>
              <w:spacing w:line="180" w:lineRule="exact"/>
              <w:ind w:left="113" w:right="113"/>
              <w:jc w:val="center"/>
              <w:rPr>
                <w:rFonts w:cs="Calibri"/>
                <w:color w:val="auto"/>
                <w:spacing w:val="-24"/>
                <w:w w:val="90"/>
                <w:sz w:val="18"/>
                <w:szCs w:val="18"/>
                <w:highlight w:val="none"/>
              </w:rPr>
            </w:pPr>
          </w:p>
        </w:tc>
      </w:tr>
      <w:tr w14:paraId="04C6B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4" w:hRule="atLeast"/>
        </w:trPr>
        <w:tc>
          <w:tcPr>
            <w:tcW w:w="251" w:type="dxa"/>
            <w:vMerge w:val="continue"/>
            <w:tcBorders>
              <w:left w:val="nil"/>
              <w:right w:val="single" w:color="auto" w:sz="12" w:space="0"/>
            </w:tcBorders>
            <w:noWrap w:val="0"/>
            <w:textDirection w:val="btLr"/>
            <w:vAlign w:val="top"/>
          </w:tcPr>
          <w:p w14:paraId="2B105936">
            <w:pPr>
              <w:pStyle w:val="71"/>
              <w:spacing w:line="240" w:lineRule="exact"/>
              <w:ind w:left="113" w:right="113"/>
              <w:jc w:val="center"/>
              <w:rPr>
                <w:rFonts w:cs="Calibri"/>
                <w:color w:val="auto"/>
                <w:spacing w:val="-24"/>
                <w:w w:val="90"/>
                <w:sz w:val="18"/>
                <w:szCs w:val="18"/>
                <w:highlight w:val="none"/>
              </w:rPr>
            </w:pPr>
          </w:p>
        </w:tc>
        <w:tc>
          <w:tcPr>
            <w:tcW w:w="796" w:type="dxa"/>
            <w:vMerge w:val="continue"/>
            <w:tcBorders>
              <w:top w:val="single" w:color="auto" w:sz="6" w:space="0"/>
              <w:left w:val="single" w:color="auto" w:sz="12" w:space="0"/>
              <w:bottom w:val="single" w:color="auto" w:sz="6" w:space="0"/>
              <w:right w:val="single" w:color="auto" w:sz="6" w:space="0"/>
            </w:tcBorders>
            <w:noWrap w:val="0"/>
            <w:textDirection w:val="btLr"/>
            <w:vAlign w:val="center"/>
          </w:tcPr>
          <w:p w14:paraId="0CA31D29">
            <w:pPr>
              <w:pStyle w:val="71"/>
              <w:spacing w:line="180" w:lineRule="exact"/>
              <w:ind w:left="113" w:right="113"/>
              <w:jc w:val="center"/>
              <w:rPr>
                <w:rFonts w:cs="Calibri"/>
                <w:color w:val="auto"/>
                <w:spacing w:val="-24"/>
                <w:w w:val="90"/>
                <w:sz w:val="18"/>
                <w:szCs w:val="18"/>
                <w:highlight w:val="none"/>
              </w:rPr>
            </w:pPr>
          </w:p>
        </w:tc>
        <w:tc>
          <w:tcPr>
            <w:tcW w:w="890" w:type="dxa"/>
            <w:tcBorders>
              <w:top w:val="single" w:color="auto" w:sz="6" w:space="0"/>
              <w:left w:val="single" w:color="auto" w:sz="6" w:space="0"/>
              <w:bottom w:val="single" w:color="auto" w:sz="6" w:space="0"/>
              <w:right w:val="single" w:color="auto" w:sz="6" w:space="0"/>
            </w:tcBorders>
            <w:noWrap w:val="0"/>
            <w:textDirection w:val="btLr"/>
            <w:vAlign w:val="center"/>
          </w:tcPr>
          <w:p w14:paraId="161B5FCB">
            <w:pPr>
              <w:pStyle w:val="71"/>
              <w:spacing w:line="180" w:lineRule="exact"/>
              <w:ind w:left="113" w:right="113"/>
              <w:jc w:val="center"/>
              <w:rPr>
                <w:rFonts w:cs="Calibri"/>
                <w:color w:val="auto"/>
                <w:spacing w:val="-24"/>
                <w:sz w:val="18"/>
                <w:szCs w:val="18"/>
                <w:highlight w:val="none"/>
              </w:rPr>
            </w:pPr>
            <w:r>
              <w:rPr>
                <w:rFonts w:cs="宋体"/>
                <w:color w:val="auto"/>
                <w:spacing w:val="-24"/>
                <w:sz w:val="18"/>
                <w:szCs w:val="18"/>
                <w:highlight w:val="none"/>
              </w:rPr>
              <w:t>3</w:t>
            </w:r>
          </w:p>
        </w:tc>
        <w:tc>
          <w:tcPr>
            <w:tcW w:w="455" w:type="dxa"/>
            <w:tcBorders>
              <w:top w:val="single" w:color="auto" w:sz="6" w:space="0"/>
              <w:left w:val="single" w:color="auto" w:sz="6" w:space="0"/>
              <w:bottom w:val="single" w:color="auto" w:sz="6" w:space="0"/>
              <w:right w:val="single" w:color="auto" w:sz="6" w:space="0"/>
            </w:tcBorders>
            <w:noWrap w:val="0"/>
            <w:textDirection w:val="btLr"/>
            <w:vAlign w:val="center"/>
          </w:tcPr>
          <w:p w14:paraId="241AF08C">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3BF0FDF0">
            <w:pPr>
              <w:pStyle w:val="71"/>
              <w:spacing w:line="180" w:lineRule="exact"/>
              <w:ind w:left="113" w:right="113"/>
              <w:jc w:val="center"/>
              <w:rPr>
                <w:rFonts w:cs="Calibri"/>
                <w:color w:val="auto"/>
                <w:spacing w:val="-24"/>
                <w:w w:val="90"/>
                <w:sz w:val="18"/>
                <w:szCs w:val="18"/>
                <w:highlight w:val="none"/>
              </w:rPr>
            </w:pPr>
          </w:p>
        </w:tc>
        <w:tc>
          <w:tcPr>
            <w:tcW w:w="411" w:type="dxa"/>
            <w:tcBorders>
              <w:top w:val="single" w:color="auto" w:sz="6" w:space="0"/>
              <w:left w:val="single" w:color="auto" w:sz="6" w:space="0"/>
              <w:bottom w:val="single" w:color="auto" w:sz="6" w:space="0"/>
              <w:right w:val="single" w:color="auto" w:sz="6" w:space="0"/>
            </w:tcBorders>
            <w:noWrap w:val="0"/>
            <w:textDirection w:val="btLr"/>
            <w:vAlign w:val="center"/>
          </w:tcPr>
          <w:p w14:paraId="566E500F">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2CF16DFF">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6419D1AA">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4204CFA8">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5AFFE957">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68BC3377">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0EF34D59">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62BA64B0">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34E4121F">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0D3181D0">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01029EF5">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5B08F1C1">
            <w:pPr>
              <w:pStyle w:val="71"/>
              <w:spacing w:line="180" w:lineRule="exact"/>
              <w:ind w:left="113" w:right="113"/>
              <w:jc w:val="center"/>
              <w:rPr>
                <w:rFonts w:cs="Calibri"/>
                <w:color w:val="auto"/>
                <w:spacing w:val="-24"/>
                <w:w w:val="90"/>
                <w:sz w:val="18"/>
                <w:szCs w:val="18"/>
                <w:highlight w:val="none"/>
              </w:rPr>
            </w:pPr>
          </w:p>
        </w:tc>
        <w:tc>
          <w:tcPr>
            <w:tcW w:w="404" w:type="dxa"/>
            <w:tcBorders>
              <w:top w:val="single" w:color="auto" w:sz="6" w:space="0"/>
              <w:left w:val="single" w:color="auto" w:sz="6" w:space="0"/>
              <w:bottom w:val="single" w:color="auto" w:sz="6" w:space="0"/>
              <w:right w:val="single" w:color="auto" w:sz="6" w:space="0"/>
            </w:tcBorders>
            <w:noWrap w:val="0"/>
            <w:textDirection w:val="btLr"/>
            <w:vAlign w:val="top"/>
          </w:tcPr>
          <w:p w14:paraId="01DBA256">
            <w:pPr>
              <w:pStyle w:val="71"/>
              <w:spacing w:line="180" w:lineRule="exact"/>
              <w:ind w:left="113" w:right="113"/>
              <w:jc w:val="center"/>
              <w:rPr>
                <w:rFonts w:cs="Calibri"/>
                <w:color w:val="auto"/>
                <w:spacing w:val="-24"/>
                <w:w w:val="90"/>
                <w:sz w:val="18"/>
                <w:szCs w:val="18"/>
                <w:highlight w:val="none"/>
              </w:rPr>
            </w:pPr>
          </w:p>
        </w:tc>
        <w:tc>
          <w:tcPr>
            <w:tcW w:w="392" w:type="dxa"/>
            <w:tcBorders>
              <w:top w:val="single" w:color="auto" w:sz="6" w:space="0"/>
              <w:left w:val="single" w:color="auto" w:sz="6" w:space="0"/>
              <w:bottom w:val="single" w:color="auto" w:sz="6" w:space="0"/>
              <w:right w:val="single" w:color="auto" w:sz="6" w:space="0"/>
            </w:tcBorders>
            <w:noWrap w:val="0"/>
            <w:textDirection w:val="btLr"/>
            <w:vAlign w:val="top"/>
          </w:tcPr>
          <w:p w14:paraId="62170F8E">
            <w:pPr>
              <w:pStyle w:val="71"/>
              <w:spacing w:line="180" w:lineRule="exact"/>
              <w:ind w:left="113" w:right="113"/>
              <w:jc w:val="center"/>
              <w:rPr>
                <w:rFonts w:cs="Calibri"/>
                <w:color w:val="auto"/>
                <w:spacing w:val="-24"/>
                <w:w w:val="90"/>
                <w:sz w:val="18"/>
                <w:szCs w:val="18"/>
                <w:highlight w:val="none"/>
              </w:rPr>
            </w:pPr>
          </w:p>
        </w:tc>
        <w:tc>
          <w:tcPr>
            <w:tcW w:w="387" w:type="dxa"/>
            <w:tcBorders>
              <w:top w:val="single" w:color="auto" w:sz="6" w:space="0"/>
              <w:left w:val="single" w:color="auto" w:sz="6" w:space="0"/>
              <w:bottom w:val="single" w:color="auto" w:sz="6" w:space="0"/>
              <w:right w:val="single" w:color="auto" w:sz="12" w:space="0"/>
            </w:tcBorders>
            <w:noWrap w:val="0"/>
            <w:textDirection w:val="btLr"/>
            <w:vAlign w:val="center"/>
          </w:tcPr>
          <w:p w14:paraId="1A72DC6C">
            <w:pPr>
              <w:pStyle w:val="71"/>
              <w:spacing w:line="180" w:lineRule="exact"/>
              <w:ind w:left="113" w:right="113"/>
              <w:jc w:val="center"/>
              <w:rPr>
                <w:rFonts w:cs="Calibri"/>
                <w:color w:val="auto"/>
                <w:spacing w:val="-24"/>
                <w:w w:val="90"/>
                <w:sz w:val="18"/>
                <w:szCs w:val="18"/>
                <w:highlight w:val="none"/>
              </w:rPr>
            </w:pPr>
          </w:p>
        </w:tc>
      </w:tr>
      <w:tr w14:paraId="0986F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3" w:hRule="atLeast"/>
        </w:trPr>
        <w:tc>
          <w:tcPr>
            <w:tcW w:w="251" w:type="dxa"/>
            <w:vMerge w:val="continue"/>
            <w:tcBorders>
              <w:left w:val="nil"/>
              <w:right w:val="single" w:color="auto" w:sz="12" w:space="0"/>
            </w:tcBorders>
            <w:noWrap w:val="0"/>
            <w:textDirection w:val="btLr"/>
            <w:vAlign w:val="top"/>
          </w:tcPr>
          <w:p w14:paraId="20C31646">
            <w:pPr>
              <w:pStyle w:val="71"/>
              <w:spacing w:line="240" w:lineRule="exact"/>
              <w:ind w:left="113" w:right="113"/>
              <w:jc w:val="center"/>
              <w:rPr>
                <w:rFonts w:cs="Calibri"/>
                <w:color w:val="auto"/>
                <w:spacing w:val="-24"/>
                <w:w w:val="90"/>
                <w:sz w:val="18"/>
                <w:szCs w:val="18"/>
                <w:highlight w:val="none"/>
              </w:rPr>
            </w:pPr>
          </w:p>
        </w:tc>
        <w:tc>
          <w:tcPr>
            <w:tcW w:w="796" w:type="dxa"/>
            <w:vMerge w:val="continue"/>
            <w:tcBorders>
              <w:top w:val="single" w:color="auto" w:sz="6" w:space="0"/>
              <w:left w:val="single" w:color="auto" w:sz="12" w:space="0"/>
              <w:bottom w:val="single" w:color="auto" w:sz="6" w:space="0"/>
              <w:right w:val="single" w:color="auto" w:sz="6" w:space="0"/>
            </w:tcBorders>
            <w:noWrap w:val="0"/>
            <w:textDirection w:val="btLr"/>
            <w:vAlign w:val="center"/>
          </w:tcPr>
          <w:p w14:paraId="43901C0C">
            <w:pPr>
              <w:pStyle w:val="71"/>
              <w:spacing w:line="180" w:lineRule="exact"/>
              <w:ind w:left="113" w:right="113"/>
              <w:jc w:val="center"/>
              <w:rPr>
                <w:rFonts w:cs="Calibri"/>
                <w:color w:val="auto"/>
                <w:spacing w:val="-24"/>
                <w:w w:val="90"/>
                <w:sz w:val="18"/>
                <w:szCs w:val="18"/>
                <w:highlight w:val="none"/>
              </w:rPr>
            </w:pPr>
          </w:p>
        </w:tc>
        <w:tc>
          <w:tcPr>
            <w:tcW w:w="890" w:type="dxa"/>
            <w:tcBorders>
              <w:top w:val="single" w:color="auto" w:sz="6" w:space="0"/>
              <w:left w:val="single" w:color="auto" w:sz="6" w:space="0"/>
              <w:bottom w:val="single" w:color="auto" w:sz="6" w:space="0"/>
              <w:right w:val="single" w:color="auto" w:sz="6" w:space="0"/>
            </w:tcBorders>
            <w:noWrap w:val="0"/>
            <w:textDirection w:val="btLr"/>
            <w:vAlign w:val="center"/>
          </w:tcPr>
          <w:p w14:paraId="5750D509">
            <w:pPr>
              <w:pStyle w:val="71"/>
              <w:spacing w:line="180" w:lineRule="exact"/>
              <w:ind w:left="113" w:right="113"/>
              <w:jc w:val="center"/>
              <w:rPr>
                <w:rFonts w:cs="Calibri"/>
                <w:color w:val="auto"/>
                <w:spacing w:val="-24"/>
                <w:sz w:val="18"/>
                <w:szCs w:val="18"/>
                <w:highlight w:val="none"/>
              </w:rPr>
            </w:pPr>
            <w:r>
              <w:rPr>
                <w:rFonts w:cs="宋体"/>
                <w:color w:val="auto"/>
                <w:spacing w:val="-24"/>
                <w:sz w:val="18"/>
                <w:szCs w:val="18"/>
                <w:highlight w:val="none"/>
              </w:rPr>
              <w:t>2</w:t>
            </w:r>
          </w:p>
        </w:tc>
        <w:tc>
          <w:tcPr>
            <w:tcW w:w="455" w:type="dxa"/>
            <w:tcBorders>
              <w:top w:val="single" w:color="auto" w:sz="6" w:space="0"/>
              <w:left w:val="single" w:color="auto" w:sz="6" w:space="0"/>
              <w:bottom w:val="single" w:color="auto" w:sz="6" w:space="0"/>
              <w:right w:val="single" w:color="auto" w:sz="6" w:space="0"/>
            </w:tcBorders>
            <w:noWrap w:val="0"/>
            <w:textDirection w:val="btLr"/>
            <w:vAlign w:val="center"/>
          </w:tcPr>
          <w:p w14:paraId="4BE706F8">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12614171">
            <w:pPr>
              <w:pStyle w:val="71"/>
              <w:spacing w:line="180" w:lineRule="exact"/>
              <w:ind w:left="113" w:right="113"/>
              <w:jc w:val="center"/>
              <w:rPr>
                <w:rFonts w:cs="Calibri"/>
                <w:color w:val="auto"/>
                <w:spacing w:val="-24"/>
                <w:w w:val="90"/>
                <w:sz w:val="18"/>
                <w:szCs w:val="18"/>
                <w:highlight w:val="none"/>
              </w:rPr>
            </w:pPr>
          </w:p>
        </w:tc>
        <w:tc>
          <w:tcPr>
            <w:tcW w:w="411" w:type="dxa"/>
            <w:tcBorders>
              <w:top w:val="single" w:color="auto" w:sz="6" w:space="0"/>
              <w:left w:val="single" w:color="auto" w:sz="6" w:space="0"/>
              <w:bottom w:val="single" w:color="auto" w:sz="6" w:space="0"/>
              <w:right w:val="single" w:color="auto" w:sz="6" w:space="0"/>
            </w:tcBorders>
            <w:noWrap w:val="0"/>
            <w:textDirection w:val="btLr"/>
            <w:vAlign w:val="center"/>
          </w:tcPr>
          <w:p w14:paraId="46D762BD">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2B3F086D">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4B38C37C">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6DA82506">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5AFC79DE">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41D02F79">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22307909">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461C25B1">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132E95BA">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38792F49">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65DB25CD">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0DF31FE0">
            <w:pPr>
              <w:pStyle w:val="71"/>
              <w:spacing w:line="180" w:lineRule="exact"/>
              <w:ind w:left="113" w:right="113"/>
              <w:jc w:val="center"/>
              <w:rPr>
                <w:rFonts w:cs="Calibri"/>
                <w:color w:val="auto"/>
                <w:spacing w:val="-24"/>
                <w:w w:val="90"/>
                <w:sz w:val="18"/>
                <w:szCs w:val="18"/>
                <w:highlight w:val="none"/>
              </w:rPr>
            </w:pPr>
          </w:p>
        </w:tc>
        <w:tc>
          <w:tcPr>
            <w:tcW w:w="404" w:type="dxa"/>
            <w:tcBorders>
              <w:top w:val="single" w:color="auto" w:sz="6" w:space="0"/>
              <w:left w:val="single" w:color="auto" w:sz="6" w:space="0"/>
              <w:bottom w:val="single" w:color="auto" w:sz="6" w:space="0"/>
              <w:right w:val="single" w:color="auto" w:sz="6" w:space="0"/>
            </w:tcBorders>
            <w:noWrap w:val="0"/>
            <w:textDirection w:val="btLr"/>
            <w:vAlign w:val="top"/>
          </w:tcPr>
          <w:p w14:paraId="0E2F00EE">
            <w:pPr>
              <w:pStyle w:val="71"/>
              <w:spacing w:line="180" w:lineRule="exact"/>
              <w:ind w:left="113" w:right="113"/>
              <w:jc w:val="center"/>
              <w:rPr>
                <w:rFonts w:cs="Calibri"/>
                <w:color w:val="auto"/>
                <w:spacing w:val="-24"/>
                <w:w w:val="90"/>
                <w:sz w:val="18"/>
                <w:szCs w:val="18"/>
                <w:highlight w:val="none"/>
              </w:rPr>
            </w:pPr>
          </w:p>
        </w:tc>
        <w:tc>
          <w:tcPr>
            <w:tcW w:w="392" w:type="dxa"/>
            <w:tcBorders>
              <w:top w:val="single" w:color="auto" w:sz="6" w:space="0"/>
              <w:left w:val="single" w:color="auto" w:sz="6" w:space="0"/>
              <w:bottom w:val="single" w:color="auto" w:sz="6" w:space="0"/>
              <w:right w:val="single" w:color="auto" w:sz="6" w:space="0"/>
            </w:tcBorders>
            <w:noWrap w:val="0"/>
            <w:textDirection w:val="btLr"/>
            <w:vAlign w:val="top"/>
          </w:tcPr>
          <w:p w14:paraId="707B5E08">
            <w:pPr>
              <w:pStyle w:val="71"/>
              <w:spacing w:line="180" w:lineRule="exact"/>
              <w:ind w:left="113" w:right="113"/>
              <w:jc w:val="center"/>
              <w:rPr>
                <w:rFonts w:cs="Calibri"/>
                <w:color w:val="auto"/>
                <w:spacing w:val="-24"/>
                <w:w w:val="90"/>
                <w:sz w:val="18"/>
                <w:szCs w:val="18"/>
                <w:highlight w:val="none"/>
              </w:rPr>
            </w:pPr>
          </w:p>
        </w:tc>
        <w:tc>
          <w:tcPr>
            <w:tcW w:w="387" w:type="dxa"/>
            <w:tcBorders>
              <w:top w:val="single" w:color="auto" w:sz="6" w:space="0"/>
              <w:left w:val="single" w:color="auto" w:sz="6" w:space="0"/>
              <w:bottom w:val="single" w:color="auto" w:sz="6" w:space="0"/>
              <w:right w:val="single" w:color="auto" w:sz="12" w:space="0"/>
            </w:tcBorders>
            <w:noWrap w:val="0"/>
            <w:textDirection w:val="btLr"/>
            <w:vAlign w:val="center"/>
          </w:tcPr>
          <w:p w14:paraId="71378F5C">
            <w:pPr>
              <w:pStyle w:val="71"/>
              <w:spacing w:line="180" w:lineRule="exact"/>
              <w:ind w:left="113" w:right="113"/>
              <w:jc w:val="center"/>
              <w:rPr>
                <w:rFonts w:cs="Calibri"/>
                <w:color w:val="auto"/>
                <w:spacing w:val="-24"/>
                <w:w w:val="90"/>
                <w:sz w:val="18"/>
                <w:szCs w:val="18"/>
                <w:highlight w:val="none"/>
              </w:rPr>
            </w:pPr>
          </w:p>
        </w:tc>
      </w:tr>
      <w:tr w14:paraId="7231E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4" w:hRule="atLeast"/>
        </w:trPr>
        <w:tc>
          <w:tcPr>
            <w:tcW w:w="251" w:type="dxa"/>
            <w:vMerge w:val="continue"/>
            <w:tcBorders>
              <w:left w:val="nil"/>
              <w:right w:val="single" w:color="auto" w:sz="12" w:space="0"/>
            </w:tcBorders>
            <w:noWrap w:val="0"/>
            <w:textDirection w:val="btLr"/>
            <w:vAlign w:val="top"/>
          </w:tcPr>
          <w:p w14:paraId="3CE32899">
            <w:pPr>
              <w:pStyle w:val="71"/>
              <w:spacing w:line="240" w:lineRule="exact"/>
              <w:ind w:left="113" w:right="113"/>
              <w:jc w:val="center"/>
              <w:rPr>
                <w:rFonts w:cs="Calibri"/>
                <w:color w:val="auto"/>
                <w:spacing w:val="-24"/>
                <w:w w:val="90"/>
                <w:sz w:val="18"/>
                <w:szCs w:val="18"/>
                <w:highlight w:val="none"/>
              </w:rPr>
            </w:pPr>
          </w:p>
        </w:tc>
        <w:tc>
          <w:tcPr>
            <w:tcW w:w="796" w:type="dxa"/>
            <w:vMerge w:val="continue"/>
            <w:tcBorders>
              <w:top w:val="single" w:color="auto" w:sz="6" w:space="0"/>
              <w:left w:val="single" w:color="auto" w:sz="12" w:space="0"/>
              <w:bottom w:val="single" w:color="auto" w:sz="6" w:space="0"/>
              <w:right w:val="single" w:color="auto" w:sz="6" w:space="0"/>
            </w:tcBorders>
            <w:noWrap w:val="0"/>
            <w:textDirection w:val="btLr"/>
            <w:vAlign w:val="center"/>
          </w:tcPr>
          <w:p w14:paraId="0978BD02">
            <w:pPr>
              <w:pStyle w:val="71"/>
              <w:spacing w:line="180" w:lineRule="exact"/>
              <w:ind w:left="113" w:right="113"/>
              <w:jc w:val="center"/>
              <w:rPr>
                <w:rFonts w:cs="Calibri"/>
                <w:color w:val="auto"/>
                <w:spacing w:val="-24"/>
                <w:w w:val="90"/>
                <w:sz w:val="18"/>
                <w:szCs w:val="18"/>
                <w:highlight w:val="none"/>
              </w:rPr>
            </w:pPr>
          </w:p>
        </w:tc>
        <w:tc>
          <w:tcPr>
            <w:tcW w:w="890" w:type="dxa"/>
            <w:tcBorders>
              <w:top w:val="single" w:color="auto" w:sz="6" w:space="0"/>
              <w:left w:val="single" w:color="auto" w:sz="6" w:space="0"/>
              <w:bottom w:val="single" w:color="auto" w:sz="6" w:space="0"/>
              <w:right w:val="single" w:color="auto" w:sz="6" w:space="0"/>
            </w:tcBorders>
            <w:noWrap w:val="0"/>
            <w:textDirection w:val="btLr"/>
            <w:vAlign w:val="center"/>
          </w:tcPr>
          <w:p w14:paraId="0816AA04">
            <w:pPr>
              <w:pStyle w:val="71"/>
              <w:spacing w:line="180" w:lineRule="exact"/>
              <w:ind w:left="113" w:right="113"/>
              <w:jc w:val="center"/>
              <w:rPr>
                <w:rFonts w:cs="Calibri"/>
                <w:color w:val="auto"/>
                <w:spacing w:val="-24"/>
                <w:sz w:val="18"/>
                <w:szCs w:val="18"/>
                <w:highlight w:val="none"/>
              </w:rPr>
            </w:pPr>
            <w:r>
              <w:rPr>
                <w:rFonts w:cs="宋体"/>
                <w:color w:val="auto"/>
                <w:spacing w:val="-24"/>
                <w:sz w:val="18"/>
                <w:szCs w:val="18"/>
                <w:highlight w:val="none"/>
              </w:rPr>
              <w:t>1</w:t>
            </w:r>
          </w:p>
        </w:tc>
        <w:tc>
          <w:tcPr>
            <w:tcW w:w="455" w:type="dxa"/>
            <w:tcBorders>
              <w:top w:val="single" w:color="auto" w:sz="6" w:space="0"/>
              <w:left w:val="single" w:color="auto" w:sz="6" w:space="0"/>
              <w:bottom w:val="single" w:color="auto" w:sz="6" w:space="0"/>
              <w:right w:val="single" w:color="auto" w:sz="6" w:space="0"/>
            </w:tcBorders>
            <w:noWrap w:val="0"/>
            <w:textDirection w:val="btLr"/>
            <w:vAlign w:val="center"/>
          </w:tcPr>
          <w:p w14:paraId="2E928231">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1546FE68">
            <w:pPr>
              <w:pStyle w:val="71"/>
              <w:spacing w:line="180" w:lineRule="exact"/>
              <w:ind w:left="113" w:right="113"/>
              <w:jc w:val="center"/>
              <w:rPr>
                <w:rFonts w:cs="Calibri"/>
                <w:color w:val="auto"/>
                <w:spacing w:val="-24"/>
                <w:w w:val="90"/>
                <w:sz w:val="18"/>
                <w:szCs w:val="18"/>
                <w:highlight w:val="none"/>
              </w:rPr>
            </w:pPr>
          </w:p>
        </w:tc>
        <w:tc>
          <w:tcPr>
            <w:tcW w:w="411" w:type="dxa"/>
            <w:tcBorders>
              <w:top w:val="single" w:color="auto" w:sz="6" w:space="0"/>
              <w:left w:val="single" w:color="auto" w:sz="6" w:space="0"/>
              <w:bottom w:val="single" w:color="auto" w:sz="6" w:space="0"/>
              <w:right w:val="single" w:color="auto" w:sz="6" w:space="0"/>
            </w:tcBorders>
            <w:noWrap w:val="0"/>
            <w:textDirection w:val="btLr"/>
            <w:vAlign w:val="center"/>
          </w:tcPr>
          <w:p w14:paraId="691AAC44">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798B5ABF">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255E2E40">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17FA3CC4">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5BFA9F3B">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0753D36C">
            <w:pPr>
              <w:pStyle w:val="71"/>
              <w:spacing w:line="180" w:lineRule="exact"/>
              <w:ind w:left="113" w:right="113"/>
              <w:jc w:val="center"/>
              <w:rPr>
                <w:rFonts w:cs="Calibri"/>
                <w:color w:val="auto"/>
                <w:spacing w:val="-24"/>
                <w:w w:val="90"/>
                <w:sz w:val="18"/>
                <w:szCs w:val="18"/>
                <w:highlight w:val="none"/>
              </w:rPr>
            </w:pPr>
          </w:p>
        </w:tc>
        <w:tc>
          <w:tcPr>
            <w:tcW w:w="406" w:type="dxa"/>
            <w:tcBorders>
              <w:top w:val="single" w:color="auto" w:sz="6" w:space="0"/>
              <w:left w:val="single" w:color="auto" w:sz="6" w:space="0"/>
              <w:bottom w:val="single" w:color="auto" w:sz="6" w:space="0"/>
              <w:right w:val="single" w:color="auto" w:sz="6" w:space="0"/>
            </w:tcBorders>
            <w:noWrap w:val="0"/>
            <w:textDirection w:val="btLr"/>
            <w:vAlign w:val="center"/>
          </w:tcPr>
          <w:p w14:paraId="526915CF">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34C96C7A">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2CEFB41D">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50209F80">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46567A80">
            <w:pPr>
              <w:pStyle w:val="71"/>
              <w:spacing w:line="180" w:lineRule="exact"/>
              <w:ind w:left="113" w:right="113"/>
              <w:jc w:val="center"/>
              <w:rPr>
                <w:rFonts w:cs="Calibri"/>
                <w:color w:val="auto"/>
                <w:spacing w:val="-24"/>
                <w:w w:val="90"/>
                <w:sz w:val="18"/>
                <w:szCs w:val="18"/>
                <w:highlight w:val="none"/>
              </w:rPr>
            </w:pPr>
          </w:p>
        </w:tc>
        <w:tc>
          <w:tcPr>
            <w:tcW w:w="410" w:type="dxa"/>
            <w:tcBorders>
              <w:top w:val="single" w:color="auto" w:sz="6" w:space="0"/>
              <w:left w:val="single" w:color="auto" w:sz="6" w:space="0"/>
              <w:bottom w:val="single" w:color="auto" w:sz="6" w:space="0"/>
              <w:right w:val="single" w:color="auto" w:sz="6" w:space="0"/>
            </w:tcBorders>
            <w:noWrap w:val="0"/>
            <w:textDirection w:val="btLr"/>
            <w:vAlign w:val="center"/>
          </w:tcPr>
          <w:p w14:paraId="5BEE5914">
            <w:pPr>
              <w:pStyle w:val="71"/>
              <w:spacing w:line="180" w:lineRule="exact"/>
              <w:ind w:left="113" w:right="113"/>
              <w:jc w:val="center"/>
              <w:rPr>
                <w:rFonts w:cs="Calibri"/>
                <w:color w:val="auto"/>
                <w:spacing w:val="-24"/>
                <w:w w:val="90"/>
                <w:sz w:val="18"/>
                <w:szCs w:val="18"/>
                <w:highlight w:val="none"/>
              </w:rPr>
            </w:pPr>
          </w:p>
        </w:tc>
        <w:tc>
          <w:tcPr>
            <w:tcW w:w="404" w:type="dxa"/>
            <w:tcBorders>
              <w:top w:val="single" w:color="auto" w:sz="6" w:space="0"/>
              <w:left w:val="single" w:color="auto" w:sz="6" w:space="0"/>
              <w:bottom w:val="single" w:color="auto" w:sz="6" w:space="0"/>
              <w:right w:val="single" w:color="auto" w:sz="6" w:space="0"/>
            </w:tcBorders>
            <w:noWrap w:val="0"/>
            <w:textDirection w:val="btLr"/>
            <w:vAlign w:val="top"/>
          </w:tcPr>
          <w:p w14:paraId="5BB47B39">
            <w:pPr>
              <w:pStyle w:val="71"/>
              <w:spacing w:line="180" w:lineRule="exact"/>
              <w:ind w:left="113" w:right="113"/>
              <w:jc w:val="center"/>
              <w:rPr>
                <w:rFonts w:cs="Calibri"/>
                <w:color w:val="auto"/>
                <w:spacing w:val="-24"/>
                <w:w w:val="90"/>
                <w:sz w:val="18"/>
                <w:szCs w:val="18"/>
                <w:highlight w:val="none"/>
              </w:rPr>
            </w:pPr>
          </w:p>
        </w:tc>
        <w:tc>
          <w:tcPr>
            <w:tcW w:w="392" w:type="dxa"/>
            <w:tcBorders>
              <w:top w:val="single" w:color="auto" w:sz="6" w:space="0"/>
              <w:left w:val="single" w:color="auto" w:sz="6" w:space="0"/>
              <w:bottom w:val="single" w:color="auto" w:sz="6" w:space="0"/>
              <w:right w:val="single" w:color="auto" w:sz="6" w:space="0"/>
            </w:tcBorders>
            <w:noWrap w:val="0"/>
            <w:textDirection w:val="btLr"/>
            <w:vAlign w:val="top"/>
          </w:tcPr>
          <w:p w14:paraId="4F00DBE2">
            <w:pPr>
              <w:pStyle w:val="71"/>
              <w:spacing w:line="180" w:lineRule="exact"/>
              <w:ind w:left="113" w:right="113"/>
              <w:jc w:val="center"/>
              <w:rPr>
                <w:rFonts w:cs="Calibri"/>
                <w:color w:val="auto"/>
                <w:spacing w:val="-24"/>
                <w:w w:val="90"/>
                <w:sz w:val="18"/>
                <w:szCs w:val="18"/>
                <w:highlight w:val="none"/>
              </w:rPr>
            </w:pPr>
          </w:p>
        </w:tc>
        <w:tc>
          <w:tcPr>
            <w:tcW w:w="387" w:type="dxa"/>
            <w:tcBorders>
              <w:top w:val="single" w:color="auto" w:sz="6" w:space="0"/>
              <w:left w:val="single" w:color="auto" w:sz="6" w:space="0"/>
              <w:bottom w:val="single" w:color="auto" w:sz="6" w:space="0"/>
              <w:right w:val="single" w:color="auto" w:sz="12" w:space="0"/>
            </w:tcBorders>
            <w:noWrap w:val="0"/>
            <w:textDirection w:val="btLr"/>
            <w:vAlign w:val="center"/>
          </w:tcPr>
          <w:p w14:paraId="71FEDF88">
            <w:pPr>
              <w:pStyle w:val="71"/>
              <w:spacing w:line="180" w:lineRule="exact"/>
              <w:ind w:left="113" w:right="113"/>
              <w:jc w:val="center"/>
              <w:rPr>
                <w:rFonts w:cs="Calibri"/>
                <w:color w:val="auto"/>
                <w:spacing w:val="-24"/>
                <w:w w:val="90"/>
                <w:sz w:val="18"/>
                <w:szCs w:val="18"/>
                <w:highlight w:val="none"/>
              </w:rPr>
            </w:pPr>
          </w:p>
        </w:tc>
      </w:tr>
      <w:tr w14:paraId="28140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139" w:hRule="exact"/>
        </w:trPr>
        <w:tc>
          <w:tcPr>
            <w:tcW w:w="251" w:type="dxa"/>
            <w:vMerge w:val="continue"/>
            <w:tcBorders>
              <w:left w:val="nil"/>
              <w:bottom w:val="nil"/>
              <w:right w:val="single" w:color="auto" w:sz="12" w:space="0"/>
            </w:tcBorders>
            <w:noWrap w:val="0"/>
            <w:textDirection w:val="btLr"/>
            <w:vAlign w:val="top"/>
          </w:tcPr>
          <w:p w14:paraId="50FC9488">
            <w:pPr>
              <w:pStyle w:val="71"/>
              <w:spacing w:line="240" w:lineRule="exact"/>
              <w:ind w:left="113" w:right="113"/>
              <w:jc w:val="center"/>
              <w:rPr>
                <w:rFonts w:cs="Calibri"/>
                <w:color w:val="auto"/>
                <w:sz w:val="28"/>
                <w:szCs w:val="28"/>
                <w:highlight w:val="none"/>
              </w:rPr>
            </w:pPr>
          </w:p>
        </w:tc>
        <w:tc>
          <w:tcPr>
            <w:tcW w:w="796" w:type="dxa"/>
            <w:tcBorders>
              <w:top w:val="single" w:color="auto" w:sz="6" w:space="0"/>
              <w:left w:val="single" w:color="auto" w:sz="12" w:space="0"/>
              <w:bottom w:val="single" w:color="auto" w:sz="12" w:space="0"/>
              <w:right w:val="single" w:color="auto" w:sz="6" w:space="0"/>
            </w:tcBorders>
            <w:noWrap w:val="0"/>
            <w:textDirection w:val="btLr"/>
            <w:vAlign w:val="center"/>
          </w:tcPr>
          <w:p w14:paraId="5B1BCE32">
            <w:pPr>
              <w:pStyle w:val="71"/>
              <w:spacing w:line="240" w:lineRule="exact"/>
              <w:ind w:left="113" w:right="113"/>
              <w:jc w:val="center"/>
              <w:rPr>
                <w:rFonts w:cs="Calibri"/>
                <w:color w:val="auto"/>
                <w:sz w:val="18"/>
                <w:szCs w:val="18"/>
                <w:highlight w:val="none"/>
              </w:rPr>
            </w:pPr>
            <w:r>
              <w:rPr>
                <w:rFonts w:hint="eastAsia" w:cs="宋体"/>
                <w:color w:val="auto"/>
                <w:sz w:val="18"/>
                <w:szCs w:val="18"/>
                <w:highlight w:val="none"/>
              </w:rPr>
              <w:t>年度</w:t>
            </w:r>
          </w:p>
        </w:tc>
        <w:tc>
          <w:tcPr>
            <w:tcW w:w="890" w:type="dxa"/>
            <w:tcBorders>
              <w:top w:val="single" w:color="auto" w:sz="6" w:space="0"/>
              <w:left w:val="single" w:color="auto" w:sz="6" w:space="0"/>
              <w:bottom w:val="single" w:color="auto" w:sz="12" w:space="0"/>
              <w:right w:val="single" w:color="auto" w:sz="6" w:space="0"/>
            </w:tcBorders>
            <w:noWrap w:val="0"/>
            <w:textDirection w:val="btLr"/>
            <w:vAlign w:val="center"/>
          </w:tcPr>
          <w:p w14:paraId="7F5BAC81">
            <w:pPr>
              <w:pStyle w:val="71"/>
              <w:spacing w:line="240" w:lineRule="exact"/>
              <w:ind w:right="113" w:firstLine="1440" w:firstLineChars="800"/>
              <w:rPr>
                <w:rFonts w:cs="Calibri"/>
                <w:color w:val="auto"/>
                <w:sz w:val="18"/>
                <w:szCs w:val="18"/>
                <w:highlight w:val="none"/>
              </w:rPr>
            </w:pPr>
            <w:r>
              <w:rPr>
                <w:rFonts w:hint="eastAsia" w:cs="宋体"/>
                <w:color w:val="auto"/>
                <w:sz w:val="18"/>
                <w:szCs w:val="18"/>
                <w:highlight w:val="none"/>
              </w:rPr>
              <w:t>月份</w:t>
            </w:r>
          </w:p>
          <w:p w14:paraId="2A19CA4C">
            <w:pPr>
              <w:pStyle w:val="71"/>
              <w:spacing w:line="240" w:lineRule="exact"/>
              <w:ind w:left="475" w:leftChars="226" w:right="113" w:firstLine="2070" w:firstLineChars="1150"/>
              <w:rPr>
                <w:rFonts w:cs="Calibri"/>
                <w:color w:val="auto"/>
                <w:sz w:val="18"/>
                <w:szCs w:val="18"/>
                <w:highlight w:val="none"/>
              </w:rPr>
            </w:pPr>
            <w:r>
              <w:rPr>
                <w:rFonts w:hint="eastAsia" w:cs="宋体"/>
                <w:color w:val="auto"/>
                <w:sz w:val="18"/>
                <w:szCs w:val="18"/>
                <w:highlight w:val="none"/>
              </w:rPr>
              <w:t>主要工程项目</w:t>
            </w:r>
          </w:p>
        </w:tc>
        <w:tc>
          <w:tcPr>
            <w:tcW w:w="455" w:type="dxa"/>
            <w:tcBorders>
              <w:top w:val="single" w:color="auto" w:sz="6" w:space="0"/>
              <w:left w:val="single" w:color="auto" w:sz="6" w:space="0"/>
              <w:bottom w:val="single" w:color="auto" w:sz="12" w:space="0"/>
              <w:right w:val="single" w:color="auto" w:sz="6" w:space="0"/>
            </w:tcBorders>
            <w:noWrap w:val="0"/>
            <w:textDirection w:val="btLr"/>
            <w:vAlign w:val="center"/>
          </w:tcPr>
          <w:p w14:paraId="2E24C65E">
            <w:pPr>
              <w:pStyle w:val="71"/>
              <w:spacing w:line="240" w:lineRule="exact"/>
              <w:ind w:left="113" w:right="113"/>
              <w:rPr>
                <w:rFonts w:cs="Calibri"/>
                <w:color w:val="auto"/>
                <w:sz w:val="18"/>
                <w:szCs w:val="18"/>
                <w:highlight w:val="none"/>
              </w:rPr>
            </w:pPr>
          </w:p>
        </w:tc>
        <w:tc>
          <w:tcPr>
            <w:tcW w:w="410" w:type="dxa"/>
            <w:tcBorders>
              <w:top w:val="single" w:color="auto" w:sz="6" w:space="0"/>
              <w:left w:val="single" w:color="auto" w:sz="6" w:space="0"/>
              <w:bottom w:val="single" w:color="auto" w:sz="12" w:space="0"/>
              <w:right w:val="single" w:color="auto" w:sz="6" w:space="0"/>
            </w:tcBorders>
            <w:noWrap w:val="0"/>
            <w:textDirection w:val="btLr"/>
            <w:vAlign w:val="center"/>
          </w:tcPr>
          <w:p w14:paraId="319CAC0E">
            <w:pPr>
              <w:pStyle w:val="71"/>
              <w:spacing w:line="240" w:lineRule="exact"/>
              <w:ind w:left="113" w:right="113"/>
              <w:rPr>
                <w:rFonts w:cs="Calibri"/>
                <w:color w:val="auto"/>
                <w:sz w:val="18"/>
                <w:szCs w:val="18"/>
                <w:highlight w:val="none"/>
              </w:rPr>
            </w:pPr>
          </w:p>
        </w:tc>
        <w:tc>
          <w:tcPr>
            <w:tcW w:w="411" w:type="dxa"/>
            <w:tcBorders>
              <w:top w:val="single" w:color="auto" w:sz="6" w:space="0"/>
              <w:left w:val="single" w:color="auto" w:sz="6" w:space="0"/>
              <w:bottom w:val="single" w:color="auto" w:sz="12" w:space="0"/>
              <w:right w:val="single" w:color="auto" w:sz="6" w:space="0"/>
            </w:tcBorders>
            <w:noWrap w:val="0"/>
            <w:textDirection w:val="btLr"/>
            <w:vAlign w:val="center"/>
          </w:tcPr>
          <w:p w14:paraId="2D673EC7">
            <w:pPr>
              <w:pStyle w:val="71"/>
              <w:spacing w:line="240" w:lineRule="exact"/>
              <w:ind w:left="113" w:right="113"/>
              <w:rPr>
                <w:rFonts w:cs="Calibri"/>
                <w:color w:val="auto"/>
                <w:sz w:val="18"/>
                <w:szCs w:val="18"/>
                <w:highlight w:val="none"/>
              </w:rPr>
            </w:pPr>
          </w:p>
        </w:tc>
        <w:tc>
          <w:tcPr>
            <w:tcW w:w="410" w:type="dxa"/>
            <w:tcBorders>
              <w:top w:val="single" w:color="auto" w:sz="6" w:space="0"/>
              <w:left w:val="single" w:color="auto" w:sz="6" w:space="0"/>
              <w:bottom w:val="single" w:color="auto" w:sz="12" w:space="0"/>
              <w:right w:val="single" w:color="auto" w:sz="6" w:space="0"/>
            </w:tcBorders>
            <w:noWrap w:val="0"/>
            <w:textDirection w:val="btLr"/>
            <w:vAlign w:val="center"/>
          </w:tcPr>
          <w:p w14:paraId="653F6BC1">
            <w:pPr>
              <w:pStyle w:val="71"/>
              <w:spacing w:line="240" w:lineRule="exact"/>
              <w:ind w:left="113" w:right="113"/>
              <w:rPr>
                <w:rFonts w:cs="Calibri"/>
                <w:color w:val="auto"/>
                <w:sz w:val="18"/>
                <w:szCs w:val="18"/>
                <w:highlight w:val="none"/>
              </w:rPr>
            </w:pPr>
          </w:p>
        </w:tc>
        <w:tc>
          <w:tcPr>
            <w:tcW w:w="410" w:type="dxa"/>
            <w:tcBorders>
              <w:top w:val="single" w:color="auto" w:sz="6" w:space="0"/>
              <w:left w:val="single" w:color="auto" w:sz="6" w:space="0"/>
              <w:bottom w:val="single" w:color="auto" w:sz="12" w:space="0"/>
              <w:right w:val="single" w:color="auto" w:sz="6" w:space="0"/>
            </w:tcBorders>
            <w:noWrap w:val="0"/>
            <w:textDirection w:val="btLr"/>
            <w:vAlign w:val="center"/>
          </w:tcPr>
          <w:p w14:paraId="62E6E7C6">
            <w:pPr>
              <w:pStyle w:val="71"/>
              <w:spacing w:line="240" w:lineRule="exact"/>
              <w:ind w:left="113" w:right="113"/>
              <w:rPr>
                <w:rFonts w:cs="Calibri"/>
                <w:color w:val="auto"/>
                <w:sz w:val="18"/>
                <w:szCs w:val="18"/>
                <w:highlight w:val="none"/>
              </w:rPr>
            </w:pPr>
          </w:p>
        </w:tc>
        <w:tc>
          <w:tcPr>
            <w:tcW w:w="410" w:type="dxa"/>
            <w:tcBorders>
              <w:top w:val="single" w:color="auto" w:sz="6" w:space="0"/>
              <w:left w:val="single" w:color="auto" w:sz="6" w:space="0"/>
              <w:bottom w:val="single" w:color="auto" w:sz="12" w:space="0"/>
              <w:right w:val="single" w:color="auto" w:sz="6" w:space="0"/>
            </w:tcBorders>
            <w:noWrap w:val="0"/>
            <w:textDirection w:val="btLr"/>
            <w:vAlign w:val="center"/>
          </w:tcPr>
          <w:p w14:paraId="78D6D245">
            <w:pPr>
              <w:pStyle w:val="71"/>
              <w:spacing w:line="240" w:lineRule="exact"/>
              <w:ind w:left="113" w:right="113"/>
              <w:rPr>
                <w:rFonts w:cs="Calibri"/>
                <w:color w:val="auto"/>
                <w:sz w:val="18"/>
                <w:szCs w:val="18"/>
                <w:highlight w:val="none"/>
              </w:rPr>
            </w:pPr>
          </w:p>
        </w:tc>
        <w:tc>
          <w:tcPr>
            <w:tcW w:w="410" w:type="dxa"/>
            <w:tcBorders>
              <w:top w:val="single" w:color="auto" w:sz="6" w:space="0"/>
              <w:left w:val="single" w:color="auto" w:sz="6" w:space="0"/>
              <w:bottom w:val="single" w:color="auto" w:sz="12" w:space="0"/>
              <w:right w:val="single" w:color="auto" w:sz="6" w:space="0"/>
            </w:tcBorders>
            <w:noWrap w:val="0"/>
            <w:textDirection w:val="btLr"/>
            <w:vAlign w:val="center"/>
          </w:tcPr>
          <w:p w14:paraId="13AC57E4">
            <w:pPr>
              <w:pStyle w:val="71"/>
              <w:spacing w:line="240" w:lineRule="exact"/>
              <w:ind w:left="113" w:right="113"/>
              <w:rPr>
                <w:rFonts w:cs="Calibri"/>
                <w:color w:val="auto"/>
                <w:sz w:val="18"/>
                <w:szCs w:val="18"/>
                <w:highlight w:val="none"/>
              </w:rPr>
            </w:pPr>
          </w:p>
        </w:tc>
        <w:tc>
          <w:tcPr>
            <w:tcW w:w="406" w:type="dxa"/>
            <w:tcBorders>
              <w:top w:val="single" w:color="auto" w:sz="6" w:space="0"/>
              <w:left w:val="single" w:color="auto" w:sz="6" w:space="0"/>
              <w:bottom w:val="single" w:color="auto" w:sz="12" w:space="0"/>
              <w:right w:val="single" w:color="auto" w:sz="6" w:space="0"/>
            </w:tcBorders>
            <w:noWrap w:val="0"/>
            <w:textDirection w:val="btLr"/>
            <w:vAlign w:val="center"/>
          </w:tcPr>
          <w:p w14:paraId="03D6DFAF">
            <w:pPr>
              <w:pStyle w:val="71"/>
              <w:spacing w:line="240" w:lineRule="exact"/>
              <w:ind w:left="113" w:right="113"/>
              <w:rPr>
                <w:rFonts w:cs="Calibri"/>
                <w:color w:val="auto"/>
                <w:sz w:val="18"/>
                <w:szCs w:val="18"/>
                <w:highlight w:val="none"/>
              </w:rPr>
            </w:pPr>
          </w:p>
        </w:tc>
        <w:tc>
          <w:tcPr>
            <w:tcW w:w="406" w:type="dxa"/>
            <w:tcBorders>
              <w:top w:val="single" w:color="auto" w:sz="6" w:space="0"/>
              <w:left w:val="single" w:color="auto" w:sz="6" w:space="0"/>
              <w:bottom w:val="single" w:color="auto" w:sz="12" w:space="0"/>
              <w:right w:val="single" w:color="auto" w:sz="6" w:space="0"/>
            </w:tcBorders>
            <w:noWrap w:val="0"/>
            <w:textDirection w:val="btLr"/>
            <w:vAlign w:val="center"/>
          </w:tcPr>
          <w:p w14:paraId="7C33EE69">
            <w:pPr>
              <w:pStyle w:val="71"/>
              <w:spacing w:line="240" w:lineRule="exact"/>
              <w:ind w:left="113" w:right="113"/>
              <w:rPr>
                <w:rFonts w:cs="Calibri"/>
                <w:color w:val="auto"/>
                <w:sz w:val="18"/>
                <w:szCs w:val="18"/>
                <w:highlight w:val="none"/>
              </w:rPr>
            </w:pPr>
          </w:p>
        </w:tc>
        <w:tc>
          <w:tcPr>
            <w:tcW w:w="410" w:type="dxa"/>
            <w:tcBorders>
              <w:top w:val="single" w:color="auto" w:sz="6" w:space="0"/>
              <w:left w:val="single" w:color="auto" w:sz="6" w:space="0"/>
              <w:bottom w:val="single" w:color="auto" w:sz="12" w:space="0"/>
              <w:right w:val="single" w:color="auto" w:sz="6" w:space="0"/>
            </w:tcBorders>
            <w:noWrap w:val="0"/>
            <w:textDirection w:val="btLr"/>
            <w:vAlign w:val="center"/>
          </w:tcPr>
          <w:p w14:paraId="0DE0B692">
            <w:pPr>
              <w:pStyle w:val="71"/>
              <w:spacing w:line="240" w:lineRule="exact"/>
              <w:ind w:left="113" w:right="113"/>
              <w:rPr>
                <w:rFonts w:cs="Calibri"/>
                <w:color w:val="auto"/>
                <w:sz w:val="18"/>
                <w:szCs w:val="18"/>
                <w:highlight w:val="none"/>
              </w:rPr>
            </w:pPr>
          </w:p>
        </w:tc>
        <w:tc>
          <w:tcPr>
            <w:tcW w:w="410" w:type="dxa"/>
            <w:tcBorders>
              <w:top w:val="single" w:color="auto" w:sz="6" w:space="0"/>
              <w:left w:val="single" w:color="auto" w:sz="6" w:space="0"/>
              <w:bottom w:val="single" w:color="auto" w:sz="12" w:space="0"/>
              <w:right w:val="single" w:color="auto" w:sz="6" w:space="0"/>
            </w:tcBorders>
            <w:noWrap w:val="0"/>
            <w:textDirection w:val="btLr"/>
            <w:vAlign w:val="center"/>
          </w:tcPr>
          <w:p w14:paraId="13CC5F28">
            <w:pPr>
              <w:pStyle w:val="71"/>
              <w:spacing w:line="240" w:lineRule="exact"/>
              <w:ind w:left="113" w:right="113"/>
              <w:rPr>
                <w:rFonts w:cs="Calibri"/>
                <w:color w:val="auto"/>
                <w:sz w:val="18"/>
                <w:szCs w:val="18"/>
                <w:highlight w:val="none"/>
              </w:rPr>
            </w:pPr>
          </w:p>
        </w:tc>
        <w:tc>
          <w:tcPr>
            <w:tcW w:w="410" w:type="dxa"/>
            <w:tcBorders>
              <w:top w:val="single" w:color="auto" w:sz="6" w:space="0"/>
              <w:left w:val="single" w:color="auto" w:sz="6" w:space="0"/>
              <w:bottom w:val="single" w:color="auto" w:sz="12" w:space="0"/>
              <w:right w:val="single" w:color="auto" w:sz="6" w:space="0"/>
            </w:tcBorders>
            <w:noWrap w:val="0"/>
            <w:textDirection w:val="btLr"/>
            <w:vAlign w:val="center"/>
          </w:tcPr>
          <w:p w14:paraId="1B8D22FB">
            <w:pPr>
              <w:pStyle w:val="71"/>
              <w:spacing w:line="240" w:lineRule="exact"/>
              <w:ind w:left="113" w:right="113"/>
              <w:rPr>
                <w:rFonts w:cs="Calibri"/>
                <w:color w:val="auto"/>
                <w:sz w:val="18"/>
                <w:szCs w:val="18"/>
                <w:highlight w:val="none"/>
              </w:rPr>
            </w:pPr>
          </w:p>
        </w:tc>
        <w:tc>
          <w:tcPr>
            <w:tcW w:w="410" w:type="dxa"/>
            <w:tcBorders>
              <w:top w:val="single" w:color="auto" w:sz="6" w:space="0"/>
              <w:left w:val="single" w:color="auto" w:sz="6" w:space="0"/>
              <w:bottom w:val="single" w:color="auto" w:sz="12" w:space="0"/>
              <w:right w:val="single" w:color="auto" w:sz="6" w:space="0"/>
            </w:tcBorders>
            <w:noWrap w:val="0"/>
            <w:textDirection w:val="btLr"/>
            <w:vAlign w:val="center"/>
          </w:tcPr>
          <w:p w14:paraId="178491E7">
            <w:pPr>
              <w:pStyle w:val="71"/>
              <w:spacing w:line="240" w:lineRule="exact"/>
              <w:ind w:left="113" w:right="113"/>
              <w:rPr>
                <w:rFonts w:cs="Calibri"/>
                <w:color w:val="auto"/>
                <w:sz w:val="18"/>
                <w:szCs w:val="18"/>
                <w:highlight w:val="none"/>
              </w:rPr>
            </w:pPr>
          </w:p>
        </w:tc>
        <w:tc>
          <w:tcPr>
            <w:tcW w:w="410" w:type="dxa"/>
            <w:tcBorders>
              <w:top w:val="single" w:color="auto" w:sz="6" w:space="0"/>
              <w:left w:val="single" w:color="auto" w:sz="6" w:space="0"/>
              <w:bottom w:val="single" w:color="auto" w:sz="12" w:space="0"/>
              <w:right w:val="single" w:color="auto" w:sz="6" w:space="0"/>
            </w:tcBorders>
            <w:noWrap w:val="0"/>
            <w:textDirection w:val="btLr"/>
            <w:vAlign w:val="center"/>
          </w:tcPr>
          <w:p w14:paraId="6CA5CEA4">
            <w:pPr>
              <w:pStyle w:val="71"/>
              <w:spacing w:line="240" w:lineRule="exact"/>
              <w:ind w:left="113" w:right="113"/>
              <w:rPr>
                <w:rFonts w:cs="Calibri"/>
                <w:color w:val="auto"/>
                <w:sz w:val="18"/>
                <w:szCs w:val="18"/>
                <w:highlight w:val="none"/>
              </w:rPr>
            </w:pPr>
          </w:p>
        </w:tc>
        <w:tc>
          <w:tcPr>
            <w:tcW w:w="404" w:type="dxa"/>
            <w:tcBorders>
              <w:top w:val="single" w:color="auto" w:sz="6" w:space="0"/>
              <w:left w:val="single" w:color="auto" w:sz="6" w:space="0"/>
              <w:bottom w:val="single" w:color="auto" w:sz="12" w:space="0"/>
              <w:right w:val="single" w:color="auto" w:sz="6" w:space="0"/>
            </w:tcBorders>
            <w:noWrap w:val="0"/>
            <w:textDirection w:val="btLr"/>
            <w:vAlign w:val="top"/>
          </w:tcPr>
          <w:p w14:paraId="61643513">
            <w:pPr>
              <w:pStyle w:val="71"/>
              <w:spacing w:line="240" w:lineRule="exact"/>
              <w:ind w:left="113" w:right="113"/>
              <w:rPr>
                <w:rFonts w:cs="Calibri"/>
                <w:color w:val="auto"/>
                <w:sz w:val="18"/>
                <w:szCs w:val="18"/>
                <w:highlight w:val="none"/>
              </w:rPr>
            </w:pPr>
          </w:p>
        </w:tc>
        <w:tc>
          <w:tcPr>
            <w:tcW w:w="392" w:type="dxa"/>
            <w:tcBorders>
              <w:top w:val="single" w:color="auto" w:sz="6" w:space="0"/>
              <w:left w:val="single" w:color="auto" w:sz="6" w:space="0"/>
              <w:bottom w:val="single" w:color="auto" w:sz="12" w:space="0"/>
              <w:right w:val="single" w:color="auto" w:sz="6" w:space="0"/>
            </w:tcBorders>
            <w:noWrap w:val="0"/>
            <w:textDirection w:val="btLr"/>
            <w:vAlign w:val="top"/>
          </w:tcPr>
          <w:p w14:paraId="38DE9ADB">
            <w:pPr>
              <w:pStyle w:val="71"/>
              <w:spacing w:line="240" w:lineRule="exact"/>
              <w:ind w:left="113" w:right="113"/>
              <w:rPr>
                <w:rFonts w:cs="Calibri"/>
                <w:color w:val="auto"/>
                <w:sz w:val="18"/>
                <w:szCs w:val="18"/>
                <w:highlight w:val="none"/>
              </w:rPr>
            </w:pPr>
          </w:p>
        </w:tc>
        <w:tc>
          <w:tcPr>
            <w:tcW w:w="387" w:type="dxa"/>
            <w:tcBorders>
              <w:top w:val="single" w:color="auto" w:sz="6" w:space="0"/>
              <w:left w:val="single" w:color="auto" w:sz="6" w:space="0"/>
              <w:bottom w:val="single" w:color="auto" w:sz="12" w:space="0"/>
              <w:right w:val="single" w:color="auto" w:sz="12" w:space="0"/>
            </w:tcBorders>
            <w:noWrap w:val="0"/>
            <w:textDirection w:val="btLr"/>
            <w:vAlign w:val="center"/>
          </w:tcPr>
          <w:p w14:paraId="1EB4E543">
            <w:pPr>
              <w:pStyle w:val="71"/>
              <w:spacing w:line="240" w:lineRule="exact"/>
              <w:ind w:left="113" w:right="113"/>
              <w:rPr>
                <w:rFonts w:cs="Calibri"/>
                <w:color w:val="auto"/>
                <w:sz w:val="18"/>
                <w:szCs w:val="18"/>
                <w:highlight w:val="none"/>
              </w:rPr>
            </w:pPr>
          </w:p>
        </w:tc>
      </w:tr>
    </w:tbl>
    <w:p w14:paraId="5619D63E">
      <w:pPr>
        <w:pStyle w:val="52"/>
        <w:keepNext/>
        <w:keepLines/>
        <w:pageBreakBefore w:val="0"/>
        <w:widowControl w:val="0"/>
        <w:kinsoku/>
        <w:wordWrap/>
        <w:overflowPunct/>
        <w:topLinePunct w:val="0"/>
        <w:autoSpaceDE/>
        <w:autoSpaceDN/>
        <w:bidi w:val="0"/>
        <w:adjustRightInd/>
        <w:snapToGrid/>
        <w:spacing w:after="157" w:afterLines="50"/>
        <w:jc w:val="center"/>
        <w:textAlignment w:val="auto"/>
        <w:outlineLvl w:val="2"/>
        <w:rPr>
          <w:rFonts w:hint="eastAsia" w:ascii="Times New Roman" w:hAnsi="Times New Roman" w:eastAsia="黑体" w:cs="Times New Roman"/>
          <w:b w:val="0"/>
          <w:bCs w:val="0"/>
          <w:color w:val="auto"/>
          <w:kern w:val="2"/>
          <w:sz w:val="30"/>
          <w:szCs w:val="30"/>
          <w:highlight w:val="none"/>
          <w:lang w:val="en-US" w:eastAsia="zh-CN" w:bidi="ar-SA"/>
        </w:rPr>
      </w:pPr>
      <w:r>
        <w:rPr>
          <w:color w:val="auto"/>
          <w:highlight w:val="none"/>
        </w:rPr>
        <w:br w:type="page"/>
      </w:r>
      <w:bookmarkStart w:id="825" w:name="_Toc3028"/>
      <w:r>
        <w:rPr>
          <w:rFonts w:hint="eastAsia" w:ascii="Times New Roman" w:hAnsi="Times New Roman" w:eastAsia="黑体" w:cs="Times New Roman"/>
          <w:b w:val="0"/>
          <w:bCs w:val="0"/>
          <w:color w:val="auto"/>
          <w:kern w:val="2"/>
          <w:sz w:val="30"/>
          <w:szCs w:val="30"/>
          <w:highlight w:val="none"/>
          <w:lang w:val="en-US" w:eastAsia="zh-CN" w:bidi="ar-SA"/>
        </w:rPr>
        <w:t>六、项目管理机构</w:t>
      </w:r>
      <w:bookmarkEnd w:id="825"/>
    </w:p>
    <w:tbl>
      <w:tblPr>
        <w:tblStyle w:val="23"/>
        <w:tblW w:w="8672" w:type="dxa"/>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8672"/>
      </w:tblGrid>
      <w:tr w14:paraId="60A5ED2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28" w:hRule="atLeast"/>
        </w:trPr>
        <w:tc>
          <w:tcPr>
            <w:tcW w:w="8672" w:type="dxa"/>
            <w:tcBorders>
              <w:tl2br w:val="nil"/>
              <w:tr2bl w:val="nil"/>
            </w:tcBorders>
            <w:noWrap w:val="0"/>
            <w:vAlign w:val="top"/>
          </w:tcPr>
          <w:p w14:paraId="0A0D890B">
            <w:pPr>
              <w:pStyle w:val="61"/>
              <w:spacing w:line="440" w:lineRule="exact"/>
              <w:rPr>
                <w:rFonts w:hint="eastAsia" w:ascii="宋体" w:hAnsi="宋体" w:eastAsia="宋体" w:cs="宋体"/>
                <w:color w:val="auto"/>
                <w:sz w:val="18"/>
                <w:szCs w:val="18"/>
                <w:highlight w:val="none"/>
              </w:rPr>
            </w:pPr>
          </w:p>
          <w:p w14:paraId="47D872BD">
            <w:pPr>
              <w:pStyle w:val="61"/>
              <w:spacing w:line="4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拟为承包本标段工程设立的组织机构以框图方式表示。</w:t>
            </w:r>
          </w:p>
        </w:tc>
      </w:tr>
      <w:tr w14:paraId="5D23313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519" w:hRule="atLeast"/>
        </w:trPr>
        <w:tc>
          <w:tcPr>
            <w:tcW w:w="8672" w:type="dxa"/>
            <w:tcBorders>
              <w:tl2br w:val="nil"/>
              <w:tr2bl w:val="nil"/>
            </w:tcBorders>
            <w:noWrap w:val="0"/>
            <w:vAlign w:val="top"/>
          </w:tcPr>
          <w:p w14:paraId="39571B5B">
            <w:pPr>
              <w:pStyle w:val="61"/>
              <w:spacing w:line="440" w:lineRule="exact"/>
              <w:rPr>
                <w:rFonts w:hint="eastAsia" w:ascii="宋体" w:hAnsi="宋体" w:eastAsia="宋体" w:cs="宋体"/>
                <w:color w:val="auto"/>
                <w:sz w:val="18"/>
                <w:szCs w:val="18"/>
                <w:highlight w:val="none"/>
              </w:rPr>
            </w:pPr>
          </w:p>
          <w:p w14:paraId="43929FD8">
            <w:pPr>
              <w:pStyle w:val="61"/>
              <w:spacing w:line="440" w:lineRule="exact"/>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说明</w:t>
            </w:r>
            <w:r>
              <w:rPr>
                <w:rFonts w:hint="eastAsia" w:ascii="宋体" w:hAnsi="宋体" w:eastAsia="宋体" w:cs="宋体"/>
                <w:color w:val="auto"/>
                <w:sz w:val="18"/>
                <w:szCs w:val="18"/>
                <w:highlight w:val="none"/>
                <w:lang w:eastAsia="zh-CN"/>
              </w:rPr>
              <w:t>：</w:t>
            </w:r>
          </w:p>
        </w:tc>
      </w:tr>
    </w:tbl>
    <w:p w14:paraId="0841A283">
      <w:pPr>
        <w:pStyle w:val="52"/>
        <w:spacing w:before="0" w:line="600" w:lineRule="exact"/>
        <w:jc w:val="center"/>
        <w:outlineLvl w:val="2"/>
        <w:rPr>
          <w:color w:val="auto"/>
          <w:sz w:val="30"/>
          <w:szCs w:val="30"/>
          <w:highlight w:val="none"/>
        </w:rPr>
      </w:pPr>
      <w:r>
        <w:rPr>
          <w:color w:val="auto"/>
          <w:highlight w:val="none"/>
        </w:rPr>
        <w:br w:type="page"/>
      </w:r>
      <w:bookmarkStart w:id="826" w:name="_Toc385863177"/>
      <w:bookmarkStart w:id="827" w:name="_Toc9021"/>
      <w:bookmarkStart w:id="828" w:name="_Toc29906"/>
      <w:r>
        <w:rPr>
          <w:rFonts w:hint="eastAsia"/>
          <w:color w:val="auto"/>
          <w:sz w:val="30"/>
          <w:szCs w:val="30"/>
          <w:highlight w:val="none"/>
        </w:rPr>
        <w:t>七</w:t>
      </w:r>
      <w:r>
        <w:rPr>
          <w:color w:val="auto"/>
          <w:sz w:val="30"/>
          <w:szCs w:val="30"/>
          <w:highlight w:val="none"/>
        </w:rPr>
        <w:t>、资格审查资料</w:t>
      </w:r>
      <w:bookmarkEnd w:id="826"/>
      <w:bookmarkEnd w:id="827"/>
      <w:bookmarkEnd w:id="828"/>
    </w:p>
    <w:p w14:paraId="4AFC1254">
      <w:pPr>
        <w:pStyle w:val="9"/>
        <w:keepNext/>
        <w:keepLines/>
        <w:spacing w:line="600" w:lineRule="exact"/>
        <w:jc w:val="center"/>
        <w:outlineLvl w:val="2"/>
        <w:rPr>
          <w:b/>
          <w:bCs/>
          <w:color w:val="auto"/>
          <w:sz w:val="28"/>
          <w:szCs w:val="28"/>
          <w:highlight w:val="none"/>
        </w:rPr>
      </w:pPr>
      <w:bookmarkStart w:id="829" w:name="_Toc29412"/>
      <w:bookmarkStart w:id="830" w:name="_Toc5224"/>
      <w:bookmarkStart w:id="831" w:name="_Toc385863178"/>
      <w:r>
        <w:rPr>
          <w:b/>
          <w:bCs/>
          <w:color w:val="auto"/>
          <w:sz w:val="28"/>
          <w:szCs w:val="28"/>
          <w:highlight w:val="none"/>
        </w:rPr>
        <w:t>（一）投标人基本情况表</w:t>
      </w:r>
      <w:bookmarkEnd w:id="829"/>
      <w:bookmarkEnd w:id="830"/>
      <w:bookmarkEnd w:id="831"/>
    </w:p>
    <w:tbl>
      <w:tblPr>
        <w:tblStyle w:val="23"/>
        <w:tblW w:w="8620"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1828"/>
        <w:gridCol w:w="1080"/>
        <w:gridCol w:w="1260"/>
        <w:gridCol w:w="720"/>
        <w:gridCol w:w="540"/>
        <w:gridCol w:w="1263"/>
        <w:gridCol w:w="897"/>
        <w:gridCol w:w="1032"/>
      </w:tblGrid>
      <w:tr w14:paraId="16D3182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8" w:type="dxa"/>
            <w:tcBorders>
              <w:tl2br w:val="nil"/>
              <w:tr2bl w:val="nil"/>
            </w:tcBorders>
            <w:noWrap w:val="0"/>
            <w:vAlign w:val="center"/>
          </w:tcPr>
          <w:p w14:paraId="1AEAAF19">
            <w:pPr>
              <w:pStyle w:val="9"/>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投标人名称</w:t>
            </w:r>
          </w:p>
        </w:tc>
        <w:tc>
          <w:tcPr>
            <w:tcW w:w="6792" w:type="dxa"/>
            <w:gridSpan w:val="7"/>
            <w:tcBorders>
              <w:tl2br w:val="nil"/>
              <w:tr2bl w:val="nil"/>
            </w:tcBorders>
            <w:noWrap w:val="0"/>
            <w:vAlign w:val="center"/>
          </w:tcPr>
          <w:p w14:paraId="443933E7">
            <w:pPr>
              <w:pStyle w:val="9"/>
              <w:spacing w:line="240" w:lineRule="exact"/>
              <w:jc w:val="center"/>
              <w:rPr>
                <w:rFonts w:hint="eastAsia" w:ascii="宋体" w:hAnsi="宋体" w:eastAsia="宋体" w:cs="宋体"/>
                <w:color w:val="auto"/>
                <w:sz w:val="18"/>
                <w:szCs w:val="18"/>
                <w:highlight w:val="none"/>
              </w:rPr>
            </w:pPr>
          </w:p>
        </w:tc>
      </w:tr>
      <w:tr w14:paraId="2A36C40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8" w:type="dxa"/>
            <w:tcBorders>
              <w:tl2br w:val="nil"/>
              <w:tr2bl w:val="nil"/>
            </w:tcBorders>
            <w:noWrap w:val="0"/>
            <w:vAlign w:val="center"/>
          </w:tcPr>
          <w:p w14:paraId="16FCAD50">
            <w:pPr>
              <w:pStyle w:val="9"/>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注册地址</w:t>
            </w:r>
          </w:p>
        </w:tc>
        <w:tc>
          <w:tcPr>
            <w:tcW w:w="3600" w:type="dxa"/>
            <w:gridSpan w:val="4"/>
            <w:tcBorders>
              <w:tl2br w:val="nil"/>
              <w:tr2bl w:val="nil"/>
            </w:tcBorders>
            <w:noWrap w:val="0"/>
            <w:vAlign w:val="center"/>
          </w:tcPr>
          <w:p w14:paraId="057904D4">
            <w:pPr>
              <w:pStyle w:val="9"/>
              <w:spacing w:line="240" w:lineRule="exact"/>
              <w:jc w:val="center"/>
              <w:rPr>
                <w:rFonts w:hint="eastAsia" w:ascii="宋体" w:hAnsi="宋体" w:eastAsia="宋体" w:cs="宋体"/>
                <w:color w:val="auto"/>
                <w:sz w:val="18"/>
                <w:szCs w:val="18"/>
                <w:highlight w:val="none"/>
              </w:rPr>
            </w:pPr>
          </w:p>
        </w:tc>
        <w:tc>
          <w:tcPr>
            <w:tcW w:w="1263" w:type="dxa"/>
            <w:tcBorders>
              <w:tl2br w:val="nil"/>
              <w:tr2bl w:val="nil"/>
            </w:tcBorders>
            <w:noWrap w:val="0"/>
            <w:vAlign w:val="center"/>
          </w:tcPr>
          <w:p w14:paraId="77B391D6">
            <w:pPr>
              <w:pStyle w:val="9"/>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邮政编码</w:t>
            </w:r>
          </w:p>
        </w:tc>
        <w:tc>
          <w:tcPr>
            <w:tcW w:w="1929" w:type="dxa"/>
            <w:gridSpan w:val="2"/>
            <w:tcBorders>
              <w:tl2br w:val="nil"/>
              <w:tr2bl w:val="nil"/>
            </w:tcBorders>
            <w:noWrap w:val="0"/>
            <w:vAlign w:val="center"/>
          </w:tcPr>
          <w:p w14:paraId="500B37E6">
            <w:pPr>
              <w:pStyle w:val="9"/>
              <w:spacing w:line="240" w:lineRule="exact"/>
              <w:jc w:val="center"/>
              <w:rPr>
                <w:rFonts w:hint="eastAsia" w:ascii="宋体" w:hAnsi="宋体" w:eastAsia="宋体" w:cs="宋体"/>
                <w:color w:val="auto"/>
                <w:sz w:val="18"/>
                <w:szCs w:val="18"/>
                <w:highlight w:val="none"/>
              </w:rPr>
            </w:pPr>
          </w:p>
        </w:tc>
      </w:tr>
      <w:tr w14:paraId="67721E5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8" w:type="dxa"/>
            <w:vMerge w:val="restart"/>
            <w:tcBorders>
              <w:tl2br w:val="nil"/>
              <w:tr2bl w:val="nil"/>
            </w:tcBorders>
            <w:noWrap w:val="0"/>
            <w:vAlign w:val="center"/>
          </w:tcPr>
          <w:p w14:paraId="184DD547">
            <w:pPr>
              <w:pStyle w:val="9"/>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联系方式</w:t>
            </w:r>
          </w:p>
        </w:tc>
        <w:tc>
          <w:tcPr>
            <w:tcW w:w="1080" w:type="dxa"/>
            <w:tcBorders>
              <w:tl2br w:val="nil"/>
              <w:tr2bl w:val="nil"/>
            </w:tcBorders>
            <w:noWrap w:val="0"/>
            <w:vAlign w:val="center"/>
          </w:tcPr>
          <w:p w14:paraId="05FF8F34">
            <w:pPr>
              <w:pStyle w:val="9"/>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联系人</w:t>
            </w:r>
          </w:p>
        </w:tc>
        <w:tc>
          <w:tcPr>
            <w:tcW w:w="2520" w:type="dxa"/>
            <w:gridSpan w:val="3"/>
            <w:tcBorders>
              <w:tl2br w:val="nil"/>
              <w:tr2bl w:val="nil"/>
            </w:tcBorders>
            <w:noWrap w:val="0"/>
            <w:vAlign w:val="center"/>
          </w:tcPr>
          <w:p w14:paraId="7086DE1A">
            <w:pPr>
              <w:pStyle w:val="9"/>
              <w:spacing w:line="240" w:lineRule="exact"/>
              <w:jc w:val="center"/>
              <w:rPr>
                <w:rFonts w:hint="eastAsia" w:ascii="宋体" w:hAnsi="宋体" w:eastAsia="宋体" w:cs="宋体"/>
                <w:color w:val="auto"/>
                <w:sz w:val="18"/>
                <w:szCs w:val="18"/>
                <w:highlight w:val="none"/>
              </w:rPr>
            </w:pPr>
          </w:p>
        </w:tc>
        <w:tc>
          <w:tcPr>
            <w:tcW w:w="1263" w:type="dxa"/>
            <w:tcBorders>
              <w:tl2br w:val="nil"/>
              <w:tr2bl w:val="nil"/>
            </w:tcBorders>
            <w:noWrap w:val="0"/>
            <w:vAlign w:val="center"/>
          </w:tcPr>
          <w:p w14:paraId="747516A0">
            <w:pPr>
              <w:pStyle w:val="9"/>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电  话</w:t>
            </w:r>
          </w:p>
        </w:tc>
        <w:tc>
          <w:tcPr>
            <w:tcW w:w="1929" w:type="dxa"/>
            <w:gridSpan w:val="2"/>
            <w:tcBorders>
              <w:tl2br w:val="nil"/>
              <w:tr2bl w:val="nil"/>
            </w:tcBorders>
            <w:noWrap w:val="0"/>
            <w:vAlign w:val="center"/>
          </w:tcPr>
          <w:p w14:paraId="4F0A5A91">
            <w:pPr>
              <w:pStyle w:val="9"/>
              <w:spacing w:line="240" w:lineRule="exact"/>
              <w:jc w:val="center"/>
              <w:rPr>
                <w:rFonts w:hint="eastAsia" w:ascii="宋体" w:hAnsi="宋体" w:eastAsia="宋体" w:cs="宋体"/>
                <w:color w:val="auto"/>
                <w:sz w:val="18"/>
                <w:szCs w:val="18"/>
                <w:highlight w:val="none"/>
              </w:rPr>
            </w:pPr>
          </w:p>
        </w:tc>
      </w:tr>
      <w:tr w14:paraId="09E5985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8" w:type="dxa"/>
            <w:vMerge w:val="continue"/>
            <w:tcBorders>
              <w:tl2br w:val="nil"/>
              <w:tr2bl w:val="nil"/>
            </w:tcBorders>
            <w:noWrap w:val="0"/>
            <w:vAlign w:val="center"/>
          </w:tcPr>
          <w:p w14:paraId="7A97527E">
            <w:pPr>
              <w:pStyle w:val="9"/>
              <w:spacing w:line="240" w:lineRule="exact"/>
              <w:jc w:val="center"/>
              <w:rPr>
                <w:rFonts w:hint="eastAsia" w:ascii="宋体" w:hAnsi="宋体" w:eastAsia="宋体" w:cs="宋体"/>
                <w:color w:val="auto"/>
                <w:sz w:val="18"/>
                <w:szCs w:val="18"/>
                <w:highlight w:val="none"/>
              </w:rPr>
            </w:pPr>
          </w:p>
        </w:tc>
        <w:tc>
          <w:tcPr>
            <w:tcW w:w="1080" w:type="dxa"/>
            <w:tcBorders>
              <w:tl2br w:val="nil"/>
              <w:tr2bl w:val="nil"/>
            </w:tcBorders>
            <w:noWrap w:val="0"/>
            <w:vAlign w:val="center"/>
          </w:tcPr>
          <w:p w14:paraId="62C8DCD2">
            <w:pPr>
              <w:pStyle w:val="9"/>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传真</w:t>
            </w:r>
          </w:p>
        </w:tc>
        <w:tc>
          <w:tcPr>
            <w:tcW w:w="2520" w:type="dxa"/>
            <w:gridSpan w:val="3"/>
            <w:tcBorders>
              <w:tl2br w:val="nil"/>
              <w:tr2bl w:val="nil"/>
            </w:tcBorders>
            <w:noWrap w:val="0"/>
            <w:vAlign w:val="center"/>
          </w:tcPr>
          <w:p w14:paraId="2771EA6B">
            <w:pPr>
              <w:pStyle w:val="9"/>
              <w:spacing w:line="240" w:lineRule="exact"/>
              <w:jc w:val="center"/>
              <w:rPr>
                <w:rFonts w:hint="eastAsia" w:ascii="宋体" w:hAnsi="宋体" w:eastAsia="宋体" w:cs="宋体"/>
                <w:color w:val="auto"/>
                <w:sz w:val="18"/>
                <w:szCs w:val="18"/>
                <w:highlight w:val="none"/>
              </w:rPr>
            </w:pPr>
          </w:p>
        </w:tc>
        <w:tc>
          <w:tcPr>
            <w:tcW w:w="1263" w:type="dxa"/>
            <w:tcBorders>
              <w:tl2br w:val="nil"/>
              <w:tr2bl w:val="nil"/>
            </w:tcBorders>
            <w:noWrap w:val="0"/>
            <w:vAlign w:val="center"/>
          </w:tcPr>
          <w:p w14:paraId="66CCDD51">
            <w:pPr>
              <w:pStyle w:val="9"/>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电子邮件</w:t>
            </w:r>
          </w:p>
        </w:tc>
        <w:tc>
          <w:tcPr>
            <w:tcW w:w="1929" w:type="dxa"/>
            <w:gridSpan w:val="2"/>
            <w:tcBorders>
              <w:tl2br w:val="nil"/>
              <w:tr2bl w:val="nil"/>
            </w:tcBorders>
            <w:noWrap w:val="0"/>
            <w:vAlign w:val="center"/>
          </w:tcPr>
          <w:p w14:paraId="10A41004">
            <w:pPr>
              <w:pStyle w:val="9"/>
              <w:spacing w:line="240" w:lineRule="exact"/>
              <w:jc w:val="center"/>
              <w:rPr>
                <w:rFonts w:hint="eastAsia" w:ascii="宋体" w:hAnsi="宋体" w:eastAsia="宋体" w:cs="宋体"/>
                <w:color w:val="auto"/>
                <w:sz w:val="18"/>
                <w:szCs w:val="18"/>
                <w:highlight w:val="none"/>
              </w:rPr>
            </w:pPr>
          </w:p>
        </w:tc>
      </w:tr>
      <w:tr w14:paraId="7263535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8" w:type="dxa"/>
            <w:tcBorders>
              <w:tl2br w:val="nil"/>
              <w:tr2bl w:val="nil"/>
            </w:tcBorders>
            <w:noWrap w:val="0"/>
            <w:vAlign w:val="center"/>
          </w:tcPr>
          <w:p w14:paraId="759709ED">
            <w:pPr>
              <w:pStyle w:val="9"/>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法定代表人</w:t>
            </w:r>
          </w:p>
        </w:tc>
        <w:tc>
          <w:tcPr>
            <w:tcW w:w="1080" w:type="dxa"/>
            <w:tcBorders>
              <w:tl2br w:val="nil"/>
              <w:tr2bl w:val="nil"/>
            </w:tcBorders>
            <w:noWrap w:val="0"/>
            <w:vAlign w:val="center"/>
          </w:tcPr>
          <w:p w14:paraId="7F4FFDEE">
            <w:pPr>
              <w:pStyle w:val="9"/>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姓名</w:t>
            </w:r>
          </w:p>
        </w:tc>
        <w:tc>
          <w:tcPr>
            <w:tcW w:w="1260" w:type="dxa"/>
            <w:tcBorders>
              <w:tl2br w:val="nil"/>
              <w:tr2bl w:val="nil"/>
            </w:tcBorders>
            <w:noWrap w:val="0"/>
            <w:vAlign w:val="center"/>
          </w:tcPr>
          <w:p w14:paraId="671CE1EA">
            <w:pPr>
              <w:pStyle w:val="9"/>
              <w:spacing w:line="240" w:lineRule="exact"/>
              <w:jc w:val="center"/>
              <w:rPr>
                <w:rFonts w:hint="eastAsia" w:ascii="宋体" w:hAnsi="宋体" w:eastAsia="宋体" w:cs="宋体"/>
                <w:color w:val="auto"/>
                <w:sz w:val="18"/>
                <w:szCs w:val="18"/>
                <w:highlight w:val="none"/>
              </w:rPr>
            </w:pPr>
          </w:p>
        </w:tc>
        <w:tc>
          <w:tcPr>
            <w:tcW w:w="1260" w:type="dxa"/>
            <w:gridSpan w:val="2"/>
            <w:tcBorders>
              <w:tl2br w:val="nil"/>
              <w:tr2bl w:val="nil"/>
            </w:tcBorders>
            <w:noWrap w:val="0"/>
            <w:vAlign w:val="center"/>
          </w:tcPr>
          <w:p w14:paraId="69C09812">
            <w:pPr>
              <w:pStyle w:val="9"/>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技术职称</w:t>
            </w:r>
          </w:p>
        </w:tc>
        <w:tc>
          <w:tcPr>
            <w:tcW w:w="1263" w:type="dxa"/>
            <w:tcBorders>
              <w:tl2br w:val="nil"/>
              <w:tr2bl w:val="nil"/>
            </w:tcBorders>
            <w:noWrap w:val="0"/>
            <w:vAlign w:val="center"/>
          </w:tcPr>
          <w:p w14:paraId="349C1FAA">
            <w:pPr>
              <w:pStyle w:val="9"/>
              <w:spacing w:line="240" w:lineRule="exact"/>
              <w:jc w:val="center"/>
              <w:rPr>
                <w:rFonts w:hint="eastAsia" w:ascii="宋体" w:hAnsi="宋体" w:eastAsia="宋体" w:cs="宋体"/>
                <w:color w:val="auto"/>
                <w:sz w:val="18"/>
                <w:szCs w:val="18"/>
                <w:highlight w:val="none"/>
              </w:rPr>
            </w:pPr>
          </w:p>
        </w:tc>
        <w:tc>
          <w:tcPr>
            <w:tcW w:w="897" w:type="dxa"/>
            <w:tcBorders>
              <w:tl2br w:val="nil"/>
              <w:tr2bl w:val="nil"/>
            </w:tcBorders>
            <w:noWrap w:val="0"/>
            <w:vAlign w:val="center"/>
          </w:tcPr>
          <w:p w14:paraId="27584229">
            <w:pPr>
              <w:pStyle w:val="9"/>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电话</w:t>
            </w:r>
          </w:p>
        </w:tc>
        <w:tc>
          <w:tcPr>
            <w:tcW w:w="1032" w:type="dxa"/>
            <w:tcBorders>
              <w:tl2br w:val="nil"/>
              <w:tr2bl w:val="nil"/>
            </w:tcBorders>
            <w:noWrap w:val="0"/>
            <w:vAlign w:val="center"/>
          </w:tcPr>
          <w:p w14:paraId="63C78F56">
            <w:pPr>
              <w:pStyle w:val="9"/>
              <w:spacing w:line="240" w:lineRule="exact"/>
              <w:jc w:val="center"/>
              <w:rPr>
                <w:rFonts w:hint="eastAsia" w:ascii="宋体" w:hAnsi="宋体" w:eastAsia="宋体" w:cs="宋体"/>
                <w:color w:val="auto"/>
                <w:sz w:val="18"/>
                <w:szCs w:val="18"/>
                <w:highlight w:val="none"/>
              </w:rPr>
            </w:pPr>
          </w:p>
        </w:tc>
      </w:tr>
      <w:tr w14:paraId="47CE536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8" w:type="dxa"/>
            <w:tcBorders>
              <w:tl2br w:val="nil"/>
              <w:tr2bl w:val="nil"/>
            </w:tcBorders>
            <w:noWrap w:val="0"/>
            <w:vAlign w:val="center"/>
          </w:tcPr>
          <w:p w14:paraId="1A3A8C5B">
            <w:pPr>
              <w:pStyle w:val="9"/>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技术负责人</w:t>
            </w:r>
          </w:p>
        </w:tc>
        <w:tc>
          <w:tcPr>
            <w:tcW w:w="1080" w:type="dxa"/>
            <w:tcBorders>
              <w:tl2br w:val="nil"/>
              <w:tr2bl w:val="nil"/>
            </w:tcBorders>
            <w:noWrap w:val="0"/>
            <w:vAlign w:val="center"/>
          </w:tcPr>
          <w:p w14:paraId="2CF2A8CF">
            <w:pPr>
              <w:pStyle w:val="9"/>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姓名</w:t>
            </w:r>
          </w:p>
        </w:tc>
        <w:tc>
          <w:tcPr>
            <w:tcW w:w="1260" w:type="dxa"/>
            <w:tcBorders>
              <w:tl2br w:val="nil"/>
              <w:tr2bl w:val="nil"/>
            </w:tcBorders>
            <w:noWrap w:val="0"/>
            <w:vAlign w:val="center"/>
          </w:tcPr>
          <w:p w14:paraId="09C069B1">
            <w:pPr>
              <w:pStyle w:val="9"/>
              <w:spacing w:line="240" w:lineRule="exact"/>
              <w:jc w:val="center"/>
              <w:rPr>
                <w:rFonts w:hint="eastAsia" w:ascii="宋体" w:hAnsi="宋体" w:eastAsia="宋体" w:cs="宋体"/>
                <w:color w:val="auto"/>
                <w:sz w:val="18"/>
                <w:szCs w:val="18"/>
                <w:highlight w:val="none"/>
              </w:rPr>
            </w:pPr>
          </w:p>
        </w:tc>
        <w:tc>
          <w:tcPr>
            <w:tcW w:w="1260" w:type="dxa"/>
            <w:gridSpan w:val="2"/>
            <w:tcBorders>
              <w:tl2br w:val="nil"/>
              <w:tr2bl w:val="nil"/>
            </w:tcBorders>
            <w:noWrap w:val="0"/>
            <w:vAlign w:val="center"/>
          </w:tcPr>
          <w:p w14:paraId="29AF3C57">
            <w:pPr>
              <w:pStyle w:val="9"/>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技术职称</w:t>
            </w:r>
          </w:p>
        </w:tc>
        <w:tc>
          <w:tcPr>
            <w:tcW w:w="1263" w:type="dxa"/>
            <w:tcBorders>
              <w:tl2br w:val="nil"/>
              <w:tr2bl w:val="nil"/>
            </w:tcBorders>
            <w:noWrap w:val="0"/>
            <w:vAlign w:val="center"/>
          </w:tcPr>
          <w:p w14:paraId="3B7C104E">
            <w:pPr>
              <w:pStyle w:val="9"/>
              <w:spacing w:line="240" w:lineRule="exact"/>
              <w:jc w:val="center"/>
              <w:rPr>
                <w:rFonts w:hint="eastAsia" w:ascii="宋体" w:hAnsi="宋体" w:eastAsia="宋体" w:cs="宋体"/>
                <w:color w:val="auto"/>
                <w:sz w:val="18"/>
                <w:szCs w:val="18"/>
                <w:highlight w:val="none"/>
              </w:rPr>
            </w:pPr>
          </w:p>
        </w:tc>
        <w:tc>
          <w:tcPr>
            <w:tcW w:w="897" w:type="dxa"/>
            <w:tcBorders>
              <w:tl2br w:val="nil"/>
              <w:tr2bl w:val="nil"/>
            </w:tcBorders>
            <w:noWrap w:val="0"/>
            <w:vAlign w:val="center"/>
          </w:tcPr>
          <w:p w14:paraId="3CA0A3F7">
            <w:pPr>
              <w:pStyle w:val="9"/>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电话</w:t>
            </w:r>
          </w:p>
        </w:tc>
        <w:tc>
          <w:tcPr>
            <w:tcW w:w="1032" w:type="dxa"/>
            <w:tcBorders>
              <w:tl2br w:val="nil"/>
              <w:tr2bl w:val="nil"/>
            </w:tcBorders>
            <w:noWrap w:val="0"/>
            <w:vAlign w:val="center"/>
          </w:tcPr>
          <w:p w14:paraId="1BF41856">
            <w:pPr>
              <w:pStyle w:val="9"/>
              <w:spacing w:line="240" w:lineRule="exact"/>
              <w:jc w:val="center"/>
              <w:rPr>
                <w:rFonts w:hint="eastAsia" w:ascii="宋体" w:hAnsi="宋体" w:eastAsia="宋体" w:cs="宋体"/>
                <w:color w:val="auto"/>
                <w:sz w:val="18"/>
                <w:szCs w:val="18"/>
                <w:highlight w:val="none"/>
              </w:rPr>
            </w:pPr>
          </w:p>
        </w:tc>
      </w:tr>
      <w:tr w14:paraId="34B5DC3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8" w:type="dxa"/>
            <w:tcBorders>
              <w:tl2br w:val="nil"/>
              <w:tr2bl w:val="nil"/>
            </w:tcBorders>
            <w:noWrap w:val="0"/>
            <w:vAlign w:val="center"/>
          </w:tcPr>
          <w:p w14:paraId="0EE41043">
            <w:pPr>
              <w:pStyle w:val="9"/>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成立时间</w:t>
            </w:r>
          </w:p>
        </w:tc>
        <w:tc>
          <w:tcPr>
            <w:tcW w:w="2340" w:type="dxa"/>
            <w:gridSpan w:val="2"/>
            <w:tcBorders>
              <w:tl2br w:val="nil"/>
              <w:tr2bl w:val="nil"/>
            </w:tcBorders>
            <w:noWrap w:val="0"/>
            <w:vAlign w:val="center"/>
          </w:tcPr>
          <w:p w14:paraId="0FF837BF">
            <w:pPr>
              <w:pStyle w:val="9"/>
              <w:spacing w:line="240" w:lineRule="exact"/>
              <w:jc w:val="center"/>
              <w:rPr>
                <w:rFonts w:hint="eastAsia" w:ascii="宋体" w:hAnsi="宋体" w:eastAsia="宋体" w:cs="宋体"/>
                <w:color w:val="auto"/>
                <w:sz w:val="18"/>
                <w:szCs w:val="18"/>
                <w:highlight w:val="none"/>
              </w:rPr>
            </w:pPr>
          </w:p>
        </w:tc>
        <w:tc>
          <w:tcPr>
            <w:tcW w:w="4452" w:type="dxa"/>
            <w:gridSpan w:val="5"/>
            <w:tcBorders>
              <w:tl2br w:val="nil"/>
              <w:tr2bl w:val="nil"/>
            </w:tcBorders>
            <w:noWrap w:val="0"/>
            <w:vAlign w:val="center"/>
          </w:tcPr>
          <w:p w14:paraId="7517C092">
            <w:pPr>
              <w:pStyle w:val="9"/>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员工总人数：</w:t>
            </w:r>
          </w:p>
        </w:tc>
      </w:tr>
      <w:tr w14:paraId="297E1C8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8" w:type="dxa"/>
            <w:tcBorders>
              <w:tl2br w:val="nil"/>
              <w:tr2bl w:val="nil"/>
            </w:tcBorders>
            <w:noWrap w:val="0"/>
            <w:vAlign w:val="center"/>
          </w:tcPr>
          <w:p w14:paraId="00D4DFAE">
            <w:pPr>
              <w:pStyle w:val="9"/>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企业资质等级</w:t>
            </w:r>
          </w:p>
        </w:tc>
        <w:tc>
          <w:tcPr>
            <w:tcW w:w="2340" w:type="dxa"/>
            <w:gridSpan w:val="2"/>
            <w:tcBorders>
              <w:tl2br w:val="nil"/>
              <w:tr2bl w:val="nil"/>
            </w:tcBorders>
            <w:noWrap w:val="0"/>
            <w:vAlign w:val="center"/>
          </w:tcPr>
          <w:p w14:paraId="5511D98F">
            <w:pPr>
              <w:pStyle w:val="9"/>
              <w:spacing w:line="240" w:lineRule="exact"/>
              <w:jc w:val="center"/>
              <w:rPr>
                <w:rFonts w:hint="eastAsia" w:ascii="宋体" w:hAnsi="宋体" w:eastAsia="宋体" w:cs="宋体"/>
                <w:color w:val="auto"/>
                <w:sz w:val="18"/>
                <w:szCs w:val="18"/>
                <w:highlight w:val="none"/>
              </w:rPr>
            </w:pPr>
          </w:p>
        </w:tc>
        <w:tc>
          <w:tcPr>
            <w:tcW w:w="720" w:type="dxa"/>
            <w:vMerge w:val="restart"/>
            <w:tcBorders>
              <w:tl2br w:val="nil"/>
              <w:tr2bl w:val="nil"/>
            </w:tcBorders>
            <w:noWrap w:val="0"/>
            <w:vAlign w:val="center"/>
          </w:tcPr>
          <w:p w14:paraId="039F88F0">
            <w:pPr>
              <w:pStyle w:val="9"/>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其中</w:t>
            </w:r>
          </w:p>
        </w:tc>
        <w:tc>
          <w:tcPr>
            <w:tcW w:w="1803" w:type="dxa"/>
            <w:gridSpan w:val="2"/>
            <w:tcBorders>
              <w:tl2br w:val="nil"/>
              <w:tr2bl w:val="nil"/>
            </w:tcBorders>
            <w:noWrap w:val="0"/>
            <w:vAlign w:val="center"/>
          </w:tcPr>
          <w:p w14:paraId="5E38C61B">
            <w:pPr>
              <w:pStyle w:val="9"/>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项目经理</w:t>
            </w:r>
          </w:p>
        </w:tc>
        <w:tc>
          <w:tcPr>
            <w:tcW w:w="1929" w:type="dxa"/>
            <w:gridSpan w:val="2"/>
            <w:tcBorders>
              <w:tl2br w:val="nil"/>
              <w:tr2bl w:val="nil"/>
            </w:tcBorders>
            <w:noWrap w:val="0"/>
            <w:vAlign w:val="center"/>
          </w:tcPr>
          <w:p w14:paraId="4CE87C6A">
            <w:pPr>
              <w:pStyle w:val="9"/>
              <w:spacing w:line="240" w:lineRule="exact"/>
              <w:jc w:val="center"/>
              <w:rPr>
                <w:rFonts w:hint="eastAsia" w:ascii="宋体" w:hAnsi="宋体" w:eastAsia="宋体" w:cs="宋体"/>
                <w:color w:val="auto"/>
                <w:sz w:val="18"/>
                <w:szCs w:val="18"/>
                <w:highlight w:val="none"/>
              </w:rPr>
            </w:pPr>
          </w:p>
        </w:tc>
      </w:tr>
      <w:tr w14:paraId="5C6A4FD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8" w:type="dxa"/>
            <w:tcBorders>
              <w:tl2br w:val="nil"/>
              <w:tr2bl w:val="nil"/>
            </w:tcBorders>
            <w:noWrap w:val="0"/>
            <w:vAlign w:val="center"/>
          </w:tcPr>
          <w:p w14:paraId="4B4D4ABC">
            <w:pPr>
              <w:pStyle w:val="9"/>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营业执照号</w:t>
            </w:r>
          </w:p>
        </w:tc>
        <w:tc>
          <w:tcPr>
            <w:tcW w:w="2340" w:type="dxa"/>
            <w:gridSpan w:val="2"/>
            <w:tcBorders>
              <w:tl2br w:val="nil"/>
              <w:tr2bl w:val="nil"/>
            </w:tcBorders>
            <w:noWrap w:val="0"/>
            <w:vAlign w:val="center"/>
          </w:tcPr>
          <w:p w14:paraId="7D460F10">
            <w:pPr>
              <w:pStyle w:val="9"/>
              <w:spacing w:line="240" w:lineRule="exact"/>
              <w:jc w:val="center"/>
              <w:rPr>
                <w:rFonts w:hint="eastAsia" w:ascii="宋体" w:hAnsi="宋体" w:eastAsia="宋体" w:cs="宋体"/>
                <w:color w:val="auto"/>
                <w:sz w:val="18"/>
                <w:szCs w:val="18"/>
                <w:highlight w:val="none"/>
              </w:rPr>
            </w:pPr>
          </w:p>
        </w:tc>
        <w:tc>
          <w:tcPr>
            <w:tcW w:w="720" w:type="dxa"/>
            <w:vMerge w:val="continue"/>
            <w:tcBorders>
              <w:tl2br w:val="nil"/>
              <w:tr2bl w:val="nil"/>
            </w:tcBorders>
            <w:noWrap w:val="0"/>
            <w:vAlign w:val="center"/>
          </w:tcPr>
          <w:p w14:paraId="4E8238DB">
            <w:pPr>
              <w:pStyle w:val="9"/>
              <w:spacing w:line="240" w:lineRule="exact"/>
              <w:jc w:val="center"/>
              <w:rPr>
                <w:rFonts w:hint="eastAsia" w:ascii="宋体" w:hAnsi="宋体" w:eastAsia="宋体" w:cs="宋体"/>
                <w:color w:val="auto"/>
                <w:sz w:val="18"/>
                <w:szCs w:val="18"/>
                <w:highlight w:val="none"/>
              </w:rPr>
            </w:pPr>
          </w:p>
        </w:tc>
        <w:tc>
          <w:tcPr>
            <w:tcW w:w="1803" w:type="dxa"/>
            <w:gridSpan w:val="2"/>
            <w:tcBorders>
              <w:tl2br w:val="nil"/>
              <w:tr2bl w:val="nil"/>
            </w:tcBorders>
            <w:noWrap w:val="0"/>
            <w:vAlign w:val="center"/>
          </w:tcPr>
          <w:p w14:paraId="27902C67">
            <w:pPr>
              <w:pStyle w:val="9"/>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高级职称人员</w:t>
            </w:r>
          </w:p>
        </w:tc>
        <w:tc>
          <w:tcPr>
            <w:tcW w:w="1929" w:type="dxa"/>
            <w:gridSpan w:val="2"/>
            <w:tcBorders>
              <w:tl2br w:val="nil"/>
              <w:tr2bl w:val="nil"/>
            </w:tcBorders>
            <w:noWrap w:val="0"/>
            <w:vAlign w:val="center"/>
          </w:tcPr>
          <w:p w14:paraId="1666A64C">
            <w:pPr>
              <w:pStyle w:val="9"/>
              <w:spacing w:line="240" w:lineRule="exact"/>
              <w:jc w:val="center"/>
              <w:rPr>
                <w:rFonts w:hint="eastAsia" w:ascii="宋体" w:hAnsi="宋体" w:eastAsia="宋体" w:cs="宋体"/>
                <w:color w:val="auto"/>
                <w:sz w:val="18"/>
                <w:szCs w:val="18"/>
                <w:highlight w:val="none"/>
              </w:rPr>
            </w:pPr>
          </w:p>
        </w:tc>
      </w:tr>
      <w:tr w14:paraId="61AA0ED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8" w:type="dxa"/>
            <w:tcBorders>
              <w:tl2br w:val="nil"/>
              <w:tr2bl w:val="nil"/>
            </w:tcBorders>
            <w:noWrap w:val="0"/>
            <w:vAlign w:val="center"/>
          </w:tcPr>
          <w:p w14:paraId="7D3F4034">
            <w:pPr>
              <w:pStyle w:val="9"/>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注册资金</w:t>
            </w:r>
          </w:p>
        </w:tc>
        <w:tc>
          <w:tcPr>
            <w:tcW w:w="2340" w:type="dxa"/>
            <w:gridSpan w:val="2"/>
            <w:tcBorders>
              <w:tl2br w:val="nil"/>
              <w:tr2bl w:val="nil"/>
            </w:tcBorders>
            <w:noWrap w:val="0"/>
            <w:vAlign w:val="center"/>
          </w:tcPr>
          <w:p w14:paraId="30CF6B83">
            <w:pPr>
              <w:pStyle w:val="9"/>
              <w:spacing w:line="240" w:lineRule="exact"/>
              <w:jc w:val="center"/>
              <w:rPr>
                <w:rFonts w:hint="eastAsia" w:ascii="宋体" w:hAnsi="宋体" w:eastAsia="宋体" w:cs="宋体"/>
                <w:color w:val="auto"/>
                <w:sz w:val="18"/>
                <w:szCs w:val="18"/>
                <w:highlight w:val="none"/>
              </w:rPr>
            </w:pPr>
          </w:p>
        </w:tc>
        <w:tc>
          <w:tcPr>
            <w:tcW w:w="720" w:type="dxa"/>
            <w:vMerge w:val="continue"/>
            <w:tcBorders>
              <w:tl2br w:val="nil"/>
              <w:tr2bl w:val="nil"/>
            </w:tcBorders>
            <w:noWrap w:val="0"/>
            <w:vAlign w:val="center"/>
          </w:tcPr>
          <w:p w14:paraId="33F328B5">
            <w:pPr>
              <w:pStyle w:val="9"/>
              <w:spacing w:line="240" w:lineRule="exact"/>
              <w:jc w:val="center"/>
              <w:rPr>
                <w:rFonts w:hint="eastAsia" w:ascii="宋体" w:hAnsi="宋体" w:eastAsia="宋体" w:cs="宋体"/>
                <w:color w:val="auto"/>
                <w:sz w:val="18"/>
                <w:szCs w:val="18"/>
                <w:highlight w:val="none"/>
              </w:rPr>
            </w:pPr>
          </w:p>
        </w:tc>
        <w:tc>
          <w:tcPr>
            <w:tcW w:w="1803" w:type="dxa"/>
            <w:gridSpan w:val="2"/>
            <w:tcBorders>
              <w:tl2br w:val="nil"/>
              <w:tr2bl w:val="nil"/>
            </w:tcBorders>
            <w:noWrap w:val="0"/>
            <w:vAlign w:val="center"/>
          </w:tcPr>
          <w:p w14:paraId="6C8DD380">
            <w:pPr>
              <w:pStyle w:val="9"/>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中级职称人员</w:t>
            </w:r>
          </w:p>
        </w:tc>
        <w:tc>
          <w:tcPr>
            <w:tcW w:w="1929" w:type="dxa"/>
            <w:gridSpan w:val="2"/>
            <w:tcBorders>
              <w:tl2br w:val="nil"/>
              <w:tr2bl w:val="nil"/>
            </w:tcBorders>
            <w:noWrap w:val="0"/>
            <w:vAlign w:val="center"/>
          </w:tcPr>
          <w:p w14:paraId="5C833AEA">
            <w:pPr>
              <w:pStyle w:val="9"/>
              <w:spacing w:line="240" w:lineRule="exact"/>
              <w:jc w:val="center"/>
              <w:rPr>
                <w:rFonts w:hint="eastAsia" w:ascii="宋体" w:hAnsi="宋体" w:eastAsia="宋体" w:cs="宋体"/>
                <w:color w:val="auto"/>
                <w:sz w:val="18"/>
                <w:szCs w:val="18"/>
                <w:highlight w:val="none"/>
              </w:rPr>
            </w:pPr>
          </w:p>
        </w:tc>
      </w:tr>
      <w:tr w14:paraId="713A1A4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8" w:type="dxa"/>
            <w:tcBorders>
              <w:tl2br w:val="nil"/>
              <w:tr2bl w:val="nil"/>
            </w:tcBorders>
            <w:noWrap w:val="0"/>
            <w:vAlign w:val="center"/>
          </w:tcPr>
          <w:p w14:paraId="57131138">
            <w:pPr>
              <w:pStyle w:val="9"/>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基本账户开户银行</w:t>
            </w:r>
          </w:p>
        </w:tc>
        <w:tc>
          <w:tcPr>
            <w:tcW w:w="2340" w:type="dxa"/>
            <w:gridSpan w:val="2"/>
            <w:tcBorders>
              <w:tl2br w:val="nil"/>
              <w:tr2bl w:val="nil"/>
            </w:tcBorders>
            <w:noWrap w:val="0"/>
            <w:vAlign w:val="center"/>
          </w:tcPr>
          <w:p w14:paraId="1B29444F">
            <w:pPr>
              <w:pStyle w:val="9"/>
              <w:spacing w:line="240" w:lineRule="exact"/>
              <w:jc w:val="center"/>
              <w:rPr>
                <w:rFonts w:hint="eastAsia" w:ascii="宋体" w:hAnsi="宋体" w:eastAsia="宋体" w:cs="宋体"/>
                <w:color w:val="auto"/>
                <w:sz w:val="18"/>
                <w:szCs w:val="18"/>
                <w:highlight w:val="none"/>
              </w:rPr>
            </w:pPr>
          </w:p>
        </w:tc>
        <w:tc>
          <w:tcPr>
            <w:tcW w:w="720" w:type="dxa"/>
            <w:vMerge w:val="continue"/>
            <w:tcBorders>
              <w:tl2br w:val="nil"/>
              <w:tr2bl w:val="nil"/>
            </w:tcBorders>
            <w:noWrap w:val="0"/>
            <w:vAlign w:val="center"/>
          </w:tcPr>
          <w:p w14:paraId="20E2C6AA">
            <w:pPr>
              <w:pStyle w:val="9"/>
              <w:spacing w:line="240" w:lineRule="exact"/>
              <w:jc w:val="center"/>
              <w:rPr>
                <w:rFonts w:hint="eastAsia" w:ascii="宋体" w:hAnsi="宋体" w:eastAsia="宋体" w:cs="宋体"/>
                <w:color w:val="auto"/>
                <w:sz w:val="18"/>
                <w:szCs w:val="18"/>
                <w:highlight w:val="none"/>
              </w:rPr>
            </w:pPr>
          </w:p>
        </w:tc>
        <w:tc>
          <w:tcPr>
            <w:tcW w:w="1803" w:type="dxa"/>
            <w:gridSpan w:val="2"/>
            <w:tcBorders>
              <w:tl2br w:val="nil"/>
              <w:tr2bl w:val="nil"/>
            </w:tcBorders>
            <w:noWrap w:val="0"/>
            <w:vAlign w:val="center"/>
          </w:tcPr>
          <w:p w14:paraId="7C811CCD">
            <w:pPr>
              <w:pStyle w:val="9"/>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初级职称人员</w:t>
            </w:r>
          </w:p>
        </w:tc>
        <w:tc>
          <w:tcPr>
            <w:tcW w:w="1929" w:type="dxa"/>
            <w:gridSpan w:val="2"/>
            <w:tcBorders>
              <w:tl2br w:val="nil"/>
              <w:tr2bl w:val="nil"/>
            </w:tcBorders>
            <w:noWrap w:val="0"/>
            <w:vAlign w:val="center"/>
          </w:tcPr>
          <w:p w14:paraId="4A7E8262">
            <w:pPr>
              <w:pStyle w:val="9"/>
              <w:spacing w:line="240" w:lineRule="exact"/>
              <w:jc w:val="center"/>
              <w:rPr>
                <w:rFonts w:hint="eastAsia" w:ascii="宋体" w:hAnsi="宋体" w:eastAsia="宋体" w:cs="宋体"/>
                <w:color w:val="auto"/>
                <w:sz w:val="18"/>
                <w:szCs w:val="18"/>
                <w:highlight w:val="none"/>
              </w:rPr>
            </w:pPr>
          </w:p>
        </w:tc>
      </w:tr>
      <w:tr w14:paraId="2E044F6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8" w:type="dxa"/>
            <w:tcBorders>
              <w:tl2br w:val="nil"/>
              <w:tr2bl w:val="nil"/>
            </w:tcBorders>
            <w:noWrap w:val="0"/>
            <w:vAlign w:val="center"/>
          </w:tcPr>
          <w:p w14:paraId="055E579C">
            <w:pPr>
              <w:pStyle w:val="9"/>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基本账户账号</w:t>
            </w:r>
          </w:p>
        </w:tc>
        <w:tc>
          <w:tcPr>
            <w:tcW w:w="2340" w:type="dxa"/>
            <w:gridSpan w:val="2"/>
            <w:tcBorders>
              <w:tl2br w:val="nil"/>
              <w:tr2bl w:val="nil"/>
            </w:tcBorders>
            <w:noWrap w:val="0"/>
            <w:vAlign w:val="center"/>
          </w:tcPr>
          <w:p w14:paraId="6FF216D1">
            <w:pPr>
              <w:pStyle w:val="9"/>
              <w:spacing w:line="240" w:lineRule="exact"/>
              <w:jc w:val="center"/>
              <w:rPr>
                <w:rFonts w:hint="eastAsia" w:ascii="宋体" w:hAnsi="宋体" w:eastAsia="宋体" w:cs="宋体"/>
                <w:color w:val="auto"/>
                <w:sz w:val="18"/>
                <w:szCs w:val="18"/>
                <w:highlight w:val="none"/>
              </w:rPr>
            </w:pPr>
          </w:p>
        </w:tc>
        <w:tc>
          <w:tcPr>
            <w:tcW w:w="720" w:type="dxa"/>
            <w:vMerge w:val="continue"/>
            <w:tcBorders>
              <w:tl2br w:val="nil"/>
              <w:tr2bl w:val="nil"/>
            </w:tcBorders>
            <w:noWrap w:val="0"/>
            <w:vAlign w:val="center"/>
          </w:tcPr>
          <w:p w14:paraId="518ECF78">
            <w:pPr>
              <w:pStyle w:val="9"/>
              <w:spacing w:line="240" w:lineRule="exact"/>
              <w:jc w:val="center"/>
              <w:rPr>
                <w:rFonts w:hint="eastAsia" w:ascii="宋体" w:hAnsi="宋体" w:eastAsia="宋体" w:cs="宋体"/>
                <w:color w:val="auto"/>
                <w:sz w:val="18"/>
                <w:szCs w:val="18"/>
                <w:highlight w:val="none"/>
              </w:rPr>
            </w:pPr>
          </w:p>
        </w:tc>
        <w:tc>
          <w:tcPr>
            <w:tcW w:w="1803" w:type="dxa"/>
            <w:gridSpan w:val="2"/>
            <w:tcBorders>
              <w:tl2br w:val="nil"/>
              <w:tr2bl w:val="nil"/>
            </w:tcBorders>
            <w:noWrap w:val="0"/>
            <w:vAlign w:val="center"/>
          </w:tcPr>
          <w:p w14:paraId="73BCD2A4">
            <w:pPr>
              <w:pStyle w:val="9"/>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技工</w:t>
            </w:r>
          </w:p>
        </w:tc>
        <w:tc>
          <w:tcPr>
            <w:tcW w:w="1929" w:type="dxa"/>
            <w:gridSpan w:val="2"/>
            <w:tcBorders>
              <w:tl2br w:val="nil"/>
              <w:tr2bl w:val="nil"/>
            </w:tcBorders>
            <w:noWrap w:val="0"/>
            <w:vAlign w:val="center"/>
          </w:tcPr>
          <w:p w14:paraId="0FB39A4C">
            <w:pPr>
              <w:pStyle w:val="9"/>
              <w:spacing w:line="240" w:lineRule="exact"/>
              <w:jc w:val="center"/>
              <w:rPr>
                <w:rFonts w:hint="eastAsia" w:ascii="宋体" w:hAnsi="宋体" w:eastAsia="宋体" w:cs="宋体"/>
                <w:color w:val="auto"/>
                <w:sz w:val="18"/>
                <w:szCs w:val="18"/>
                <w:highlight w:val="none"/>
              </w:rPr>
            </w:pPr>
          </w:p>
        </w:tc>
      </w:tr>
      <w:tr w14:paraId="3776C6A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533" w:hRule="atLeast"/>
        </w:trPr>
        <w:tc>
          <w:tcPr>
            <w:tcW w:w="1828" w:type="dxa"/>
            <w:tcBorders>
              <w:tl2br w:val="nil"/>
              <w:tr2bl w:val="nil"/>
            </w:tcBorders>
            <w:noWrap w:val="0"/>
            <w:vAlign w:val="center"/>
          </w:tcPr>
          <w:p w14:paraId="0F0A65C6">
            <w:pPr>
              <w:pStyle w:val="9"/>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经营范围</w:t>
            </w:r>
          </w:p>
        </w:tc>
        <w:tc>
          <w:tcPr>
            <w:tcW w:w="6792" w:type="dxa"/>
            <w:gridSpan w:val="7"/>
            <w:tcBorders>
              <w:tl2br w:val="nil"/>
              <w:tr2bl w:val="nil"/>
            </w:tcBorders>
            <w:noWrap w:val="0"/>
            <w:vAlign w:val="center"/>
          </w:tcPr>
          <w:p w14:paraId="31EA919E">
            <w:pPr>
              <w:pStyle w:val="9"/>
              <w:spacing w:line="240" w:lineRule="exact"/>
              <w:jc w:val="center"/>
              <w:rPr>
                <w:rFonts w:hint="eastAsia" w:ascii="宋体" w:hAnsi="宋体" w:eastAsia="宋体" w:cs="宋体"/>
                <w:color w:val="auto"/>
                <w:sz w:val="18"/>
                <w:szCs w:val="18"/>
                <w:highlight w:val="none"/>
              </w:rPr>
            </w:pPr>
          </w:p>
        </w:tc>
      </w:tr>
      <w:tr w14:paraId="3CD4C14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946" w:hRule="atLeast"/>
        </w:trPr>
        <w:tc>
          <w:tcPr>
            <w:tcW w:w="1828" w:type="dxa"/>
            <w:tcBorders>
              <w:tl2br w:val="nil"/>
              <w:tr2bl w:val="nil"/>
            </w:tcBorders>
            <w:noWrap w:val="0"/>
            <w:vAlign w:val="center"/>
          </w:tcPr>
          <w:p w14:paraId="5847C0D8">
            <w:pPr>
              <w:pStyle w:val="9"/>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资产构成情况及</w:t>
            </w:r>
          </w:p>
          <w:p w14:paraId="0916A3C0">
            <w:pPr>
              <w:pStyle w:val="9"/>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投资参股的关联</w:t>
            </w:r>
          </w:p>
          <w:p w14:paraId="67D7D88B">
            <w:pPr>
              <w:pStyle w:val="9"/>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企业情况</w:t>
            </w:r>
          </w:p>
        </w:tc>
        <w:tc>
          <w:tcPr>
            <w:tcW w:w="6792" w:type="dxa"/>
            <w:gridSpan w:val="7"/>
            <w:tcBorders>
              <w:tl2br w:val="nil"/>
              <w:tr2bl w:val="nil"/>
            </w:tcBorders>
            <w:noWrap w:val="0"/>
            <w:vAlign w:val="center"/>
          </w:tcPr>
          <w:p w14:paraId="3D332E89">
            <w:pPr>
              <w:pStyle w:val="9"/>
              <w:spacing w:line="240" w:lineRule="exact"/>
              <w:rPr>
                <w:rFonts w:hint="eastAsia" w:ascii="宋体" w:hAnsi="宋体" w:eastAsia="宋体" w:cs="宋体"/>
                <w:color w:val="auto"/>
                <w:sz w:val="18"/>
                <w:szCs w:val="18"/>
                <w:highlight w:val="none"/>
              </w:rPr>
            </w:pPr>
          </w:p>
        </w:tc>
      </w:tr>
      <w:tr w14:paraId="4756C2F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526" w:hRule="atLeast"/>
        </w:trPr>
        <w:tc>
          <w:tcPr>
            <w:tcW w:w="1828" w:type="dxa"/>
            <w:tcBorders>
              <w:tl2br w:val="nil"/>
              <w:tr2bl w:val="nil"/>
            </w:tcBorders>
            <w:noWrap w:val="0"/>
            <w:vAlign w:val="center"/>
          </w:tcPr>
          <w:p w14:paraId="744E27A7">
            <w:pPr>
              <w:pStyle w:val="9"/>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备注</w:t>
            </w:r>
          </w:p>
        </w:tc>
        <w:tc>
          <w:tcPr>
            <w:tcW w:w="6792" w:type="dxa"/>
            <w:gridSpan w:val="7"/>
            <w:tcBorders>
              <w:tl2br w:val="nil"/>
              <w:tr2bl w:val="nil"/>
            </w:tcBorders>
            <w:noWrap w:val="0"/>
            <w:vAlign w:val="center"/>
          </w:tcPr>
          <w:p w14:paraId="2B898B68">
            <w:pPr>
              <w:pStyle w:val="9"/>
              <w:spacing w:line="240" w:lineRule="exact"/>
              <w:rPr>
                <w:rFonts w:hint="eastAsia" w:ascii="宋体" w:hAnsi="宋体" w:eastAsia="宋体" w:cs="宋体"/>
                <w:color w:val="auto"/>
                <w:sz w:val="18"/>
                <w:szCs w:val="18"/>
                <w:highlight w:val="none"/>
              </w:rPr>
            </w:pPr>
          </w:p>
        </w:tc>
      </w:tr>
    </w:tbl>
    <w:p w14:paraId="2C577AD6">
      <w:pPr>
        <w:pStyle w:val="9"/>
        <w:keepNext w:val="0"/>
        <w:keepLines w:val="0"/>
        <w:pageBreakBefore w:val="0"/>
        <w:widowControl w:val="0"/>
        <w:kinsoku/>
        <w:wordWrap/>
        <w:overflowPunct/>
        <w:topLinePunct w:val="0"/>
        <w:autoSpaceDE/>
        <w:autoSpaceDN/>
        <w:bidi w:val="0"/>
        <w:adjustRightInd/>
        <w:snapToGrid/>
        <w:spacing w:line="280" w:lineRule="exact"/>
        <w:ind w:right="105"/>
        <w:jc w:val="left"/>
        <w:textAlignment w:val="auto"/>
        <w:rPr>
          <w:rFonts w:hint="eastAsia" w:ascii="宋体" w:hAnsi="宋体" w:eastAsia="宋体" w:cs="宋体"/>
          <w:color w:val="auto"/>
          <w:kern w:val="0"/>
          <w:sz w:val="18"/>
          <w:szCs w:val="18"/>
          <w:highlight w:val="none"/>
          <w:lang w:val="en-US" w:eastAsia="zh-CN" w:bidi="ar"/>
        </w:rPr>
      </w:pPr>
      <w:r>
        <w:rPr>
          <w:rFonts w:hint="eastAsia" w:ascii="宋体" w:hAnsi="宋体" w:eastAsia="宋体" w:cs="宋体"/>
          <w:color w:val="auto"/>
          <w:kern w:val="0"/>
          <w:sz w:val="18"/>
          <w:szCs w:val="18"/>
          <w:highlight w:val="none"/>
          <w:lang w:val="en-US" w:eastAsia="zh-CN" w:bidi="ar"/>
        </w:rPr>
        <w:t xml:space="preserve">注：1.本表后应附： </w:t>
      </w:r>
    </w:p>
    <w:p w14:paraId="6D5463B8">
      <w:pPr>
        <w:pStyle w:val="9"/>
        <w:keepNext w:val="0"/>
        <w:keepLines w:val="0"/>
        <w:pageBreakBefore w:val="0"/>
        <w:widowControl w:val="0"/>
        <w:kinsoku/>
        <w:wordWrap/>
        <w:overflowPunct/>
        <w:topLinePunct w:val="0"/>
        <w:autoSpaceDE/>
        <w:autoSpaceDN/>
        <w:bidi w:val="0"/>
        <w:adjustRightInd/>
        <w:snapToGrid/>
        <w:spacing w:line="280" w:lineRule="exact"/>
        <w:ind w:right="105" w:firstLine="360" w:firstLineChars="200"/>
        <w:jc w:val="left"/>
        <w:textAlignment w:val="auto"/>
        <w:rPr>
          <w:rFonts w:hint="eastAsia" w:ascii="宋体" w:hAnsi="宋体" w:eastAsia="宋体" w:cs="宋体"/>
          <w:color w:val="auto"/>
          <w:kern w:val="0"/>
          <w:sz w:val="18"/>
          <w:szCs w:val="18"/>
          <w:highlight w:val="none"/>
          <w:lang w:val="en-US" w:eastAsia="zh-CN" w:bidi="ar"/>
        </w:rPr>
      </w:pPr>
      <w:r>
        <w:rPr>
          <w:rFonts w:hint="eastAsia" w:ascii="宋体" w:hAnsi="宋体" w:eastAsia="宋体" w:cs="宋体"/>
          <w:color w:val="auto"/>
          <w:kern w:val="0"/>
          <w:sz w:val="18"/>
          <w:szCs w:val="18"/>
          <w:highlight w:val="none"/>
          <w:lang w:val="en-US" w:eastAsia="zh-CN" w:bidi="ar"/>
        </w:rPr>
        <w:t xml:space="preserve">（1）企业法人营业执照副本和组织机构代码证副本（按照“三证合一”或“五证合一”登记制度进行登记的，可仅提供营业执照副本，下同）复印件或扫描件； </w:t>
      </w:r>
    </w:p>
    <w:p w14:paraId="1FA33FA6">
      <w:pPr>
        <w:pStyle w:val="9"/>
        <w:keepNext w:val="0"/>
        <w:keepLines w:val="0"/>
        <w:pageBreakBefore w:val="0"/>
        <w:widowControl w:val="0"/>
        <w:kinsoku/>
        <w:wordWrap/>
        <w:overflowPunct/>
        <w:topLinePunct w:val="0"/>
        <w:autoSpaceDE/>
        <w:autoSpaceDN/>
        <w:bidi w:val="0"/>
        <w:adjustRightInd/>
        <w:snapToGrid/>
        <w:spacing w:line="280" w:lineRule="exact"/>
        <w:ind w:right="105" w:firstLine="360" w:firstLineChars="200"/>
        <w:jc w:val="left"/>
        <w:textAlignment w:val="auto"/>
        <w:rPr>
          <w:rFonts w:hint="eastAsia" w:ascii="宋体" w:hAnsi="宋体" w:eastAsia="宋体" w:cs="宋体"/>
          <w:color w:val="auto"/>
          <w:kern w:val="0"/>
          <w:sz w:val="18"/>
          <w:szCs w:val="18"/>
          <w:highlight w:val="none"/>
          <w:lang w:val="en-US" w:eastAsia="zh-CN" w:bidi="ar"/>
        </w:rPr>
      </w:pPr>
      <w:r>
        <w:rPr>
          <w:rFonts w:hint="eastAsia" w:ascii="宋体" w:hAnsi="宋体" w:eastAsia="宋体" w:cs="宋体"/>
          <w:color w:val="auto"/>
          <w:kern w:val="0"/>
          <w:sz w:val="18"/>
          <w:szCs w:val="18"/>
          <w:highlight w:val="none"/>
          <w:lang w:val="en-US" w:eastAsia="zh-CN" w:bidi="ar"/>
        </w:rPr>
        <w:t xml:space="preserve">（2）养护资质证书副本复印件或扫描件； </w:t>
      </w:r>
    </w:p>
    <w:p w14:paraId="4B1070C9">
      <w:pPr>
        <w:pStyle w:val="9"/>
        <w:keepNext w:val="0"/>
        <w:keepLines w:val="0"/>
        <w:pageBreakBefore w:val="0"/>
        <w:widowControl w:val="0"/>
        <w:kinsoku/>
        <w:wordWrap/>
        <w:overflowPunct/>
        <w:topLinePunct w:val="0"/>
        <w:autoSpaceDE/>
        <w:autoSpaceDN/>
        <w:bidi w:val="0"/>
        <w:adjustRightInd/>
        <w:snapToGrid/>
        <w:spacing w:line="280" w:lineRule="exact"/>
        <w:ind w:right="105" w:firstLine="360" w:firstLineChars="200"/>
        <w:jc w:val="left"/>
        <w:textAlignment w:val="auto"/>
        <w:rPr>
          <w:rFonts w:hint="eastAsia" w:ascii="宋体" w:hAnsi="宋体" w:eastAsia="宋体" w:cs="宋体"/>
          <w:color w:val="auto"/>
          <w:kern w:val="0"/>
          <w:sz w:val="18"/>
          <w:szCs w:val="18"/>
          <w:highlight w:val="none"/>
          <w:lang w:val="en-US" w:eastAsia="zh-CN" w:bidi="ar"/>
        </w:rPr>
      </w:pPr>
      <w:r>
        <w:rPr>
          <w:rFonts w:hint="eastAsia" w:ascii="宋体" w:hAnsi="宋体" w:eastAsia="宋体" w:cs="宋体"/>
          <w:color w:val="auto"/>
          <w:kern w:val="0"/>
          <w:sz w:val="18"/>
          <w:szCs w:val="18"/>
          <w:highlight w:val="none"/>
          <w:lang w:val="en-US" w:eastAsia="zh-CN" w:bidi="ar"/>
        </w:rPr>
        <w:t xml:space="preserve">（3）基本账户开户许可证（或银行出具的基本账户存款证明或基本存款账户信息）的复印件或扫描件； </w:t>
      </w:r>
    </w:p>
    <w:p w14:paraId="0A5936DC">
      <w:pPr>
        <w:pStyle w:val="9"/>
        <w:keepNext w:val="0"/>
        <w:keepLines w:val="0"/>
        <w:pageBreakBefore w:val="0"/>
        <w:widowControl w:val="0"/>
        <w:kinsoku/>
        <w:wordWrap/>
        <w:overflowPunct/>
        <w:topLinePunct w:val="0"/>
        <w:autoSpaceDE/>
        <w:autoSpaceDN/>
        <w:bidi w:val="0"/>
        <w:adjustRightInd/>
        <w:snapToGrid/>
        <w:spacing w:line="280" w:lineRule="exact"/>
        <w:ind w:right="105" w:firstLine="360" w:firstLineChars="200"/>
        <w:jc w:val="left"/>
        <w:textAlignment w:val="auto"/>
        <w:rPr>
          <w:rFonts w:hint="eastAsia" w:ascii="宋体" w:hAnsi="宋体" w:eastAsia="宋体" w:cs="宋体"/>
          <w:color w:val="auto"/>
          <w:kern w:val="0"/>
          <w:sz w:val="18"/>
          <w:szCs w:val="18"/>
          <w:highlight w:val="none"/>
          <w:lang w:val="en-US" w:eastAsia="zh-CN" w:bidi="ar"/>
        </w:rPr>
      </w:pPr>
      <w:r>
        <w:rPr>
          <w:rFonts w:hint="eastAsia" w:ascii="宋体" w:hAnsi="宋体" w:eastAsia="宋体" w:cs="宋体"/>
          <w:color w:val="auto"/>
          <w:kern w:val="0"/>
          <w:sz w:val="18"/>
          <w:szCs w:val="18"/>
          <w:highlight w:val="none"/>
          <w:lang w:val="en-US" w:eastAsia="zh-CN" w:bidi="ar"/>
        </w:rPr>
        <w:t xml:space="preserve">（4）投标人在国家企业信用信息公示系统中基础信息（体现股东及出资详细信息）的网页截图或由法定的社会验资机构出具的验资报告或注册地市场监督部门出具的股东出资情况证明复印件或扫描件。 </w:t>
      </w:r>
    </w:p>
    <w:p w14:paraId="6D0CA83E">
      <w:pPr>
        <w:pStyle w:val="9"/>
        <w:keepNext w:val="0"/>
        <w:keepLines w:val="0"/>
        <w:pageBreakBefore w:val="0"/>
        <w:widowControl w:val="0"/>
        <w:kinsoku/>
        <w:wordWrap/>
        <w:overflowPunct/>
        <w:topLinePunct w:val="0"/>
        <w:autoSpaceDE/>
        <w:autoSpaceDN/>
        <w:bidi w:val="0"/>
        <w:adjustRightInd/>
        <w:snapToGrid/>
        <w:spacing w:line="280" w:lineRule="exact"/>
        <w:ind w:right="105" w:firstLine="360" w:firstLineChars="200"/>
        <w:jc w:val="left"/>
        <w:textAlignment w:val="auto"/>
        <w:rPr>
          <w:rFonts w:hint="eastAsia" w:ascii="宋体" w:hAnsi="宋体" w:eastAsia="宋体" w:cs="宋体"/>
          <w:color w:val="auto"/>
          <w:kern w:val="0"/>
          <w:sz w:val="18"/>
          <w:szCs w:val="18"/>
          <w:highlight w:val="none"/>
          <w:lang w:val="en-US" w:eastAsia="zh-CN" w:bidi="ar"/>
        </w:rPr>
      </w:pPr>
      <w:r>
        <w:rPr>
          <w:rFonts w:hint="eastAsia" w:ascii="宋体" w:hAnsi="宋体" w:eastAsia="宋体" w:cs="宋体"/>
          <w:color w:val="auto"/>
          <w:kern w:val="0"/>
          <w:sz w:val="18"/>
          <w:szCs w:val="18"/>
          <w:highlight w:val="none"/>
          <w:lang w:val="en-US" w:eastAsia="zh-CN" w:bidi="ar"/>
        </w:rPr>
        <w:t>2.企业法人营业执照副本和组织机构代码证副本、养护资质证书副本、基本账户开户许可证（或银行出具的基本账户存款证明或基存款账户信息）的复印件或扫描件应提供全本（证书封面、封底、空白页除外），应包括投标人名称、投标人其他相关信息、颁发机构名称、投标人信息变更情况等关键页在内，并逐页加盖投标人单位公章。</w:t>
      </w:r>
    </w:p>
    <w:p w14:paraId="1DAE64DC">
      <w:pPr>
        <w:keepNext w:val="0"/>
        <w:keepLines w:val="0"/>
        <w:pageBreakBefore w:val="0"/>
        <w:widowControl/>
        <w:suppressLineNumbers w:val="0"/>
        <w:kinsoku/>
        <w:wordWrap/>
        <w:overflowPunct/>
        <w:topLinePunct w:val="0"/>
        <w:autoSpaceDE/>
        <w:autoSpaceDN/>
        <w:bidi w:val="0"/>
        <w:adjustRightInd/>
        <w:snapToGrid/>
        <w:spacing w:line="280" w:lineRule="exact"/>
        <w:ind w:firstLine="360" w:firstLineChars="200"/>
        <w:jc w:val="left"/>
        <w:textAlignment w:val="auto"/>
        <w:rPr>
          <w:rFonts w:hint="default" w:ascii="宋体" w:hAnsi="宋体" w:eastAsia="宋体" w:cs="宋体"/>
          <w:color w:val="auto"/>
          <w:sz w:val="18"/>
          <w:szCs w:val="18"/>
          <w:highlight w:val="none"/>
          <w:lang w:val="en-US" w:eastAsia="zh-CN"/>
        </w:rPr>
      </w:pPr>
      <w:r>
        <w:rPr>
          <w:rFonts w:hint="eastAsia" w:ascii="宋体" w:hAnsi="宋体" w:eastAsia="宋体" w:cs="宋体"/>
          <w:color w:val="auto"/>
          <w:kern w:val="0"/>
          <w:sz w:val="18"/>
          <w:szCs w:val="18"/>
          <w:highlight w:val="none"/>
          <w:lang w:val="en-US" w:eastAsia="zh-CN" w:bidi="ar"/>
        </w:rPr>
        <w:t>3．以联合体形式参与投标的，联合体各成员应分别填写本表，并在本表后附上述第1、2条要求的资料。</w:t>
      </w:r>
    </w:p>
    <w:p w14:paraId="2786FC83">
      <w:pPr>
        <w:pStyle w:val="9"/>
        <w:jc w:val="center"/>
        <w:rPr>
          <w:color w:val="auto"/>
          <w:highlight w:val="none"/>
        </w:rPr>
      </w:pPr>
      <w:r>
        <w:rPr>
          <w:color w:val="auto"/>
          <w:highlight w:val="none"/>
        </w:rPr>
        <w:br w:type="page"/>
      </w:r>
    </w:p>
    <w:p w14:paraId="7C7B3DDE">
      <w:pPr>
        <w:pStyle w:val="9"/>
        <w:keepNext/>
        <w:keepLines/>
        <w:spacing w:line="360" w:lineRule="auto"/>
        <w:jc w:val="center"/>
        <w:outlineLvl w:val="2"/>
        <w:rPr>
          <w:b/>
          <w:bCs/>
          <w:color w:val="auto"/>
          <w:sz w:val="28"/>
          <w:szCs w:val="28"/>
          <w:highlight w:val="none"/>
        </w:rPr>
      </w:pPr>
      <w:bookmarkStart w:id="832" w:name="_Toc385863179"/>
      <w:bookmarkStart w:id="833" w:name="_Toc14309"/>
      <w:bookmarkStart w:id="834" w:name="_Toc14842"/>
      <w:r>
        <w:rPr>
          <w:b/>
          <w:bCs/>
          <w:color w:val="auto"/>
          <w:sz w:val="28"/>
          <w:szCs w:val="28"/>
          <w:highlight w:val="none"/>
        </w:rPr>
        <w:t>（二）投标人企业组织机构框图</w:t>
      </w:r>
      <w:bookmarkEnd w:id="832"/>
      <w:bookmarkEnd w:id="833"/>
      <w:bookmarkEnd w:id="834"/>
    </w:p>
    <w:tbl>
      <w:tblPr>
        <w:tblStyle w:val="23"/>
        <w:tblW w:w="8742"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742"/>
      </w:tblGrid>
      <w:tr w14:paraId="25A03DC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361" w:hRule="atLeast"/>
        </w:trPr>
        <w:tc>
          <w:tcPr>
            <w:tcW w:w="8742" w:type="dxa"/>
            <w:tcBorders>
              <w:tl2br w:val="nil"/>
              <w:tr2bl w:val="nil"/>
            </w:tcBorders>
            <w:noWrap w:val="0"/>
            <w:vAlign w:val="top"/>
          </w:tcPr>
          <w:p w14:paraId="0FF7279C">
            <w:pPr>
              <w:pStyle w:val="9"/>
              <w:rPr>
                <w:rFonts w:hint="eastAsia" w:ascii="宋体" w:hAnsi="宋体" w:eastAsia="宋体" w:cs="宋体"/>
                <w:color w:val="auto"/>
                <w:sz w:val="18"/>
                <w:szCs w:val="18"/>
                <w:highlight w:val="none"/>
              </w:rPr>
            </w:pPr>
          </w:p>
          <w:p w14:paraId="36E0EF39">
            <w:pPr>
              <w:pStyle w:val="9"/>
              <w:ind w:firstLine="90" w:firstLineChars="5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以框图方式表示</w:t>
            </w:r>
          </w:p>
        </w:tc>
      </w:tr>
      <w:tr w14:paraId="7575D25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58" w:hRule="atLeast"/>
        </w:trPr>
        <w:tc>
          <w:tcPr>
            <w:tcW w:w="8742" w:type="dxa"/>
            <w:tcBorders>
              <w:tl2br w:val="nil"/>
              <w:tr2bl w:val="nil"/>
            </w:tcBorders>
            <w:noWrap w:val="0"/>
            <w:vAlign w:val="top"/>
          </w:tcPr>
          <w:p w14:paraId="5BB96959">
            <w:pPr>
              <w:pStyle w:val="9"/>
              <w:ind w:firstLine="180" w:firstLineChars="100"/>
              <w:rPr>
                <w:rFonts w:hint="eastAsia" w:ascii="宋体" w:hAnsi="宋体" w:eastAsia="宋体" w:cs="宋体"/>
                <w:color w:val="auto"/>
                <w:sz w:val="18"/>
                <w:szCs w:val="18"/>
                <w:highlight w:val="none"/>
              </w:rPr>
            </w:pPr>
          </w:p>
          <w:p w14:paraId="0F6F0D77">
            <w:pPr>
              <w:pStyle w:val="9"/>
              <w:ind w:firstLine="180" w:firstLineChars="10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说明</w:t>
            </w:r>
          </w:p>
          <w:p w14:paraId="7BF631AD">
            <w:pPr>
              <w:pStyle w:val="9"/>
              <w:ind w:firstLine="360" w:firstLineChars="200"/>
              <w:rPr>
                <w:rFonts w:hint="eastAsia" w:ascii="宋体" w:hAnsi="宋体" w:eastAsia="宋体" w:cs="宋体"/>
                <w:color w:val="auto"/>
                <w:sz w:val="18"/>
                <w:szCs w:val="18"/>
                <w:highlight w:val="none"/>
              </w:rPr>
            </w:pPr>
          </w:p>
          <w:p w14:paraId="7BAFAAAD">
            <w:pPr>
              <w:pStyle w:val="9"/>
              <w:ind w:firstLine="360" w:firstLineChars="200"/>
              <w:rPr>
                <w:rFonts w:hint="eastAsia" w:ascii="宋体" w:hAnsi="宋体" w:eastAsia="宋体" w:cs="宋体"/>
                <w:color w:val="auto"/>
                <w:sz w:val="18"/>
                <w:szCs w:val="18"/>
                <w:highlight w:val="none"/>
              </w:rPr>
            </w:pPr>
          </w:p>
          <w:p w14:paraId="53FA5419">
            <w:pPr>
              <w:pStyle w:val="9"/>
              <w:ind w:firstLine="360" w:firstLineChars="200"/>
              <w:rPr>
                <w:rFonts w:hint="eastAsia" w:ascii="宋体" w:hAnsi="宋体" w:eastAsia="宋体" w:cs="宋体"/>
                <w:color w:val="auto"/>
                <w:sz w:val="18"/>
                <w:szCs w:val="18"/>
                <w:highlight w:val="none"/>
              </w:rPr>
            </w:pPr>
          </w:p>
          <w:p w14:paraId="4B11BA0D">
            <w:pPr>
              <w:pStyle w:val="9"/>
              <w:ind w:firstLine="360" w:firstLineChars="200"/>
              <w:rPr>
                <w:rFonts w:hint="eastAsia" w:ascii="宋体" w:hAnsi="宋体" w:eastAsia="宋体" w:cs="宋体"/>
                <w:color w:val="auto"/>
                <w:sz w:val="18"/>
                <w:szCs w:val="18"/>
                <w:highlight w:val="none"/>
              </w:rPr>
            </w:pPr>
          </w:p>
          <w:p w14:paraId="26E4390A">
            <w:pPr>
              <w:pStyle w:val="9"/>
              <w:ind w:firstLine="360" w:firstLineChars="200"/>
              <w:rPr>
                <w:rFonts w:hint="eastAsia" w:ascii="宋体" w:hAnsi="宋体" w:eastAsia="宋体" w:cs="宋体"/>
                <w:color w:val="auto"/>
                <w:sz w:val="18"/>
                <w:szCs w:val="18"/>
                <w:highlight w:val="none"/>
              </w:rPr>
            </w:pPr>
          </w:p>
          <w:p w14:paraId="11132D33">
            <w:pPr>
              <w:pStyle w:val="9"/>
              <w:ind w:firstLine="360" w:firstLineChars="200"/>
              <w:rPr>
                <w:rFonts w:hint="eastAsia" w:ascii="宋体" w:hAnsi="宋体" w:eastAsia="宋体" w:cs="宋体"/>
                <w:color w:val="auto"/>
                <w:sz w:val="18"/>
                <w:szCs w:val="18"/>
                <w:highlight w:val="none"/>
              </w:rPr>
            </w:pPr>
          </w:p>
          <w:p w14:paraId="5F14CBD9">
            <w:pPr>
              <w:pStyle w:val="9"/>
              <w:ind w:firstLine="360" w:firstLineChars="200"/>
              <w:rPr>
                <w:rFonts w:hint="eastAsia" w:ascii="宋体" w:hAnsi="宋体" w:eastAsia="宋体" w:cs="宋体"/>
                <w:color w:val="auto"/>
                <w:sz w:val="18"/>
                <w:szCs w:val="18"/>
                <w:highlight w:val="none"/>
              </w:rPr>
            </w:pPr>
          </w:p>
        </w:tc>
      </w:tr>
    </w:tbl>
    <w:p w14:paraId="52ACA738">
      <w:pPr>
        <w:pStyle w:val="9"/>
        <w:spacing w:line="300" w:lineRule="exact"/>
        <w:rPr>
          <w:color w:val="auto"/>
          <w:highlight w:val="none"/>
        </w:rPr>
      </w:pPr>
    </w:p>
    <w:p w14:paraId="3302CA21">
      <w:pPr>
        <w:pStyle w:val="9"/>
        <w:spacing w:line="300" w:lineRule="exact"/>
        <w:rPr>
          <w:color w:val="auto"/>
          <w:highlight w:val="none"/>
        </w:rPr>
      </w:pPr>
      <w:r>
        <w:rPr>
          <w:color w:val="auto"/>
          <w:highlight w:val="none"/>
        </w:rPr>
        <w:br w:type="page"/>
      </w:r>
    </w:p>
    <w:p w14:paraId="68D5B778">
      <w:pPr>
        <w:pStyle w:val="9"/>
        <w:keepNext/>
        <w:keepLines/>
        <w:spacing w:line="360" w:lineRule="auto"/>
        <w:jc w:val="center"/>
        <w:outlineLvl w:val="2"/>
        <w:rPr>
          <w:b/>
          <w:bCs/>
          <w:color w:val="auto"/>
          <w:sz w:val="28"/>
          <w:szCs w:val="28"/>
          <w:highlight w:val="none"/>
        </w:rPr>
      </w:pPr>
      <w:bookmarkStart w:id="835" w:name="_Toc338772184"/>
      <w:bookmarkStart w:id="836" w:name="_Toc385159283"/>
      <w:bookmarkStart w:id="837" w:name="_Toc382132983"/>
      <w:bookmarkStart w:id="838" w:name="_Toc11334"/>
      <w:bookmarkStart w:id="839" w:name="_Toc20705"/>
      <w:bookmarkStart w:id="840" w:name="_Toc385863180"/>
      <w:r>
        <w:rPr>
          <w:b/>
          <w:bCs/>
          <w:color w:val="auto"/>
          <w:sz w:val="28"/>
          <w:szCs w:val="28"/>
          <w:highlight w:val="none"/>
        </w:rPr>
        <w:t>（三）拟委任的项目经理</w:t>
      </w:r>
      <w:r>
        <w:rPr>
          <w:rFonts w:hint="eastAsia" w:eastAsia="宋体"/>
          <w:b/>
          <w:bCs/>
          <w:color w:val="auto"/>
          <w:sz w:val="28"/>
          <w:szCs w:val="28"/>
          <w:highlight w:val="none"/>
          <w:lang w:eastAsia="zh-CN"/>
        </w:rPr>
        <w:t>、</w:t>
      </w:r>
      <w:r>
        <w:rPr>
          <w:b/>
          <w:bCs/>
          <w:color w:val="auto"/>
          <w:sz w:val="28"/>
          <w:szCs w:val="28"/>
          <w:highlight w:val="none"/>
        </w:rPr>
        <w:t>项目</w:t>
      </w:r>
      <w:r>
        <w:rPr>
          <w:rFonts w:hint="eastAsia" w:eastAsia="宋体"/>
          <w:b/>
          <w:bCs/>
          <w:color w:val="auto"/>
          <w:sz w:val="28"/>
          <w:szCs w:val="28"/>
          <w:highlight w:val="none"/>
          <w:lang w:val="en-US" w:eastAsia="zh-CN"/>
        </w:rPr>
        <w:t>技术负责人和安全负责人</w:t>
      </w:r>
      <w:r>
        <w:rPr>
          <w:b/>
          <w:bCs/>
          <w:color w:val="auto"/>
          <w:sz w:val="28"/>
          <w:szCs w:val="28"/>
          <w:highlight w:val="none"/>
        </w:rPr>
        <w:t>资历表</w:t>
      </w:r>
      <w:bookmarkEnd w:id="835"/>
      <w:bookmarkEnd w:id="836"/>
      <w:bookmarkEnd w:id="837"/>
      <w:bookmarkEnd w:id="838"/>
      <w:bookmarkEnd w:id="839"/>
      <w:bookmarkEnd w:id="840"/>
    </w:p>
    <w:tbl>
      <w:tblPr>
        <w:tblStyle w:val="23"/>
        <w:tblW w:w="8760"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367"/>
        <w:gridCol w:w="1388"/>
        <w:gridCol w:w="1150"/>
        <w:gridCol w:w="328"/>
        <w:gridCol w:w="1234"/>
        <w:gridCol w:w="1552"/>
        <w:gridCol w:w="1741"/>
      </w:tblGrid>
      <w:tr w14:paraId="24DF83E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367" w:type="dxa"/>
            <w:tcBorders>
              <w:tl2br w:val="nil"/>
              <w:tr2bl w:val="nil"/>
            </w:tcBorders>
            <w:noWrap w:val="0"/>
            <w:vAlign w:val="center"/>
          </w:tcPr>
          <w:p w14:paraId="61F4F05D">
            <w:pPr>
              <w:pStyle w:val="9"/>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姓  名</w:t>
            </w:r>
          </w:p>
        </w:tc>
        <w:tc>
          <w:tcPr>
            <w:tcW w:w="1388" w:type="dxa"/>
            <w:tcBorders>
              <w:tl2br w:val="nil"/>
              <w:tr2bl w:val="nil"/>
            </w:tcBorders>
            <w:noWrap w:val="0"/>
            <w:vAlign w:val="center"/>
          </w:tcPr>
          <w:p w14:paraId="35EEEFE3">
            <w:pPr>
              <w:pStyle w:val="9"/>
              <w:jc w:val="center"/>
              <w:rPr>
                <w:rFonts w:hint="eastAsia" w:ascii="宋体" w:hAnsi="宋体" w:eastAsia="宋体" w:cs="宋体"/>
                <w:color w:val="auto"/>
                <w:sz w:val="18"/>
                <w:szCs w:val="18"/>
                <w:highlight w:val="none"/>
              </w:rPr>
            </w:pPr>
          </w:p>
        </w:tc>
        <w:tc>
          <w:tcPr>
            <w:tcW w:w="1478" w:type="dxa"/>
            <w:gridSpan w:val="2"/>
            <w:tcBorders>
              <w:tl2br w:val="nil"/>
              <w:tr2bl w:val="nil"/>
            </w:tcBorders>
            <w:noWrap w:val="0"/>
            <w:vAlign w:val="center"/>
          </w:tcPr>
          <w:p w14:paraId="1DB144A3">
            <w:pPr>
              <w:pStyle w:val="9"/>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年  龄</w:t>
            </w:r>
          </w:p>
        </w:tc>
        <w:tc>
          <w:tcPr>
            <w:tcW w:w="1234" w:type="dxa"/>
            <w:tcBorders>
              <w:tl2br w:val="nil"/>
              <w:tr2bl w:val="nil"/>
            </w:tcBorders>
            <w:noWrap w:val="0"/>
            <w:vAlign w:val="center"/>
          </w:tcPr>
          <w:p w14:paraId="3BD12E10">
            <w:pPr>
              <w:pStyle w:val="9"/>
              <w:jc w:val="center"/>
              <w:rPr>
                <w:rFonts w:hint="eastAsia" w:ascii="宋体" w:hAnsi="宋体" w:eastAsia="宋体" w:cs="宋体"/>
                <w:color w:val="auto"/>
                <w:sz w:val="18"/>
                <w:szCs w:val="18"/>
                <w:highlight w:val="none"/>
              </w:rPr>
            </w:pPr>
          </w:p>
        </w:tc>
        <w:tc>
          <w:tcPr>
            <w:tcW w:w="1552" w:type="dxa"/>
            <w:tcBorders>
              <w:tl2br w:val="nil"/>
              <w:tr2bl w:val="nil"/>
            </w:tcBorders>
            <w:noWrap w:val="0"/>
            <w:vAlign w:val="center"/>
          </w:tcPr>
          <w:p w14:paraId="49EBA3BA">
            <w:pPr>
              <w:pStyle w:val="9"/>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专  业</w:t>
            </w:r>
          </w:p>
        </w:tc>
        <w:tc>
          <w:tcPr>
            <w:tcW w:w="1741" w:type="dxa"/>
            <w:tcBorders>
              <w:tl2br w:val="nil"/>
              <w:tr2bl w:val="nil"/>
            </w:tcBorders>
            <w:noWrap w:val="0"/>
            <w:vAlign w:val="center"/>
          </w:tcPr>
          <w:p w14:paraId="606F0DC4">
            <w:pPr>
              <w:pStyle w:val="9"/>
              <w:jc w:val="center"/>
              <w:rPr>
                <w:rFonts w:hint="eastAsia" w:ascii="宋体" w:hAnsi="宋体" w:eastAsia="宋体" w:cs="宋体"/>
                <w:color w:val="auto"/>
                <w:sz w:val="18"/>
                <w:szCs w:val="18"/>
                <w:highlight w:val="none"/>
              </w:rPr>
            </w:pPr>
          </w:p>
        </w:tc>
      </w:tr>
      <w:tr w14:paraId="4D876E5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367" w:type="dxa"/>
            <w:tcBorders>
              <w:tl2br w:val="nil"/>
              <w:tr2bl w:val="nil"/>
            </w:tcBorders>
            <w:noWrap w:val="0"/>
            <w:vAlign w:val="center"/>
          </w:tcPr>
          <w:p w14:paraId="77C7BB2A">
            <w:pPr>
              <w:pStyle w:val="9"/>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职  称</w:t>
            </w:r>
          </w:p>
        </w:tc>
        <w:tc>
          <w:tcPr>
            <w:tcW w:w="1388" w:type="dxa"/>
            <w:tcBorders>
              <w:tl2br w:val="nil"/>
              <w:tr2bl w:val="nil"/>
            </w:tcBorders>
            <w:noWrap w:val="0"/>
            <w:vAlign w:val="center"/>
          </w:tcPr>
          <w:p w14:paraId="51EE99C2">
            <w:pPr>
              <w:pStyle w:val="9"/>
              <w:jc w:val="center"/>
              <w:rPr>
                <w:rFonts w:hint="eastAsia" w:ascii="宋体" w:hAnsi="宋体" w:eastAsia="宋体" w:cs="宋体"/>
                <w:color w:val="auto"/>
                <w:sz w:val="18"/>
                <w:szCs w:val="18"/>
                <w:highlight w:val="none"/>
              </w:rPr>
            </w:pPr>
          </w:p>
        </w:tc>
        <w:tc>
          <w:tcPr>
            <w:tcW w:w="1478" w:type="dxa"/>
            <w:gridSpan w:val="2"/>
            <w:tcBorders>
              <w:tl2br w:val="nil"/>
              <w:tr2bl w:val="nil"/>
            </w:tcBorders>
            <w:noWrap w:val="0"/>
            <w:vAlign w:val="center"/>
          </w:tcPr>
          <w:p w14:paraId="1577509F">
            <w:pPr>
              <w:pStyle w:val="9"/>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公司单位</w:t>
            </w:r>
          </w:p>
          <w:p w14:paraId="16B7FC9E">
            <w:pPr>
              <w:pStyle w:val="9"/>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职</w:t>
            </w:r>
            <w:r>
              <w:rPr>
                <w:rFonts w:hint="eastAsia" w:ascii="宋体" w:hAnsi="宋体" w:eastAsia="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rPr>
              <w:t>务</w:t>
            </w:r>
          </w:p>
        </w:tc>
        <w:tc>
          <w:tcPr>
            <w:tcW w:w="1234" w:type="dxa"/>
            <w:tcBorders>
              <w:tl2br w:val="nil"/>
              <w:tr2bl w:val="nil"/>
            </w:tcBorders>
            <w:noWrap w:val="0"/>
            <w:vAlign w:val="center"/>
          </w:tcPr>
          <w:p w14:paraId="1893C2AE">
            <w:pPr>
              <w:pStyle w:val="9"/>
              <w:jc w:val="center"/>
              <w:rPr>
                <w:rFonts w:hint="eastAsia" w:ascii="宋体" w:hAnsi="宋体" w:eastAsia="宋体" w:cs="宋体"/>
                <w:color w:val="auto"/>
                <w:sz w:val="18"/>
                <w:szCs w:val="18"/>
                <w:highlight w:val="none"/>
              </w:rPr>
            </w:pPr>
          </w:p>
        </w:tc>
        <w:tc>
          <w:tcPr>
            <w:tcW w:w="1552" w:type="dxa"/>
            <w:tcBorders>
              <w:tl2br w:val="nil"/>
              <w:tr2bl w:val="nil"/>
            </w:tcBorders>
            <w:noWrap w:val="0"/>
            <w:vAlign w:val="center"/>
          </w:tcPr>
          <w:p w14:paraId="2868EAEF">
            <w:pPr>
              <w:pStyle w:val="9"/>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拟在本标段</w:t>
            </w:r>
          </w:p>
          <w:p w14:paraId="06295D8C">
            <w:pPr>
              <w:pStyle w:val="9"/>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工程担任职务</w:t>
            </w:r>
          </w:p>
        </w:tc>
        <w:tc>
          <w:tcPr>
            <w:tcW w:w="1741" w:type="dxa"/>
            <w:tcBorders>
              <w:tl2br w:val="nil"/>
              <w:tr2bl w:val="nil"/>
            </w:tcBorders>
            <w:noWrap w:val="0"/>
            <w:vAlign w:val="center"/>
          </w:tcPr>
          <w:p w14:paraId="52329F65">
            <w:pPr>
              <w:pStyle w:val="9"/>
              <w:jc w:val="center"/>
              <w:rPr>
                <w:rFonts w:hint="eastAsia" w:ascii="宋体" w:hAnsi="宋体" w:eastAsia="宋体" w:cs="宋体"/>
                <w:color w:val="auto"/>
                <w:sz w:val="18"/>
                <w:szCs w:val="18"/>
                <w:highlight w:val="none"/>
              </w:rPr>
            </w:pPr>
          </w:p>
        </w:tc>
      </w:tr>
      <w:tr w14:paraId="6A9CF8B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81" w:hRule="atLeast"/>
        </w:trPr>
        <w:tc>
          <w:tcPr>
            <w:tcW w:w="1367" w:type="dxa"/>
            <w:tcBorders>
              <w:tl2br w:val="nil"/>
              <w:tr2bl w:val="nil"/>
            </w:tcBorders>
            <w:noWrap w:val="0"/>
            <w:vAlign w:val="center"/>
          </w:tcPr>
          <w:p w14:paraId="7B7AB284">
            <w:pPr>
              <w:pStyle w:val="9"/>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毕业学校</w:t>
            </w:r>
          </w:p>
        </w:tc>
        <w:tc>
          <w:tcPr>
            <w:tcW w:w="7393" w:type="dxa"/>
            <w:gridSpan w:val="6"/>
            <w:tcBorders>
              <w:tl2br w:val="nil"/>
              <w:tr2bl w:val="nil"/>
            </w:tcBorders>
            <w:noWrap w:val="0"/>
            <w:vAlign w:val="center"/>
          </w:tcPr>
          <w:p w14:paraId="50404554">
            <w:pPr>
              <w:pStyle w:val="9"/>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u w:val="single"/>
              </w:rPr>
              <w:t xml:space="preserve">      </w:t>
            </w:r>
            <w:r>
              <w:rPr>
                <w:rFonts w:hint="eastAsia" w:ascii="宋体" w:hAnsi="宋体" w:eastAsia="宋体" w:cs="宋体"/>
                <w:color w:val="auto"/>
                <w:sz w:val="18"/>
                <w:szCs w:val="18"/>
                <w:highlight w:val="none"/>
              </w:rPr>
              <w:t>年</w:t>
            </w:r>
            <w:r>
              <w:rPr>
                <w:rFonts w:hint="eastAsia" w:ascii="宋体" w:hAnsi="宋体" w:eastAsia="宋体" w:cs="宋体"/>
                <w:color w:val="auto"/>
                <w:sz w:val="18"/>
                <w:szCs w:val="18"/>
                <w:highlight w:val="none"/>
                <w:u w:val="single"/>
              </w:rPr>
              <w:t xml:space="preserve">      </w:t>
            </w:r>
            <w:r>
              <w:rPr>
                <w:rFonts w:hint="eastAsia" w:ascii="宋体" w:hAnsi="宋体" w:eastAsia="宋体" w:cs="宋体"/>
                <w:color w:val="auto"/>
                <w:sz w:val="18"/>
                <w:szCs w:val="18"/>
                <w:highlight w:val="none"/>
              </w:rPr>
              <w:t>月毕业于</w:t>
            </w:r>
            <w:r>
              <w:rPr>
                <w:rFonts w:hint="eastAsia" w:ascii="宋体" w:hAnsi="宋体" w:eastAsia="宋体" w:cs="宋体"/>
                <w:color w:val="auto"/>
                <w:sz w:val="18"/>
                <w:szCs w:val="18"/>
                <w:highlight w:val="none"/>
                <w:u w:val="single"/>
              </w:rPr>
              <w:t xml:space="preserve">               </w:t>
            </w:r>
            <w:r>
              <w:rPr>
                <w:rFonts w:hint="eastAsia" w:ascii="宋体" w:hAnsi="宋体" w:eastAsia="宋体" w:cs="宋体"/>
                <w:color w:val="auto"/>
                <w:sz w:val="18"/>
                <w:szCs w:val="18"/>
                <w:highlight w:val="none"/>
              </w:rPr>
              <w:t>学校</w:t>
            </w:r>
            <w:r>
              <w:rPr>
                <w:rFonts w:hint="eastAsia" w:ascii="宋体" w:hAnsi="宋体" w:eastAsia="宋体" w:cs="宋体"/>
                <w:color w:val="auto"/>
                <w:sz w:val="18"/>
                <w:szCs w:val="18"/>
                <w:highlight w:val="none"/>
                <w:u w:val="single"/>
              </w:rPr>
              <w:t xml:space="preserve">        </w:t>
            </w:r>
            <w:r>
              <w:rPr>
                <w:rFonts w:hint="eastAsia" w:ascii="宋体" w:hAnsi="宋体" w:eastAsia="宋体" w:cs="宋体"/>
                <w:color w:val="auto"/>
                <w:sz w:val="18"/>
                <w:szCs w:val="18"/>
                <w:highlight w:val="none"/>
              </w:rPr>
              <w:t>专业，学制</w:t>
            </w:r>
            <w:r>
              <w:rPr>
                <w:rFonts w:hint="eastAsia" w:ascii="宋体" w:hAnsi="宋体" w:eastAsia="宋体" w:cs="宋体"/>
                <w:color w:val="auto"/>
                <w:sz w:val="18"/>
                <w:szCs w:val="18"/>
                <w:highlight w:val="none"/>
                <w:u w:val="single"/>
              </w:rPr>
              <w:t xml:space="preserve">      </w:t>
            </w:r>
            <w:r>
              <w:rPr>
                <w:rFonts w:hint="eastAsia" w:ascii="宋体" w:hAnsi="宋体" w:eastAsia="宋体" w:cs="宋体"/>
                <w:color w:val="auto"/>
                <w:sz w:val="18"/>
                <w:szCs w:val="18"/>
                <w:highlight w:val="none"/>
              </w:rPr>
              <w:t>年</w:t>
            </w:r>
          </w:p>
        </w:tc>
      </w:tr>
      <w:tr w14:paraId="2CFCE57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81" w:hRule="atLeast"/>
        </w:trPr>
        <w:tc>
          <w:tcPr>
            <w:tcW w:w="8760" w:type="dxa"/>
            <w:gridSpan w:val="7"/>
            <w:tcBorders>
              <w:tl2br w:val="nil"/>
              <w:tr2bl w:val="nil"/>
            </w:tcBorders>
            <w:noWrap w:val="0"/>
            <w:vAlign w:val="center"/>
          </w:tcPr>
          <w:p w14:paraId="2D4B9C90">
            <w:pPr>
              <w:pStyle w:val="9"/>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经       历</w:t>
            </w:r>
          </w:p>
        </w:tc>
      </w:tr>
      <w:tr w14:paraId="0F65DE9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81" w:hRule="atLeast"/>
        </w:trPr>
        <w:tc>
          <w:tcPr>
            <w:tcW w:w="1367" w:type="dxa"/>
            <w:tcBorders>
              <w:tl2br w:val="nil"/>
              <w:tr2bl w:val="nil"/>
            </w:tcBorders>
            <w:noWrap w:val="0"/>
            <w:vAlign w:val="center"/>
          </w:tcPr>
          <w:p w14:paraId="0CFA4FCE">
            <w:pPr>
              <w:pStyle w:val="9"/>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u w:val="single"/>
              </w:rPr>
              <w:t xml:space="preserve">      </w:t>
            </w:r>
            <w:r>
              <w:rPr>
                <w:rFonts w:hint="eastAsia" w:ascii="宋体" w:hAnsi="宋体" w:eastAsia="宋体" w:cs="宋体"/>
                <w:color w:val="auto"/>
                <w:sz w:val="18"/>
                <w:szCs w:val="18"/>
                <w:highlight w:val="none"/>
              </w:rPr>
              <w:t>年～</w:t>
            </w:r>
          </w:p>
          <w:p w14:paraId="68E11377">
            <w:pPr>
              <w:pStyle w:val="9"/>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u w:val="single"/>
              </w:rPr>
              <w:t xml:space="preserve">      </w:t>
            </w:r>
            <w:r>
              <w:rPr>
                <w:rFonts w:hint="eastAsia" w:ascii="宋体" w:hAnsi="宋体" w:eastAsia="宋体" w:cs="宋体"/>
                <w:color w:val="auto"/>
                <w:sz w:val="18"/>
                <w:szCs w:val="18"/>
                <w:highlight w:val="none"/>
              </w:rPr>
              <w:t>年</w:t>
            </w:r>
          </w:p>
        </w:tc>
        <w:tc>
          <w:tcPr>
            <w:tcW w:w="4100" w:type="dxa"/>
            <w:gridSpan w:val="4"/>
            <w:tcBorders>
              <w:tl2br w:val="nil"/>
              <w:tr2bl w:val="nil"/>
            </w:tcBorders>
            <w:noWrap w:val="0"/>
            <w:vAlign w:val="center"/>
          </w:tcPr>
          <w:p w14:paraId="39E1E81B">
            <w:pPr>
              <w:pStyle w:val="9"/>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参加过的工程项目名称</w:t>
            </w:r>
          </w:p>
        </w:tc>
        <w:tc>
          <w:tcPr>
            <w:tcW w:w="1552" w:type="dxa"/>
            <w:tcBorders>
              <w:tl2br w:val="nil"/>
              <w:tr2bl w:val="nil"/>
            </w:tcBorders>
            <w:noWrap w:val="0"/>
            <w:vAlign w:val="center"/>
          </w:tcPr>
          <w:p w14:paraId="140F23B9">
            <w:pPr>
              <w:pStyle w:val="9"/>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担任何职</w:t>
            </w:r>
          </w:p>
        </w:tc>
        <w:tc>
          <w:tcPr>
            <w:tcW w:w="1741" w:type="dxa"/>
            <w:tcBorders>
              <w:tl2br w:val="nil"/>
              <w:tr2bl w:val="nil"/>
            </w:tcBorders>
            <w:noWrap w:val="0"/>
            <w:vAlign w:val="center"/>
          </w:tcPr>
          <w:p w14:paraId="4F1EF291">
            <w:pPr>
              <w:pStyle w:val="9"/>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发包人及联系电话</w:t>
            </w:r>
          </w:p>
        </w:tc>
      </w:tr>
      <w:tr w14:paraId="6AB409E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78" w:hRule="atLeast"/>
        </w:trPr>
        <w:tc>
          <w:tcPr>
            <w:tcW w:w="1367" w:type="dxa"/>
            <w:tcBorders>
              <w:tl2br w:val="nil"/>
              <w:tr2bl w:val="nil"/>
            </w:tcBorders>
            <w:noWrap w:val="0"/>
            <w:vAlign w:val="center"/>
          </w:tcPr>
          <w:p w14:paraId="4CE6084F">
            <w:pPr>
              <w:pStyle w:val="9"/>
              <w:jc w:val="center"/>
              <w:rPr>
                <w:rFonts w:hint="eastAsia" w:ascii="宋体" w:hAnsi="宋体" w:eastAsia="宋体" w:cs="宋体"/>
                <w:color w:val="auto"/>
                <w:sz w:val="18"/>
                <w:szCs w:val="18"/>
                <w:highlight w:val="none"/>
              </w:rPr>
            </w:pPr>
          </w:p>
        </w:tc>
        <w:tc>
          <w:tcPr>
            <w:tcW w:w="4100" w:type="dxa"/>
            <w:gridSpan w:val="4"/>
            <w:tcBorders>
              <w:tl2br w:val="nil"/>
              <w:tr2bl w:val="nil"/>
            </w:tcBorders>
            <w:noWrap w:val="0"/>
            <w:vAlign w:val="center"/>
          </w:tcPr>
          <w:p w14:paraId="36523FB1">
            <w:pPr>
              <w:pStyle w:val="9"/>
              <w:rPr>
                <w:rFonts w:hint="eastAsia" w:ascii="宋体" w:hAnsi="宋体" w:eastAsia="宋体" w:cs="宋体"/>
                <w:color w:val="auto"/>
                <w:sz w:val="18"/>
                <w:szCs w:val="18"/>
                <w:highlight w:val="none"/>
              </w:rPr>
            </w:pPr>
          </w:p>
        </w:tc>
        <w:tc>
          <w:tcPr>
            <w:tcW w:w="1552" w:type="dxa"/>
            <w:tcBorders>
              <w:tl2br w:val="nil"/>
              <w:tr2bl w:val="nil"/>
            </w:tcBorders>
            <w:noWrap w:val="0"/>
            <w:vAlign w:val="center"/>
          </w:tcPr>
          <w:p w14:paraId="52BEC0CE">
            <w:pPr>
              <w:pStyle w:val="9"/>
              <w:rPr>
                <w:rFonts w:hint="eastAsia" w:ascii="宋体" w:hAnsi="宋体" w:eastAsia="宋体" w:cs="宋体"/>
                <w:color w:val="auto"/>
                <w:sz w:val="18"/>
                <w:szCs w:val="18"/>
                <w:highlight w:val="none"/>
              </w:rPr>
            </w:pPr>
          </w:p>
        </w:tc>
        <w:tc>
          <w:tcPr>
            <w:tcW w:w="1741" w:type="dxa"/>
            <w:tcBorders>
              <w:tl2br w:val="nil"/>
              <w:tr2bl w:val="nil"/>
            </w:tcBorders>
            <w:noWrap w:val="0"/>
            <w:vAlign w:val="center"/>
          </w:tcPr>
          <w:p w14:paraId="5A63EB19">
            <w:pPr>
              <w:pStyle w:val="9"/>
              <w:jc w:val="center"/>
              <w:rPr>
                <w:rFonts w:hint="eastAsia" w:ascii="宋体" w:hAnsi="宋体" w:eastAsia="宋体" w:cs="宋体"/>
                <w:color w:val="auto"/>
                <w:sz w:val="18"/>
                <w:szCs w:val="18"/>
                <w:highlight w:val="none"/>
              </w:rPr>
            </w:pPr>
          </w:p>
        </w:tc>
      </w:tr>
      <w:tr w14:paraId="313F431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78" w:hRule="atLeast"/>
        </w:trPr>
        <w:tc>
          <w:tcPr>
            <w:tcW w:w="1367" w:type="dxa"/>
            <w:tcBorders>
              <w:tl2br w:val="nil"/>
              <w:tr2bl w:val="nil"/>
            </w:tcBorders>
            <w:noWrap w:val="0"/>
            <w:vAlign w:val="center"/>
          </w:tcPr>
          <w:p w14:paraId="64378814">
            <w:pPr>
              <w:pStyle w:val="9"/>
              <w:jc w:val="center"/>
              <w:rPr>
                <w:rFonts w:hint="eastAsia" w:ascii="宋体" w:hAnsi="宋体" w:eastAsia="宋体" w:cs="宋体"/>
                <w:color w:val="auto"/>
                <w:sz w:val="18"/>
                <w:szCs w:val="18"/>
                <w:highlight w:val="none"/>
              </w:rPr>
            </w:pPr>
          </w:p>
        </w:tc>
        <w:tc>
          <w:tcPr>
            <w:tcW w:w="4100" w:type="dxa"/>
            <w:gridSpan w:val="4"/>
            <w:tcBorders>
              <w:tl2br w:val="nil"/>
              <w:tr2bl w:val="nil"/>
            </w:tcBorders>
            <w:noWrap w:val="0"/>
            <w:vAlign w:val="center"/>
          </w:tcPr>
          <w:p w14:paraId="15747959">
            <w:pPr>
              <w:pStyle w:val="9"/>
              <w:rPr>
                <w:rFonts w:hint="eastAsia" w:ascii="宋体" w:hAnsi="宋体" w:eastAsia="宋体" w:cs="宋体"/>
                <w:color w:val="auto"/>
                <w:sz w:val="18"/>
                <w:szCs w:val="18"/>
                <w:highlight w:val="none"/>
              </w:rPr>
            </w:pPr>
          </w:p>
        </w:tc>
        <w:tc>
          <w:tcPr>
            <w:tcW w:w="1552" w:type="dxa"/>
            <w:tcBorders>
              <w:tl2br w:val="nil"/>
              <w:tr2bl w:val="nil"/>
            </w:tcBorders>
            <w:noWrap w:val="0"/>
            <w:vAlign w:val="center"/>
          </w:tcPr>
          <w:p w14:paraId="140B1826">
            <w:pPr>
              <w:pStyle w:val="9"/>
              <w:jc w:val="center"/>
              <w:rPr>
                <w:rFonts w:hint="eastAsia" w:ascii="宋体" w:hAnsi="宋体" w:eastAsia="宋体" w:cs="宋体"/>
                <w:color w:val="auto"/>
                <w:sz w:val="18"/>
                <w:szCs w:val="18"/>
                <w:highlight w:val="none"/>
              </w:rPr>
            </w:pPr>
          </w:p>
        </w:tc>
        <w:tc>
          <w:tcPr>
            <w:tcW w:w="1741" w:type="dxa"/>
            <w:tcBorders>
              <w:tl2br w:val="nil"/>
              <w:tr2bl w:val="nil"/>
            </w:tcBorders>
            <w:noWrap w:val="0"/>
            <w:vAlign w:val="center"/>
          </w:tcPr>
          <w:p w14:paraId="39C3BE9F">
            <w:pPr>
              <w:pStyle w:val="9"/>
              <w:jc w:val="center"/>
              <w:rPr>
                <w:rFonts w:hint="eastAsia" w:ascii="宋体" w:hAnsi="宋体" w:eastAsia="宋体" w:cs="宋体"/>
                <w:color w:val="auto"/>
                <w:sz w:val="18"/>
                <w:szCs w:val="18"/>
                <w:highlight w:val="none"/>
              </w:rPr>
            </w:pPr>
          </w:p>
        </w:tc>
      </w:tr>
      <w:tr w14:paraId="5617913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78" w:hRule="atLeast"/>
        </w:trPr>
        <w:tc>
          <w:tcPr>
            <w:tcW w:w="1367" w:type="dxa"/>
            <w:tcBorders>
              <w:tl2br w:val="nil"/>
              <w:tr2bl w:val="nil"/>
            </w:tcBorders>
            <w:noWrap w:val="0"/>
            <w:vAlign w:val="center"/>
          </w:tcPr>
          <w:p w14:paraId="0E74237F">
            <w:pPr>
              <w:pStyle w:val="9"/>
              <w:jc w:val="center"/>
              <w:rPr>
                <w:rFonts w:hint="eastAsia" w:ascii="宋体" w:hAnsi="宋体" w:eastAsia="宋体" w:cs="宋体"/>
                <w:color w:val="auto"/>
                <w:sz w:val="18"/>
                <w:szCs w:val="18"/>
                <w:highlight w:val="none"/>
              </w:rPr>
            </w:pPr>
          </w:p>
        </w:tc>
        <w:tc>
          <w:tcPr>
            <w:tcW w:w="4100" w:type="dxa"/>
            <w:gridSpan w:val="4"/>
            <w:tcBorders>
              <w:tl2br w:val="nil"/>
              <w:tr2bl w:val="nil"/>
            </w:tcBorders>
            <w:noWrap w:val="0"/>
            <w:vAlign w:val="center"/>
          </w:tcPr>
          <w:p w14:paraId="29C8EBCB">
            <w:pPr>
              <w:pStyle w:val="9"/>
              <w:rPr>
                <w:rFonts w:hint="eastAsia" w:ascii="宋体" w:hAnsi="宋体" w:eastAsia="宋体" w:cs="宋体"/>
                <w:color w:val="auto"/>
                <w:sz w:val="18"/>
                <w:szCs w:val="18"/>
                <w:highlight w:val="none"/>
              </w:rPr>
            </w:pPr>
          </w:p>
        </w:tc>
        <w:tc>
          <w:tcPr>
            <w:tcW w:w="1552" w:type="dxa"/>
            <w:tcBorders>
              <w:tl2br w:val="nil"/>
              <w:tr2bl w:val="nil"/>
            </w:tcBorders>
            <w:noWrap w:val="0"/>
            <w:vAlign w:val="center"/>
          </w:tcPr>
          <w:p w14:paraId="1CB5CE79">
            <w:pPr>
              <w:pStyle w:val="9"/>
              <w:jc w:val="center"/>
              <w:rPr>
                <w:rFonts w:hint="eastAsia" w:ascii="宋体" w:hAnsi="宋体" w:eastAsia="宋体" w:cs="宋体"/>
                <w:color w:val="auto"/>
                <w:sz w:val="18"/>
                <w:szCs w:val="18"/>
                <w:highlight w:val="none"/>
              </w:rPr>
            </w:pPr>
          </w:p>
        </w:tc>
        <w:tc>
          <w:tcPr>
            <w:tcW w:w="1741" w:type="dxa"/>
            <w:tcBorders>
              <w:tl2br w:val="nil"/>
              <w:tr2bl w:val="nil"/>
            </w:tcBorders>
            <w:noWrap w:val="0"/>
            <w:vAlign w:val="center"/>
          </w:tcPr>
          <w:p w14:paraId="063DE149">
            <w:pPr>
              <w:pStyle w:val="9"/>
              <w:jc w:val="center"/>
              <w:rPr>
                <w:rFonts w:hint="eastAsia" w:ascii="宋体" w:hAnsi="宋体" w:eastAsia="宋体" w:cs="宋体"/>
                <w:color w:val="auto"/>
                <w:sz w:val="18"/>
                <w:szCs w:val="18"/>
                <w:highlight w:val="none"/>
              </w:rPr>
            </w:pPr>
          </w:p>
        </w:tc>
      </w:tr>
      <w:tr w14:paraId="4DCCF1E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73" w:hRule="atLeast"/>
        </w:trPr>
        <w:tc>
          <w:tcPr>
            <w:tcW w:w="3905" w:type="dxa"/>
            <w:gridSpan w:val="3"/>
            <w:tcBorders>
              <w:tl2br w:val="nil"/>
              <w:tr2bl w:val="nil"/>
            </w:tcBorders>
            <w:noWrap w:val="0"/>
            <w:vAlign w:val="center"/>
          </w:tcPr>
          <w:p w14:paraId="71A8779A">
            <w:pPr>
              <w:pStyle w:val="9"/>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获奖情况</w:t>
            </w:r>
          </w:p>
        </w:tc>
        <w:tc>
          <w:tcPr>
            <w:tcW w:w="4855" w:type="dxa"/>
            <w:gridSpan w:val="4"/>
            <w:tcBorders>
              <w:tl2br w:val="nil"/>
              <w:tr2bl w:val="nil"/>
            </w:tcBorders>
            <w:noWrap w:val="0"/>
            <w:vAlign w:val="center"/>
          </w:tcPr>
          <w:p w14:paraId="638A58B9">
            <w:pPr>
              <w:pStyle w:val="9"/>
              <w:widowControl/>
              <w:jc w:val="left"/>
              <w:rPr>
                <w:rFonts w:hint="eastAsia" w:ascii="宋体" w:hAnsi="宋体" w:eastAsia="宋体" w:cs="宋体"/>
                <w:color w:val="auto"/>
                <w:sz w:val="18"/>
                <w:szCs w:val="18"/>
                <w:highlight w:val="none"/>
              </w:rPr>
            </w:pPr>
          </w:p>
          <w:p w14:paraId="5C375A65">
            <w:pPr>
              <w:pStyle w:val="9"/>
              <w:jc w:val="center"/>
              <w:rPr>
                <w:rFonts w:hint="eastAsia" w:ascii="宋体" w:hAnsi="宋体" w:eastAsia="宋体" w:cs="宋体"/>
                <w:color w:val="auto"/>
                <w:sz w:val="18"/>
                <w:szCs w:val="18"/>
                <w:highlight w:val="none"/>
              </w:rPr>
            </w:pPr>
          </w:p>
        </w:tc>
      </w:tr>
      <w:tr w14:paraId="3FC1337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1367" w:type="dxa"/>
            <w:vMerge w:val="restart"/>
            <w:tcBorders>
              <w:tl2br w:val="nil"/>
              <w:tr2bl w:val="nil"/>
            </w:tcBorders>
            <w:noWrap w:val="0"/>
            <w:vAlign w:val="center"/>
          </w:tcPr>
          <w:p w14:paraId="5A0BDD3D">
            <w:pPr>
              <w:pStyle w:val="9"/>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目前任职</w:t>
            </w:r>
          </w:p>
          <w:p w14:paraId="751AA71F">
            <w:pPr>
              <w:pStyle w:val="9"/>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项目状况</w:t>
            </w:r>
          </w:p>
        </w:tc>
        <w:tc>
          <w:tcPr>
            <w:tcW w:w="2538" w:type="dxa"/>
            <w:gridSpan w:val="2"/>
            <w:tcBorders>
              <w:tl2br w:val="nil"/>
              <w:tr2bl w:val="nil"/>
            </w:tcBorders>
            <w:noWrap w:val="0"/>
            <w:vAlign w:val="center"/>
          </w:tcPr>
          <w:p w14:paraId="259F9761">
            <w:pPr>
              <w:pStyle w:val="9"/>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项目名称</w:t>
            </w:r>
          </w:p>
        </w:tc>
        <w:tc>
          <w:tcPr>
            <w:tcW w:w="4855" w:type="dxa"/>
            <w:gridSpan w:val="4"/>
            <w:tcBorders>
              <w:tl2br w:val="nil"/>
              <w:tr2bl w:val="nil"/>
            </w:tcBorders>
            <w:noWrap w:val="0"/>
            <w:vAlign w:val="center"/>
          </w:tcPr>
          <w:p w14:paraId="2F136E79">
            <w:pPr>
              <w:pStyle w:val="9"/>
              <w:jc w:val="center"/>
              <w:rPr>
                <w:rFonts w:hint="eastAsia" w:ascii="宋体" w:hAnsi="宋体" w:eastAsia="宋体" w:cs="宋体"/>
                <w:color w:val="auto"/>
                <w:sz w:val="18"/>
                <w:szCs w:val="18"/>
                <w:highlight w:val="none"/>
              </w:rPr>
            </w:pPr>
          </w:p>
        </w:tc>
      </w:tr>
      <w:tr w14:paraId="0B16127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1367" w:type="dxa"/>
            <w:vMerge w:val="continue"/>
            <w:tcBorders>
              <w:tl2br w:val="nil"/>
              <w:tr2bl w:val="nil"/>
            </w:tcBorders>
            <w:noWrap w:val="0"/>
            <w:vAlign w:val="center"/>
          </w:tcPr>
          <w:p w14:paraId="286095D5">
            <w:pPr>
              <w:pStyle w:val="9"/>
              <w:jc w:val="center"/>
              <w:rPr>
                <w:rFonts w:hint="eastAsia" w:ascii="宋体" w:hAnsi="宋体" w:eastAsia="宋体" w:cs="宋体"/>
                <w:color w:val="auto"/>
                <w:sz w:val="18"/>
                <w:szCs w:val="18"/>
                <w:highlight w:val="none"/>
              </w:rPr>
            </w:pPr>
          </w:p>
        </w:tc>
        <w:tc>
          <w:tcPr>
            <w:tcW w:w="2538" w:type="dxa"/>
            <w:gridSpan w:val="2"/>
            <w:tcBorders>
              <w:tl2br w:val="nil"/>
              <w:tr2bl w:val="nil"/>
            </w:tcBorders>
            <w:noWrap w:val="0"/>
            <w:vAlign w:val="center"/>
          </w:tcPr>
          <w:p w14:paraId="1DCBC7E2">
            <w:pPr>
              <w:pStyle w:val="9"/>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担任职位</w:t>
            </w:r>
          </w:p>
        </w:tc>
        <w:tc>
          <w:tcPr>
            <w:tcW w:w="4855" w:type="dxa"/>
            <w:gridSpan w:val="4"/>
            <w:tcBorders>
              <w:tl2br w:val="nil"/>
              <w:tr2bl w:val="nil"/>
            </w:tcBorders>
            <w:noWrap w:val="0"/>
            <w:vAlign w:val="center"/>
          </w:tcPr>
          <w:p w14:paraId="2D5C0DC1">
            <w:pPr>
              <w:pStyle w:val="9"/>
              <w:jc w:val="center"/>
              <w:rPr>
                <w:rFonts w:hint="eastAsia" w:ascii="宋体" w:hAnsi="宋体" w:eastAsia="宋体" w:cs="宋体"/>
                <w:color w:val="auto"/>
                <w:sz w:val="18"/>
                <w:szCs w:val="18"/>
                <w:highlight w:val="none"/>
              </w:rPr>
            </w:pPr>
          </w:p>
        </w:tc>
      </w:tr>
      <w:tr w14:paraId="1B54572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1367" w:type="dxa"/>
            <w:vMerge w:val="continue"/>
            <w:tcBorders>
              <w:tl2br w:val="nil"/>
              <w:tr2bl w:val="nil"/>
            </w:tcBorders>
            <w:noWrap w:val="0"/>
            <w:vAlign w:val="center"/>
          </w:tcPr>
          <w:p w14:paraId="0560A1E4">
            <w:pPr>
              <w:pStyle w:val="9"/>
              <w:jc w:val="center"/>
              <w:rPr>
                <w:rFonts w:hint="eastAsia" w:ascii="宋体" w:hAnsi="宋体" w:eastAsia="宋体" w:cs="宋体"/>
                <w:color w:val="auto"/>
                <w:sz w:val="18"/>
                <w:szCs w:val="18"/>
                <w:highlight w:val="none"/>
              </w:rPr>
            </w:pPr>
          </w:p>
        </w:tc>
        <w:tc>
          <w:tcPr>
            <w:tcW w:w="2538" w:type="dxa"/>
            <w:gridSpan w:val="2"/>
            <w:tcBorders>
              <w:tl2br w:val="nil"/>
              <w:tr2bl w:val="nil"/>
            </w:tcBorders>
            <w:noWrap w:val="0"/>
            <w:vAlign w:val="center"/>
          </w:tcPr>
          <w:p w14:paraId="48751584">
            <w:pPr>
              <w:pStyle w:val="9"/>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可以调离日期</w:t>
            </w:r>
          </w:p>
        </w:tc>
        <w:tc>
          <w:tcPr>
            <w:tcW w:w="4855" w:type="dxa"/>
            <w:gridSpan w:val="4"/>
            <w:tcBorders>
              <w:tl2br w:val="nil"/>
              <w:tr2bl w:val="nil"/>
            </w:tcBorders>
            <w:noWrap w:val="0"/>
            <w:vAlign w:val="center"/>
          </w:tcPr>
          <w:p w14:paraId="1654D5DC">
            <w:pPr>
              <w:pStyle w:val="9"/>
              <w:jc w:val="center"/>
              <w:rPr>
                <w:rFonts w:hint="eastAsia" w:ascii="宋体" w:hAnsi="宋体" w:eastAsia="宋体" w:cs="宋体"/>
                <w:color w:val="auto"/>
                <w:sz w:val="18"/>
                <w:szCs w:val="18"/>
                <w:highlight w:val="none"/>
              </w:rPr>
            </w:pPr>
          </w:p>
        </w:tc>
      </w:tr>
      <w:tr w14:paraId="5D1BC52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1" w:hRule="atLeast"/>
        </w:trPr>
        <w:tc>
          <w:tcPr>
            <w:tcW w:w="3905" w:type="dxa"/>
            <w:gridSpan w:val="3"/>
            <w:tcBorders>
              <w:tl2br w:val="nil"/>
              <w:tr2bl w:val="nil"/>
            </w:tcBorders>
            <w:noWrap w:val="0"/>
            <w:vAlign w:val="center"/>
          </w:tcPr>
          <w:p w14:paraId="7270EC1D">
            <w:pPr>
              <w:pStyle w:val="9"/>
              <w:jc w:val="center"/>
              <w:rPr>
                <w:rFonts w:hint="eastAsia" w:ascii="宋体" w:hAnsi="宋体" w:eastAsia="宋体" w:cs="宋体"/>
                <w:color w:val="auto"/>
                <w:sz w:val="18"/>
                <w:szCs w:val="18"/>
                <w:highlight w:val="none"/>
              </w:rPr>
            </w:pPr>
          </w:p>
          <w:p w14:paraId="3AE8895F">
            <w:pPr>
              <w:pStyle w:val="9"/>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备    注</w:t>
            </w:r>
          </w:p>
          <w:p w14:paraId="45681C5F">
            <w:pPr>
              <w:pStyle w:val="9"/>
              <w:jc w:val="center"/>
              <w:rPr>
                <w:rFonts w:hint="eastAsia" w:ascii="宋体" w:hAnsi="宋体" w:eastAsia="宋体" w:cs="宋体"/>
                <w:color w:val="auto"/>
                <w:sz w:val="18"/>
                <w:szCs w:val="18"/>
                <w:highlight w:val="none"/>
              </w:rPr>
            </w:pPr>
          </w:p>
        </w:tc>
        <w:tc>
          <w:tcPr>
            <w:tcW w:w="4855" w:type="dxa"/>
            <w:gridSpan w:val="4"/>
            <w:tcBorders>
              <w:tl2br w:val="nil"/>
              <w:tr2bl w:val="nil"/>
            </w:tcBorders>
            <w:noWrap w:val="0"/>
            <w:vAlign w:val="center"/>
          </w:tcPr>
          <w:p w14:paraId="3BB94D6F">
            <w:pPr>
              <w:pStyle w:val="9"/>
              <w:jc w:val="center"/>
              <w:rPr>
                <w:rFonts w:hint="eastAsia" w:ascii="宋体" w:hAnsi="宋体" w:eastAsia="宋体" w:cs="宋体"/>
                <w:color w:val="auto"/>
                <w:sz w:val="18"/>
                <w:szCs w:val="18"/>
                <w:highlight w:val="none"/>
              </w:rPr>
            </w:pPr>
          </w:p>
        </w:tc>
      </w:tr>
    </w:tbl>
    <w:p w14:paraId="57B480BC">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auto"/>
        <w:rPr>
          <w:rFonts w:hint="eastAsia" w:ascii="宋体" w:hAnsi="宋体" w:eastAsia="宋体" w:cs="宋体"/>
          <w:color w:val="auto"/>
          <w:kern w:val="0"/>
          <w:sz w:val="18"/>
          <w:szCs w:val="18"/>
          <w:highlight w:val="none"/>
          <w:lang w:val="en-US" w:eastAsia="zh-CN" w:bidi="ar"/>
        </w:rPr>
      </w:pPr>
      <w:r>
        <w:rPr>
          <w:rFonts w:hint="eastAsia" w:ascii="宋体" w:hAnsi="宋体" w:eastAsia="宋体" w:cs="宋体"/>
          <w:color w:val="auto"/>
          <w:kern w:val="0"/>
          <w:sz w:val="18"/>
          <w:szCs w:val="18"/>
          <w:highlight w:val="none"/>
          <w:lang w:val="en-US" w:eastAsia="zh-CN" w:bidi="ar"/>
        </w:rPr>
        <w:t>注：</w:t>
      </w:r>
      <w:r>
        <w:rPr>
          <w:rFonts w:hint="eastAsia" w:ascii="宋体" w:hAnsi="宋体"/>
          <w:color w:val="auto"/>
          <w:sz w:val="18"/>
          <w:szCs w:val="18"/>
          <w:highlight w:val="none"/>
        </w:rPr>
        <w:t>1.每</w:t>
      </w:r>
      <w:r>
        <w:rPr>
          <w:rFonts w:hint="eastAsia" w:ascii="宋体" w:hAnsi="宋体" w:eastAsia="宋体"/>
          <w:color w:val="auto"/>
          <w:sz w:val="18"/>
          <w:szCs w:val="18"/>
          <w:highlight w:val="none"/>
          <w:lang w:val="en-US" w:eastAsia="zh-CN"/>
        </w:rPr>
        <w:t>人填写一张本</w:t>
      </w:r>
      <w:r>
        <w:rPr>
          <w:rFonts w:hint="eastAsia" w:ascii="宋体" w:hAnsi="宋体"/>
          <w:color w:val="auto"/>
          <w:sz w:val="18"/>
          <w:szCs w:val="18"/>
          <w:highlight w:val="none"/>
        </w:rPr>
        <w:t>表。</w:t>
      </w:r>
      <w:r>
        <w:rPr>
          <w:rFonts w:hint="eastAsia" w:ascii="宋体" w:hAnsi="宋体"/>
          <w:color w:val="auto"/>
          <w:sz w:val="18"/>
          <w:szCs w:val="18"/>
          <w:highlight w:val="none"/>
          <w:lang w:val="en-US" w:eastAsia="zh-CN"/>
        </w:rPr>
        <w:t>并</w:t>
      </w:r>
      <w:r>
        <w:rPr>
          <w:rFonts w:hint="eastAsia" w:ascii="宋体" w:hAnsi="宋体" w:eastAsia="宋体" w:cs="宋体"/>
          <w:color w:val="auto"/>
          <w:kern w:val="0"/>
          <w:sz w:val="18"/>
          <w:szCs w:val="18"/>
          <w:highlight w:val="none"/>
          <w:lang w:val="en-US" w:eastAsia="zh-CN" w:bidi="ar"/>
        </w:rPr>
        <w:t>在本表后附下列相关证明材料：</w:t>
      </w:r>
    </w:p>
    <w:p w14:paraId="5501D115">
      <w:pPr>
        <w:pStyle w:val="9"/>
        <w:keepNext w:val="0"/>
        <w:keepLines w:val="0"/>
        <w:pageBreakBefore w:val="0"/>
        <w:kinsoku/>
        <w:wordWrap/>
        <w:overflowPunct/>
        <w:topLinePunct w:val="0"/>
        <w:autoSpaceDE/>
        <w:autoSpaceDN/>
        <w:bidi w:val="0"/>
        <w:adjustRightInd/>
        <w:snapToGrid/>
        <w:spacing w:line="280" w:lineRule="exact"/>
        <w:textAlignment w:val="auto"/>
        <w:rPr>
          <w:rFonts w:hint="eastAsia" w:ascii="宋体" w:hAnsi="宋体" w:eastAsia="宋体" w:cs="宋体"/>
          <w:color w:val="auto"/>
          <w:kern w:val="0"/>
          <w:sz w:val="18"/>
          <w:szCs w:val="18"/>
          <w:highlight w:val="none"/>
          <w:lang w:val="en-US" w:eastAsia="zh-CN" w:bidi="ar"/>
        </w:rPr>
      </w:pPr>
      <w:r>
        <w:rPr>
          <w:rFonts w:hint="eastAsia" w:ascii="宋体" w:hAnsi="宋体" w:eastAsia="宋体" w:cs="宋体"/>
          <w:color w:val="auto"/>
          <w:kern w:val="0"/>
          <w:sz w:val="18"/>
          <w:szCs w:val="18"/>
          <w:highlight w:val="none"/>
          <w:lang w:val="en-US" w:eastAsia="zh-CN" w:bidi="ar"/>
        </w:rPr>
        <w:t xml:space="preserve">  （1）项目经理：身份证（正反双面复印或扫描）、职称资格证书、公路工程专业二级及以上注册建造师注册证书（或网上注册信息截图）的复制件；</w:t>
      </w:r>
    </w:p>
    <w:p w14:paraId="72952167">
      <w:pPr>
        <w:pStyle w:val="9"/>
        <w:keepNext w:val="0"/>
        <w:keepLines w:val="0"/>
        <w:pageBreakBefore w:val="0"/>
        <w:kinsoku/>
        <w:wordWrap/>
        <w:overflowPunct/>
        <w:topLinePunct w:val="0"/>
        <w:autoSpaceDE/>
        <w:autoSpaceDN/>
        <w:bidi w:val="0"/>
        <w:adjustRightInd/>
        <w:snapToGrid/>
        <w:spacing w:line="280" w:lineRule="exact"/>
        <w:ind w:firstLine="180" w:firstLineChars="100"/>
        <w:textAlignment w:val="auto"/>
        <w:rPr>
          <w:rFonts w:hint="eastAsia" w:ascii="宋体" w:hAnsi="宋体" w:eastAsia="宋体" w:cs="宋体"/>
          <w:color w:val="auto"/>
          <w:kern w:val="0"/>
          <w:sz w:val="18"/>
          <w:szCs w:val="18"/>
          <w:highlight w:val="none"/>
          <w:lang w:val="en-US" w:eastAsia="zh-CN" w:bidi="ar"/>
        </w:rPr>
      </w:pPr>
      <w:r>
        <w:rPr>
          <w:rFonts w:hint="eastAsia" w:ascii="宋体" w:hAnsi="宋体" w:eastAsia="宋体" w:cs="宋体"/>
          <w:color w:val="auto"/>
          <w:kern w:val="0"/>
          <w:sz w:val="18"/>
          <w:szCs w:val="18"/>
          <w:highlight w:val="none"/>
          <w:lang w:val="en-US" w:eastAsia="zh-CN" w:bidi="ar"/>
        </w:rPr>
        <w:t xml:space="preserve">（2）项目技术负责人：身份证（正反双面复印或扫描）及职称资格证书的复制件； </w:t>
      </w:r>
    </w:p>
    <w:p w14:paraId="494D48B2">
      <w:pPr>
        <w:pStyle w:val="9"/>
        <w:keepNext w:val="0"/>
        <w:keepLines w:val="0"/>
        <w:pageBreakBefore w:val="0"/>
        <w:kinsoku/>
        <w:wordWrap/>
        <w:overflowPunct/>
        <w:topLinePunct w:val="0"/>
        <w:autoSpaceDE/>
        <w:autoSpaceDN/>
        <w:bidi w:val="0"/>
        <w:adjustRightInd/>
        <w:snapToGrid/>
        <w:spacing w:line="280" w:lineRule="exact"/>
        <w:ind w:firstLine="180" w:firstLineChars="100"/>
        <w:textAlignment w:val="auto"/>
        <w:rPr>
          <w:rFonts w:hint="eastAsia" w:ascii="宋体" w:hAnsi="宋体" w:eastAsia="宋体" w:cs="宋体"/>
          <w:color w:val="auto"/>
          <w:kern w:val="0"/>
          <w:sz w:val="18"/>
          <w:szCs w:val="18"/>
          <w:highlight w:val="none"/>
          <w:lang w:val="en-US" w:eastAsia="zh-CN" w:bidi="ar"/>
        </w:rPr>
      </w:pPr>
      <w:r>
        <w:rPr>
          <w:rFonts w:hint="eastAsia" w:ascii="宋体" w:hAnsi="宋体" w:eastAsia="宋体" w:cs="宋体"/>
          <w:color w:val="auto"/>
          <w:kern w:val="0"/>
          <w:sz w:val="18"/>
          <w:szCs w:val="18"/>
          <w:highlight w:val="none"/>
          <w:lang w:val="en-US" w:eastAsia="zh-CN" w:bidi="ar"/>
        </w:rPr>
        <w:t>（3）安全负责人：身份证（正反双面扫描）、职称资格证书的复制件。</w:t>
      </w:r>
    </w:p>
    <w:p w14:paraId="7458FAE8">
      <w:pPr>
        <w:pStyle w:val="9"/>
        <w:keepNext w:val="0"/>
        <w:keepLines w:val="0"/>
        <w:pageBreakBefore w:val="0"/>
        <w:kinsoku/>
        <w:wordWrap/>
        <w:overflowPunct/>
        <w:topLinePunct w:val="0"/>
        <w:autoSpaceDE/>
        <w:autoSpaceDN/>
        <w:bidi w:val="0"/>
        <w:adjustRightInd/>
        <w:snapToGrid/>
        <w:spacing w:line="280" w:lineRule="exact"/>
        <w:ind w:firstLine="180" w:firstLineChars="100"/>
        <w:textAlignment w:val="auto"/>
        <w:rPr>
          <w:rFonts w:hint="eastAsia" w:ascii="宋体" w:hAnsi="宋体" w:eastAsia="宋体" w:cs="宋体"/>
          <w:color w:val="auto"/>
          <w:kern w:val="0"/>
          <w:sz w:val="18"/>
          <w:szCs w:val="18"/>
          <w:highlight w:val="none"/>
          <w:lang w:val="en-US" w:eastAsia="zh-CN" w:bidi="ar"/>
        </w:rPr>
      </w:pPr>
      <w:r>
        <w:rPr>
          <w:rFonts w:hint="eastAsia" w:ascii="宋体" w:hAnsi="宋体" w:eastAsia="宋体" w:cs="宋体"/>
          <w:color w:val="auto"/>
          <w:kern w:val="0"/>
          <w:sz w:val="18"/>
          <w:szCs w:val="18"/>
          <w:highlight w:val="none"/>
          <w:lang w:val="en-US" w:eastAsia="zh-CN" w:bidi="ar"/>
        </w:rPr>
        <w:t>（4）项目经理的公路工程专业二级及以上注册建造师注册建造师注册证书（或网上注册信息截图）上的聘用企业名称应与投标人名称一致，否则资格审查不予通过。</w:t>
      </w:r>
    </w:p>
    <w:p w14:paraId="52826252">
      <w:pPr>
        <w:pStyle w:val="9"/>
        <w:keepNext w:val="0"/>
        <w:keepLines w:val="0"/>
        <w:pageBreakBefore w:val="0"/>
        <w:kinsoku/>
        <w:wordWrap/>
        <w:overflowPunct/>
        <w:topLinePunct w:val="0"/>
        <w:autoSpaceDE/>
        <w:autoSpaceDN/>
        <w:bidi w:val="0"/>
        <w:adjustRightInd/>
        <w:snapToGrid/>
        <w:spacing w:line="280" w:lineRule="exact"/>
        <w:ind w:firstLine="180" w:firstLineChars="100"/>
        <w:textAlignment w:val="auto"/>
        <w:rPr>
          <w:rFonts w:hint="eastAsia" w:ascii="宋体" w:hAnsi="宋体" w:eastAsia="宋体" w:cs="宋体"/>
          <w:color w:val="auto"/>
          <w:kern w:val="0"/>
          <w:sz w:val="18"/>
          <w:szCs w:val="18"/>
          <w:highlight w:val="none"/>
          <w:lang w:val="en-US" w:eastAsia="zh-CN" w:bidi="ar"/>
        </w:rPr>
      </w:pPr>
      <w:r>
        <w:rPr>
          <w:rFonts w:hint="eastAsia" w:ascii="宋体" w:hAnsi="宋体" w:eastAsia="宋体" w:cs="宋体"/>
          <w:color w:val="auto"/>
          <w:kern w:val="0"/>
          <w:sz w:val="18"/>
          <w:szCs w:val="18"/>
          <w:highlight w:val="none"/>
          <w:lang w:val="en-US" w:eastAsia="zh-CN" w:bidi="ar"/>
        </w:rPr>
        <w:t xml:space="preserve">（5）项目经理相关业绩证明材料（担任类似项目的项目经理或项目副经理或项目技术负责人的中标通知书或合同协议书或质量证明文件）的复印件或扫描件，如上述资料中均未体现合同金额、公路技术等级、项目经理姓名及任职的，还须提供项目发包人或项目质量监督部门或项目所在地设区市行业主管部门出具的证明材料的复印件或扫描件，否则业绩不予认可。 </w:t>
      </w:r>
    </w:p>
    <w:p w14:paraId="37666E7F">
      <w:pPr>
        <w:pStyle w:val="9"/>
        <w:keepNext w:val="0"/>
        <w:keepLines w:val="0"/>
        <w:pageBreakBefore w:val="0"/>
        <w:kinsoku/>
        <w:wordWrap/>
        <w:overflowPunct/>
        <w:topLinePunct w:val="0"/>
        <w:autoSpaceDE/>
        <w:autoSpaceDN/>
        <w:bidi w:val="0"/>
        <w:adjustRightInd/>
        <w:snapToGrid/>
        <w:spacing w:line="280" w:lineRule="exact"/>
        <w:ind w:firstLine="181" w:firstLineChars="100"/>
        <w:textAlignment w:val="auto"/>
        <w:rPr>
          <w:rFonts w:hint="default" w:ascii="宋体" w:hAnsi="宋体" w:eastAsia="宋体" w:cs="宋体"/>
          <w:b/>
          <w:bCs/>
          <w:color w:val="auto"/>
          <w:kern w:val="0"/>
          <w:sz w:val="18"/>
          <w:szCs w:val="18"/>
          <w:highlight w:val="none"/>
          <w:lang w:val="en-US" w:eastAsia="zh-CN" w:bidi="ar"/>
        </w:rPr>
      </w:pPr>
      <w:r>
        <w:rPr>
          <w:rFonts w:hint="eastAsia" w:ascii="宋体" w:hAnsi="宋体" w:eastAsia="宋体" w:cs="宋体"/>
          <w:b/>
          <w:bCs/>
          <w:color w:val="auto"/>
          <w:kern w:val="0"/>
          <w:sz w:val="18"/>
          <w:szCs w:val="18"/>
          <w:highlight w:val="none"/>
          <w:lang w:val="en-US" w:eastAsia="zh-CN" w:bidi="ar"/>
        </w:rPr>
        <w:t>（6）项目经理若曾在其他在建合同工程中担任项目经理（包括设计施工总承包项目中的施工负责人）但已进行更换的，应附项目发包人的同意更换证明材料，否则更换前后的项目经理均视为有“在建合同工程”。</w:t>
      </w:r>
    </w:p>
    <w:p w14:paraId="131F08D0">
      <w:pPr>
        <w:keepNext w:val="0"/>
        <w:keepLines w:val="0"/>
        <w:pageBreakBefore w:val="0"/>
        <w:widowControl/>
        <w:numPr>
          <w:ilvl w:val="0"/>
          <w:numId w:val="0"/>
        </w:numPr>
        <w:suppressLineNumbers w:val="0"/>
        <w:kinsoku/>
        <w:wordWrap/>
        <w:overflowPunct/>
        <w:topLinePunct w:val="0"/>
        <w:autoSpaceDE/>
        <w:autoSpaceDN/>
        <w:bidi w:val="0"/>
        <w:adjustRightInd/>
        <w:snapToGrid/>
        <w:spacing w:line="280" w:lineRule="exact"/>
        <w:ind w:firstLine="360" w:firstLineChars="200"/>
        <w:jc w:val="left"/>
        <w:textAlignment w:val="auto"/>
        <w:rPr>
          <w:rFonts w:hint="eastAsia" w:ascii="宋体" w:hAnsi="宋体" w:eastAsia="宋体" w:cs="宋体"/>
          <w:color w:val="auto"/>
          <w:kern w:val="0"/>
          <w:sz w:val="18"/>
          <w:szCs w:val="18"/>
          <w:highlight w:val="none"/>
          <w:lang w:val="en-US" w:eastAsia="zh-CN" w:bidi="ar"/>
        </w:rPr>
      </w:pPr>
      <w:r>
        <w:rPr>
          <w:rFonts w:hint="eastAsia" w:ascii="宋体" w:hAnsi="宋体" w:eastAsia="宋体" w:cs="宋体"/>
          <w:color w:val="auto"/>
          <w:kern w:val="0"/>
          <w:sz w:val="18"/>
          <w:szCs w:val="18"/>
          <w:highlight w:val="none"/>
          <w:lang w:val="en-US" w:eastAsia="zh-CN" w:bidi="ar"/>
        </w:rPr>
        <w:t>2.目前未在具体项目上任职的，请在备注栏说明现在负责的工作内容。</w:t>
      </w:r>
    </w:p>
    <w:p w14:paraId="1AE03CF7">
      <w:pPr>
        <w:pStyle w:val="9"/>
        <w:keepNext w:val="0"/>
        <w:keepLines w:val="0"/>
        <w:pageBreakBefore w:val="0"/>
        <w:kinsoku/>
        <w:wordWrap/>
        <w:overflowPunct/>
        <w:topLinePunct w:val="0"/>
        <w:autoSpaceDE/>
        <w:autoSpaceDN/>
        <w:bidi w:val="0"/>
        <w:adjustRightInd/>
        <w:snapToGrid/>
        <w:spacing w:line="280" w:lineRule="exact"/>
        <w:ind w:firstLine="360" w:firstLineChars="200"/>
        <w:textAlignment w:val="auto"/>
        <w:rPr>
          <w:rFonts w:hint="eastAsia" w:ascii="宋体" w:hAnsi="宋体" w:eastAsia="Times New Roman" w:cs="Times New Roman"/>
          <w:color w:val="auto"/>
          <w:sz w:val="18"/>
          <w:szCs w:val="18"/>
          <w:highlight w:val="none"/>
        </w:rPr>
      </w:pPr>
      <w:r>
        <w:rPr>
          <w:rFonts w:hint="eastAsia" w:ascii="宋体" w:hAnsi="宋体" w:eastAsia="Times New Roman" w:cs="Times New Roman"/>
          <w:color w:val="auto"/>
          <w:sz w:val="18"/>
          <w:szCs w:val="18"/>
          <w:highlight w:val="none"/>
          <w:lang w:val="en-US" w:eastAsia="zh-CN"/>
        </w:rPr>
        <w:t>3.以联合体形式参与投标的，上述人员由联合体牵头人提供。</w:t>
      </w:r>
    </w:p>
    <w:p w14:paraId="1649238B">
      <w:pPr>
        <w:pStyle w:val="9"/>
        <w:spacing w:line="320" w:lineRule="exact"/>
        <w:ind w:left="714" w:leftChars="340"/>
        <w:rPr>
          <w:color w:val="auto"/>
          <w:highlight w:val="none"/>
          <w:u w:val="single"/>
        </w:rPr>
      </w:pPr>
      <w:r>
        <w:rPr>
          <w:color w:val="auto"/>
          <w:sz w:val="30"/>
          <w:szCs w:val="30"/>
          <w:highlight w:val="none"/>
          <w:u w:val="single"/>
        </w:rPr>
        <w:br w:type="page"/>
      </w:r>
    </w:p>
    <w:p w14:paraId="3EE9F56B">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auto"/>
        <w:rPr>
          <w:rFonts w:ascii="Times New Roman" w:hAnsi="Times New Roman" w:eastAsia="Times New Roman" w:cs="Times New Roman"/>
          <w:b/>
          <w:bCs/>
          <w:color w:val="auto"/>
          <w:kern w:val="2"/>
          <w:sz w:val="28"/>
          <w:szCs w:val="28"/>
          <w:highlight w:val="none"/>
          <w:lang w:val="en-US" w:eastAsia="zh-CN" w:bidi="ar-SA"/>
        </w:rPr>
      </w:pPr>
      <w:bookmarkStart w:id="841" w:name="_Toc385863181"/>
      <w:r>
        <w:rPr>
          <w:rFonts w:ascii="Times New Roman" w:hAnsi="Times New Roman" w:eastAsia="Times New Roman" w:cs="Times New Roman"/>
          <w:b/>
          <w:bCs/>
          <w:color w:val="auto"/>
          <w:kern w:val="2"/>
          <w:sz w:val="28"/>
          <w:szCs w:val="28"/>
          <w:highlight w:val="none"/>
          <w:lang w:val="en-US" w:eastAsia="zh-CN" w:bidi="ar-SA"/>
        </w:rPr>
        <w:t>拟派项目经理在投标截止日无在其他任何</w:t>
      </w:r>
    </w:p>
    <w:p w14:paraId="038A92C4">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auto"/>
        <w:rPr>
          <w:rFonts w:ascii="Times New Roman" w:hAnsi="Times New Roman" w:eastAsia="Times New Roman" w:cs="Times New Roman"/>
          <w:b/>
          <w:bCs/>
          <w:color w:val="auto"/>
          <w:kern w:val="2"/>
          <w:sz w:val="28"/>
          <w:szCs w:val="28"/>
          <w:highlight w:val="none"/>
          <w:lang w:val="en-US" w:eastAsia="zh-CN" w:bidi="ar-SA"/>
        </w:rPr>
      </w:pPr>
      <w:r>
        <w:rPr>
          <w:rFonts w:hint="eastAsia" w:ascii="Times New Roman" w:hAnsi="Times New Roman" w:eastAsia="Times New Roman" w:cs="Times New Roman"/>
          <w:b/>
          <w:bCs/>
          <w:color w:val="auto"/>
          <w:kern w:val="2"/>
          <w:sz w:val="28"/>
          <w:szCs w:val="28"/>
          <w:highlight w:val="none"/>
          <w:lang w:val="en-US" w:eastAsia="zh-CN" w:bidi="ar-SA"/>
        </w:rPr>
        <w:t>在建合同工程上担任项目经理的承诺书</w:t>
      </w:r>
    </w:p>
    <w:p w14:paraId="4C63905B">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kern w:val="0"/>
          <w:sz w:val="21"/>
          <w:szCs w:val="21"/>
          <w:highlight w:val="none"/>
          <w:u w:val="single"/>
          <w:lang w:val="en-US" w:eastAsia="zh-CN" w:bidi="ar"/>
        </w:rPr>
      </w:pPr>
    </w:p>
    <w:p w14:paraId="3795C34A">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 xml:space="preserve">： </w:t>
      </w:r>
    </w:p>
    <w:p w14:paraId="6399DE67">
      <w:pPr>
        <w:keepNext w:val="0"/>
        <w:keepLines w:val="0"/>
        <w:pageBreakBefore w:val="0"/>
        <w:widowControl/>
        <w:suppressLineNumbers w:val="0"/>
        <w:kinsoku/>
        <w:wordWrap/>
        <w:overflowPunct/>
        <w:topLinePunct w:val="0"/>
        <w:autoSpaceDE/>
        <w:autoSpaceDN/>
        <w:bidi w:val="0"/>
        <w:adjustRightInd/>
        <w:snapToGrid/>
        <w:spacing w:line="440" w:lineRule="exact"/>
        <w:ind w:firstLine="420" w:firstLineChars="200"/>
        <w:jc w:val="left"/>
        <w:textAlignment w:val="auto"/>
        <w:rPr>
          <w:color w:val="auto"/>
          <w:sz w:val="21"/>
          <w:szCs w:val="21"/>
          <w:highlight w:val="none"/>
        </w:rPr>
      </w:pPr>
      <w:r>
        <w:rPr>
          <w:rFonts w:hint="eastAsia" w:ascii="宋体" w:hAnsi="宋体" w:eastAsia="宋体" w:cs="宋体"/>
          <w:color w:val="auto"/>
          <w:kern w:val="0"/>
          <w:sz w:val="21"/>
          <w:szCs w:val="21"/>
          <w:highlight w:val="none"/>
          <w:lang w:val="en-US" w:eastAsia="zh-CN" w:bidi="ar"/>
        </w:rPr>
        <w:t>我公司及拟派项目经理承诺，拟派参加</w:t>
      </w:r>
      <w:r>
        <w:rPr>
          <w:rFonts w:hint="eastAsia" w:ascii="宋体" w:hAnsi="宋体" w:eastAsia="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u w:val="none"/>
          <w:lang w:val="en-US" w:eastAsia="zh-CN" w:bidi="ar"/>
        </w:rPr>
        <w:t>（项目名称）</w:t>
      </w:r>
      <w:r>
        <w:rPr>
          <w:rFonts w:hint="eastAsia" w:ascii="宋体" w:hAnsi="宋体" w:eastAsia="宋体" w:cs="宋体"/>
          <w:color w:val="auto"/>
          <w:kern w:val="0"/>
          <w:sz w:val="21"/>
          <w:szCs w:val="21"/>
          <w:highlight w:val="none"/>
          <w:lang w:val="en-US" w:eastAsia="zh-CN" w:bidi="ar"/>
        </w:rPr>
        <w:t>施工投标的项目经理</w:t>
      </w:r>
      <w:r>
        <w:rPr>
          <w:rFonts w:hint="eastAsia" w:ascii="宋体" w:hAnsi="宋体" w:eastAsia="宋体" w:cs="宋体"/>
          <w:color w:val="auto"/>
          <w:kern w:val="0"/>
          <w:sz w:val="21"/>
          <w:szCs w:val="21"/>
          <w:highlight w:val="none"/>
          <w:u w:val="single"/>
          <w:lang w:val="en-US" w:eastAsia="zh-CN" w:bidi="ar"/>
        </w:rPr>
        <w:t xml:space="preserve">     （姓名）       </w:t>
      </w:r>
      <w:r>
        <w:rPr>
          <w:rFonts w:hint="eastAsia" w:ascii="宋体" w:hAnsi="宋体" w:eastAsia="宋体" w:cs="宋体"/>
          <w:color w:val="auto"/>
          <w:kern w:val="0"/>
          <w:sz w:val="21"/>
          <w:szCs w:val="21"/>
          <w:highlight w:val="none"/>
          <w:lang w:val="en-US" w:eastAsia="zh-CN" w:bidi="ar"/>
        </w:rPr>
        <w:t xml:space="preserve">在投标截止日无在其他任何在建合同工程上担任项目经理的情形。在建合同工程的开始时间为合同工程中标通知书发出日期（不通过招标方 </w:t>
      </w:r>
    </w:p>
    <w:p w14:paraId="23BF1CB6">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式的，开始时间为合同签订日期），结束时间为该合同通过合同验收或合同解除日期。 </w:t>
      </w:r>
    </w:p>
    <w:p w14:paraId="7118EB93">
      <w:pPr>
        <w:keepNext w:val="0"/>
        <w:keepLines w:val="0"/>
        <w:pageBreakBefore w:val="0"/>
        <w:widowControl/>
        <w:suppressLineNumbers w:val="0"/>
        <w:kinsoku/>
        <w:wordWrap/>
        <w:overflowPunct/>
        <w:topLinePunct w:val="0"/>
        <w:autoSpaceDE/>
        <w:autoSpaceDN/>
        <w:bidi w:val="0"/>
        <w:adjustRightInd/>
        <w:snapToGrid/>
        <w:spacing w:line="440" w:lineRule="exact"/>
        <w:ind w:firstLine="420" w:firstLineChars="200"/>
        <w:jc w:val="left"/>
        <w:textAlignment w:val="auto"/>
        <w:rPr>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以上承诺如有虚假，愿意接受投标保证金不予退还的处罚。给招标人造成损失的，愿意依法承担赔偿责任。如已中标，同意招标人取消我公司中标资格的处理。 </w:t>
      </w:r>
    </w:p>
    <w:p w14:paraId="7CB31B4F">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kern w:val="0"/>
          <w:sz w:val="21"/>
          <w:szCs w:val="21"/>
          <w:highlight w:val="none"/>
          <w:lang w:val="en-US" w:eastAsia="zh-CN" w:bidi="ar"/>
        </w:rPr>
      </w:pPr>
    </w:p>
    <w:p w14:paraId="39109355">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kern w:val="0"/>
          <w:sz w:val="21"/>
          <w:szCs w:val="21"/>
          <w:highlight w:val="none"/>
          <w:lang w:val="en-US" w:eastAsia="zh-CN" w:bidi="ar"/>
        </w:rPr>
      </w:pPr>
    </w:p>
    <w:p w14:paraId="53759168">
      <w:pPr>
        <w:keepNext w:val="0"/>
        <w:keepLines w:val="0"/>
        <w:pageBreakBefore w:val="0"/>
        <w:widowControl/>
        <w:suppressLineNumbers w:val="0"/>
        <w:kinsoku/>
        <w:wordWrap/>
        <w:overflowPunct/>
        <w:topLinePunct w:val="0"/>
        <w:autoSpaceDE/>
        <w:autoSpaceDN/>
        <w:bidi w:val="0"/>
        <w:adjustRightInd/>
        <w:snapToGrid/>
        <w:spacing w:line="600" w:lineRule="exact"/>
        <w:ind w:firstLine="3150" w:firstLineChars="1500"/>
        <w:jc w:val="left"/>
        <w:textAlignment w:val="auto"/>
        <w:rPr>
          <w:color w:val="auto"/>
          <w:sz w:val="21"/>
          <w:szCs w:val="21"/>
          <w:highlight w:val="none"/>
        </w:rPr>
      </w:pPr>
      <w:r>
        <w:rPr>
          <w:rFonts w:hint="eastAsia" w:ascii="宋体" w:hAnsi="宋体" w:eastAsia="宋体" w:cs="宋体"/>
          <w:color w:val="auto"/>
          <w:kern w:val="0"/>
          <w:sz w:val="21"/>
          <w:szCs w:val="21"/>
          <w:highlight w:val="none"/>
          <w:lang w:val="en-US" w:eastAsia="zh-CN" w:bidi="ar"/>
        </w:rPr>
        <w:t>投标人：</w:t>
      </w:r>
      <w:r>
        <w:rPr>
          <w:rFonts w:hint="eastAsia" w:ascii="宋体" w:hAnsi="宋体" w:eastAsia="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 xml:space="preserve">（盖单位电子公章） </w:t>
      </w:r>
    </w:p>
    <w:p w14:paraId="54E1B190">
      <w:pPr>
        <w:keepNext w:val="0"/>
        <w:keepLines w:val="0"/>
        <w:pageBreakBefore w:val="0"/>
        <w:widowControl/>
        <w:suppressLineNumbers w:val="0"/>
        <w:kinsoku/>
        <w:wordWrap/>
        <w:overflowPunct/>
        <w:topLinePunct w:val="0"/>
        <w:autoSpaceDE/>
        <w:autoSpaceDN/>
        <w:bidi w:val="0"/>
        <w:adjustRightInd/>
        <w:snapToGrid/>
        <w:spacing w:line="600" w:lineRule="exact"/>
        <w:ind w:firstLine="3150" w:firstLineChars="1500"/>
        <w:jc w:val="left"/>
        <w:textAlignment w:val="auto"/>
        <w:rPr>
          <w:color w:val="auto"/>
          <w:sz w:val="21"/>
          <w:szCs w:val="21"/>
          <w:highlight w:val="none"/>
        </w:rPr>
      </w:pPr>
      <w:r>
        <w:rPr>
          <w:rFonts w:hint="eastAsia" w:ascii="宋体" w:hAnsi="宋体" w:eastAsia="宋体" w:cs="宋体"/>
          <w:color w:val="auto"/>
          <w:kern w:val="0"/>
          <w:sz w:val="21"/>
          <w:szCs w:val="21"/>
          <w:highlight w:val="none"/>
          <w:lang w:val="en-US" w:eastAsia="zh-CN" w:bidi="ar"/>
        </w:rPr>
        <w:t>法定代表人：</w:t>
      </w:r>
      <w:r>
        <w:rPr>
          <w:rFonts w:hint="eastAsia" w:ascii="宋体" w:hAnsi="宋体" w:eastAsia="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 xml:space="preserve">（盖法定代表人电子章） </w:t>
      </w:r>
    </w:p>
    <w:p w14:paraId="69CD5C93">
      <w:pPr>
        <w:keepNext w:val="0"/>
        <w:keepLines w:val="0"/>
        <w:pageBreakBefore w:val="0"/>
        <w:widowControl/>
        <w:suppressLineNumbers w:val="0"/>
        <w:kinsoku/>
        <w:wordWrap/>
        <w:overflowPunct/>
        <w:topLinePunct w:val="0"/>
        <w:autoSpaceDE/>
        <w:autoSpaceDN/>
        <w:bidi w:val="0"/>
        <w:adjustRightInd/>
        <w:snapToGrid/>
        <w:spacing w:line="600" w:lineRule="exact"/>
        <w:ind w:firstLine="4410" w:firstLineChars="2100"/>
        <w:jc w:val="left"/>
        <w:textAlignment w:val="auto"/>
        <w:rPr>
          <w:color w:val="auto"/>
          <w:sz w:val="21"/>
          <w:szCs w:val="21"/>
          <w:highlight w:val="none"/>
        </w:rPr>
      </w:pPr>
      <w:r>
        <w:rPr>
          <w:rFonts w:hint="eastAsia" w:ascii="宋体" w:hAnsi="宋体" w:eastAsia="宋体" w:cs="宋体"/>
          <w:color w:val="auto"/>
          <w:kern w:val="0"/>
          <w:sz w:val="21"/>
          <w:szCs w:val="21"/>
          <w:highlight w:val="none"/>
          <w:lang w:val="en-US" w:eastAsia="zh-CN" w:bidi="ar"/>
        </w:rPr>
        <w:t>年    月    日</w:t>
      </w:r>
    </w:p>
    <w:p w14:paraId="74374F7B">
      <w:pPr>
        <w:pStyle w:val="9"/>
        <w:keepNext/>
        <w:keepLines/>
        <w:pageBreakBefore w:val="0"/>
        <w:widowControl w:val="0"/>
        <w:kinsoku/>
        <w:wordWrap/>
        <w:overflowPunct/>
        <w:topLinePunct w:val="0"/>
        <w:autoSpaceDE/>
        <w:autoSpaceDN/>
        <w:bidi w:val="0"/>
        <w:adjustRightInd/>
        <w:snapToGrid/>
        <w:spacing w:line="360" w:lineRule="auto"/>
        <w:jc w:val="center"/>
        <w:textAlignment w:val="auto"/>
        <w:outlineLvl w:val="9"/>
        <w:rPr>
          <w:b/>
          <w:bCs/>
          <w:color w:val="auto"/>
          <w:sz w:val="28"/>
          <w:szCs w:val="28"/>
          <w:highlight w:val="none"/>
        </w:rPr>
      </w:pPr>
    </w:p>
    <w:p w14:paraId="36FE731A">
      <w:pPr>
        <w:pStyle w:val="9"/>
        <w:keepNext/>
        <w:keepLines/>
        <w:pageBreakBefore w:val="0"/>
        <w:widowControl w:val="0"/>
        <w:kinsoku/>
        <w:wordWrap/>
        <w:overflowPunct/>
        <w:topLinePunct w:val="0"/>
        <w:autoSpaceDE/>
        <w:autoSpaceDN/>
        <w:bidi w:val="0"/>
        <w:adjustRightInd/>
        <w:snapToGrid/>
        <w:spacing w:line="360" w:lineRule="auto"/>
        <w:jc w:val="center"/>
        <w:textAlignment w:val="auto"/>
        <w:outlineLvl w:val="9"/>
        <w:rPr>
          <w:b/>
          <w:bCs/>
          <w:color w:val="auto"/>
          <w:sz w:val="28"/>
          <w:szCs w:val="28"/>
          <w:highlight w:val="none"/>
        </w:rPr>
      </w:pPr>
    </w:p>
    <w:p w14:paraId="04F1EED6">
      <w:pPr>
        <w:pStyle w:val="9"/>
        <w:keepNext/>
        <w:keepLines/>
        <w:pageBreakBefore w:val="0"/>
        <w:widowControl w:val="0"/>
        <w:kinsoku/>
        <w:wordWrap/>
        <w:overflowPunct/>
        <w:topLinePunct w:val="0"/>
        <w:autoSpaceDE/>
        <w:autoSpaceDN/>
        <w:bidi w:val="0"/>
        <w:adjustRightInd/>
        <w:snapToGrid/>
        <w:spacing w:line="360" w:lineRule="auto"/>
        <w:jc w:val="center"/>
        <w:textAlignment w:val="auto"/>
        <w:outlineLvl w:val="9"/>
        <w:rPr>
          <w:b/>
          <w:bCs/>
          <w:color w:val="auto"/>
          <w:sz w:val="28"/>
          <w:szCs w:val="28"/>
          <w:highlight w:val="none"/>
        </w:rPr>
      </w:pPr>
    </w:p>
    <w:p w14:paraId="3E514028">
      <w:pPr>
        <w:pStyle w:val="9"/>
        <w:keepNext/>
        <w:keepLines/>
        <w:pageBreakBefore w:val="0"/>
        <w:widowControl w:val="0"/>
        <w:kinsoku/>
        <w:wordWrap/>
        <w:overflowPunct/>
        <w:topLinePunct w:val="0"/>
        <w:autoSpaceDE/>
        <w:autoSpaceDN/>
        <w:bidi w:val="0"/>
        <w:adjustRightInd/>
        <w:snapToGrid/>
        <w:spacing w:line="360" w:lineRule="auto"/>
        <w:jc w:val="center"/>
        <w:textAlignment w:val="auto"/>
        <w:outlineLvl w:val="9"/>
        <w:rPr>
          <w:b/>
          <w:bCs/>
          <w:color w:val="auto"/>
          <w:sz w:val="28"/>
          <w:szCs w:val="28"/>
          <w:highlight w:val="none"/>
        </w:rPr>
      </w:pPr>
    </w:p>
    <w:p w14:paraId="24DA54F7">
      <w:pPr>
        <w:pStyle w:val="9"/>
        <w:keepNext/>
        <w:keepLines/>
        <w:pageBreakBefore w:val="0"/>
        <w:widowControl w:val="0"/>
        <w:kinsoku/>
        <w:wordWrap/>
        <w:overflowPunct/>
        <w:topLinePunct w:val="0"/>
        <w:autoSpaceDE/>
        <w:autoSpaceDN/>
        <w:bidi w:val="0"/>
        <w:adjustRightInd/>
        <w:snapToGrid/>
        <w:spacing w:line="360" w:lineRule="auto"/>
        <w:jc w:val="center"/>
        <w:textAlignment w:val="auto"/>
        <w:outlineLvl w:val="9"/>
        <w:rPr>
          <w:b/>
          <w:bCs/>
          <w:color w:val="auto"/>
          <w:sz w:val="28"/>
          <w:szCs w:val="28"/>
          <w:highlight w:val="none"/>
        </w:rPr>
      </w:pPr>
    </w:p>
    <w:p w14:paraId="4EA14144">
      <w:pPr>
        <w:pStyle w:val="9"/>
        <w:keepNext/>
        <w:keepLines/>
        <w:pageBreakBefore w:val="0"/>
        <w:widowControl w:val="0"/>
        <w:kinsoku/>
        <w:wordWrap/>
        <w:overflowPunct/>
        <w:topLinePunct w:val="0"/>
        <w:autoSpaceDE/>
        <w:autoSpaceDN/>
        <w:bidi w:val="0"/>
        <w:adjustRightInd/>
        <w:snapToGrid/>
        <w:spacing w:line="360" w:lineRule="auto"/>
        <w:jc w:val="center"/>
        <w:textAlignment w:val="auto"/>
        <w:outlineLvl w:val="9"/>
        <w:rPr>
          <w:b/>
          <w:bCs/>
          <w:color w:val="auto"/>
          <w:sz w:val="28"/>
          <w:szCs w:val="28"/>
          <w:highlight w:val="none"/>
        </w:rPr>
      </w:pPr>
      <w:r>
        <w:rPr>
          <w:b/>
          <w:bCs/>
          <w:color w:val="auto"/>
          <w:sz w:val="28"/>
          <w:szCs w:val="28"/>
          <w:highlight w:val="none"/>
        </w:rPr>
        <w:br w:type="page"/>
      </w:r>
    </w:p>
    <w:p w14:paraId="6A518CBB">
      <w:pPr>
        <w:pStyle w:val="9"/>
        <w:keepNext/>
        <w:keepLines/>
        <w:spacing w:line="360" w:lineRule="auto"/>
        <w:jc w:val="center"/>
        <w:outlineLvl w:val="2"/>
        <w:rPr>
          <w:b/>
          <w:bCs/>
          <w:color w:val="auto"/>
          <w:sz w:val="28"/>
          <w:szCs w:val="28"/>
          <w:highlight w:val="none"/>
        </w:rPr>
      </w:pPr>
      <w:bookmarkStart w:id="842" w:name="_Toc582"/>
      <w:r>
        <w:rPr>
          <w:b/>
          <w:bCs/>
          <w:color w:val="auto"/>
          <w:sz w:val="28"/>
          <w:szCs w:val="28"/>
          <w:highlight w:val="none"/>
        </w:rPr>
        <w:t>（四）</w:t>
      </w:r>
      <w:bookmarkEnd w:id="841"/>
      <w:r>
        <w:rPr>
          <w:b/>
          <w:bCs/>
          <w:color w:val="auto"/>
          <w:sz w:val="28"/>
          <w:szCs w:val="28"/>
          <w:highlight w:val="none"/>
        </w:rPr>
        <w:t>银行信贷证明</w:t>
      </w:r>
      <w:r>
        <w:rPr>
          <w:rFonts w:hint="eastAsia"/>
          <w:b/>
          <w:bCs/>
          <w:color w:val="auto"/>
          <w:sz w:val="28"/>
          <w:szCs w:val="28"/>
          <w:highlight w:val="none"/>
        </w:rPr>
        <w:t>（或</w:t>
      </w:r>
      <w:r>
        <w:rPr>
          <w:b/>
          <w:bCs/>
          <w:color w:val="auto"/>
          <w:sz w:val="28"/>
          <w:szCs w:val="28"/>
          <w:highlight w:val="none"/>
        </w:rPr>
        <w:t>财务能力承诺书</w:t>
      </w:r>
      <w:r>
        <w:rPr>
          <w:rFonts w:hint="eastAsia"/>
          <w:b/>
          <w:bCs/>
          <w:color w:val="auto"/>
          <w:sz w:val="28"/>
          <w:szCs w:val="28"/>
          <w:highlight w:val="none"/>
        </w:rPr>
        <w:t>）</w:t>
      </w:r>
      <w:bookmarkEnd w:id="842"/>
    </w:p>
    <w:p w14:paraId="0853E17C">
      <w:pPr>
        <w:pStyle w:val="9"/>
        <w:ind w:left="1289" w:leftChars="277" w:right="347" w:hanging="707" w:hangingChars="337"/>
        <w:rPr>
          <w:color w:val="auto"/>
          <w:highlight w:val="none"/>
        </w:rPr>
      </w:pPr>
    </w:p>
    <w:p w14:paraId="30004E35">
      <w:pPr>
        <w:pStyle w:val="9"/>
        <w:tabs>
          <w:tab w:val="left" w:pos="8280"/>
        </w:tabs>
        <w:ind w:right="26"/>
        <w:jc w:val="center"/>
        <w:rPr>
          <w:rFonts w:eastAsia="黑体"/>
          <w:bCs/>
          <w:color w:val="auto"/>
          <w:sz w:val="28"/>
          <w:szCs w:val="28"/>
          <w:highlight w:val="none"/>
        </w:rPr>
      </w:pPr>
      <w:r>
        <w:rPr>
          <w:rFonts w:eastAsia="黑体"/>
          <w:bCs/>
          <w:color w:val="auto"/>
          <w:sz w:val="28"/>
          <w:szCs w:val="28"/>
          <w:highlight w:val="none"/>
        </w:rPr>
        <w:t>银行信贷证明</w:t>
      </w:r>
    </w:p>
    <w:p w14:paraId="1B068801">
      <w:pPr>
        <w:pStyle w:val="9"/>
        <w:spacing w:after="120" w:line="360" w:lineRule="exact"/>
        <w:rPr>
          <w:color w:val="auto"/>
          <w:highlight w:val="none"/>
        </w:rPr>
      </w:pPr>
    </w:p>
    <w:p w14:paraId="76F96BBA">
      <w:pPr>
        <w:pStyle w:val="9"/>
        <w:spacing w:line="360" w:lineRule="exact"/>
        <w:rPr>
          <w:rFonts w:eastAsia="楷体_GB2312"/>
          <w:color w:val="auto"/>
          <w:szCs w:val="21"/>
          <w:highlight w:val="none"/>
          <w:u w:val="single"/>
        </w:rPr>
      </w:pPr>
      <w:r>
        <w:rPr>
          <w:color w:val="auto"/>
          <w:szCs w:val="21"/>
          <w:highlight w:val="none"/>
        </w:rPr>
        <w:t>银行名称：</w:t>
      </w:r>
      <w:r>
        <w:rPr>
          <w:rFonts w:eastAsia="楷体_GB2312"/>
          <w:color w:val="auto"/>
          <w:szCs w:val="21"/>
          <w:highlight w:val="none"/>
          <w:u w:val="single"/>
        </w:rPr>
        <w:t xml:space="preserve">                            </w:t>
      </w:r>
    </w:p>
    <w:p w14:paraId="6F406E17">
      <w:pPr>
        <w:pStyle w:val="9"/>
        <w:spacing w:line="360" w:lineRule="exact"/>
        <w:rPr>
          <w:rFonts w:eastAsia="楷体_GB2312"/>
          <w:color w:val="auto"/>
          <w:szCs w:val="21"/>
          <w:highlight w:val="none"/>
          <w:u w:val="single"/>
        </w:rPr>
      </w:pPr>
      <w:r>
        <w:rPr>
          <w:color w:val="auto"/>
          <w:szCs w:val="21"/>
          <w:highlight w:val="none"/>
        </w:rPr>
        <w:t>地    址：</w:t>
      </w:r>
      <w:r>
        <w:rPr>
          <w:rFonts w:eastAsia="楷体_GB2312"/>
          <w:color w:val="auto"/>
          <w:szCs w:val="21"/>
          <w:highlight w:val="none"/>
          <w:u w:val="single"/>
        </w:rPr>
        <w:t xml:space="preserve">                            </w:t>
      </w:r>
    </w:p>
    <w:p w14:paraId="5FB7C1AA">
      <w:pPr>
        <w:pStyle w:val="9"/>
        <w:spacing w:line="360" w:lineRule="exact"/>
        <w:ind w:firstLine="6195" w:firstLineChars="2950"/>
        <w:rPr>
          <w:rFonts w:eastAsia="楷体_GB2312"/>
          <w:color w:val="auto"/>
          <w:szCs w:val="21"/>
          <w:highlight w:val="none"/>
          <w:u w:val="single"/>
        </w:rPr>
      </w:pPr>
      <w:r>
        <w:rPr>
          <w:color w:val="auto"/>
          <w:szCs w:val="21"/>
          <w:highlight w:val="none"/>
        </w:rPr>
        <w:t>日期：</w:t>
      </w:r>
      <w:r>
        <w:rPr>
          <w:rFonts w:eastAsia="楷体_GB2312"/>
          <w:color w:val="auto"/>
          <w:szCs w:val="21"/>
          <w:highlight w:val="none"/>
          <w:u w:val="single"/>
        </w:rPr>
        <w:t xml:space="preserve">               </w:t>
      </w:r>
    </w:p>
    <w:p w14:paraId="0B4AE058">
      <w:pPr>
        <w:pStyle w:val="9"/>
        <w:spacing w:line="360" w:lineRule="exact"/>
        <w:rPr>
          <w:rFonts w:eastAsia="楷体_GB2312"/>
          <w:color w:val="auto"/>
          <w:szCs w:val="21"/>
          <w:highlight w:val="none"/>
          <w:u w:val="single"/>
        </w:rPr>
      </w:pPr>
      <w:r>
        <w:rPr>
          <w:color w:val="auto"/>
          <w:szCs w:val="21"/>
          <w:highlight w:val="none"/>
        </w:rPr>
        <w:t>致：</w:t>
      </w:r>
      <w:r>
        <w:rPr>
          <w:rFonts w:eastAsia="楷体_GB2312"/>
          <w:color w:val="auto"/>
          <w:szCs w:val="21"/>
          <w:highlight w:val="none"/>
          <w:u w:val="single"/>
        </w:rPr>
        <w:t xml:space="preserve">  </w:t>
      </w:r>
      <w:r>
        <w:rPr>
          <w:color w:val="auto"/>
          <w:szCs w:val="21"/>
          <w:highlight w:val="none"/>
          <w:u w:val="single"/>
        </w:rPr>
        <w:t>（招标人全称）</w:t>
      </w:r>
      <w:r>
        <w:rPr>
          <w:rFonts w:eastAsia="楷体_GB2312"/>
          <w:color w:val="auto"/>
          <w:szCs w:val="21"/>
          <w:highlight w:val="none"/>
          <w:u w:val="single"/>
        </w:rPr>
        <w:t xml:space="preserve">  </w:t>
      </w:r>
    </w:p>
    <w:p w14:paraId="6606ECC5">
      <w:pPr>
        <w:pStyle w:val="9"/>
        <w:spacing w:line="360" w:lineRule="exact"/>
        <w:rPr>
          <w:color w:val="auto"/>
          <w:szCs w:val="21"/>
          <w:highlight w:val="none"/>
        </w:rPr>
      </w:pPr>
    </w:p>
    <w:p w14:paraId="19EBB753">
      <w:pPr>
        <w:pStyle w:val="9"/>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color w:val="auto"/>
          <w:szCs w:val="21"/>
          <w:highlight w:val="none"/>
        </w:rPr>
      </w:pPr>
      <w:r>
        <w:rPr>
          <w:color w:val="auto"/>
          <w:szCs w:val="21"/>
          <w:highlight w:val="none"/>
        </w:rPr>
        <w:t>兹开具最高限额为人民币</w:t>
      </w:r>
      <w:r>
        <w:rPr>
          <w:rFonts w:eastAsia="楷体_GB2312"/>
          <w:color w:val="auto"/>
          <w:szCs w:val="21"/>
          <w:highlight w:val="none"/>
          <w:u w:val="single"/>
        </w:rPr>
        <w:t xml:space="preserve">    </w:t>
      </w:r>
      <w:r>
        <w:rPr>
          <w:color w:val="auto"/>
          <w:szCs w:val="21"/>
          <w:highlight w:val="none"/>
        </w:rPr>
        <w:t>万元的银行信贷，供</w:t>
      </w:r>
      <w:r>
        <w:rPr>
          <w:color w:val="auto"/>
          <w:szCs w:val="21"/>
          <w:highlight w:val="none"/>
          <w:u w:val="single"/>
        </w:rPr>
        <w:t xml:space="preserve">   </w:t>
      </w:r>
      <w:r>
        <w:rPr>
          <w:rFonts w:eastAsia="楷体_GB2312"/>
          <w:color w:val="auto"/>
          <w:szCs w:val="21"/>
          <w:highlight w:val="none"/>
          <w:u w:val="single"/>
        </w:rPr>
        <w:t xml:space="preserve">      </w:t>
      </w:r>
      <w:r>
        <w:rPr>
          <w:color w:val="auto"/>
          <w:szCs w:val="21"/>
          <w:highlight w:val="none"/>
        </w:rPr>
        <w:t>（投标人注册地点）</w:t>
      </w:r>
      <w:r>
        <w:rPr>
          <w:color w:val="auto"/>
          <w:szCs w:val="21"/>
          <w:highlight w:val="none"/>
          <w:u w:val="single"/>
        </w:rPr>
        <w:t xml:space="preserve">         （投标人名称）</w:t>
      </w:r>
      <w:r>
        <w:rPr>
          <w:color w:val="auto"/>
          <w:szCs w:val="21"/>
          <w:highlight w:val="none"/>
        </w:rPr>
        <w:t>于</w:t>
      </w:r>
      <w:r>
        <w:rPr>
          <w:color w:val="auto"/>
          <w:szCs w:val="21"/>
          <w:highlight w:val="none"/>
          <w:u w:val="single"/>
        </w:rPr>
        <w:t xml:space="preserve">     </w:t>
      </w:r>
      <w:r>
        <w:rPr>
          <w:color w:val="auto"/>
          <w:szCs w:val="21"/>
          <w:highlight w:val="none"/>
        </w:rPr>
        <w:t>年</w:t>
      </w:r>
      <w:r>
        <w:rPr>
          <w:color w:val="auto"/>
          <w:szCs w:val="21"/>
          <w:highlight w:val="none"/>
          <w:u w:val="single"/>
        </w:rPr>
        <w:t xml:space="preserve"> </w:t>
      </w:r>
      <w:r>
        <w:rPr>
          <w:rFonts w:hint="eastAsia" w:eastAsia="宋体"/>
          <w:color w:val="auto"/>
          <w:szCs w:val="21"/>
          <w:highlight w:val="none"/>
          <w:u w:val="single"/>
          <w:lang w:val="en-US" w:eastAsia="zh-CN"/>
        </w:rPr>
        <w:t xml:space="preserve"> </w:t>
      </w:r>
      <w:r>
        <w:rPr>
          <w:color w:val="auto"/>
          <w:szCs w:val="21"/>
          <w:highlight w:val="none"/>
          <w:u w:val="single"/>
        </w:rPr>
        <w:t xml:space="preserve"> </w:t>
      </w:r>
      <w:r>
        <w:rPr>
          <w:color w:val="auto"/>
          <w:szCs w:val="21"/>
          <w:highlight w:val="none"/>
        </w:rPr>
        <w:t>月</w:t>
      </w:r>
      <w:r>
        <w:rPr>
          <w:color w:val="auto"/>
          <w:szCs w:val="21"/>
          <w:highlight w:val="none"/>
          <w:u w:val="single"/>
        </w:rPr>
        <w:t xml:space="preserve">  </w:t>
      </w:r>
      <w:r>
        <w:rPr>
          <w:color w:val="auto"/>
          <w:szCs w:val="21"/>
          <w:highlight w:val="none"/>
        </w:rPr>
        <w:t>日之前，在</w:t>
      </w:r>
      <w:r>
        <w:rPr>
          <w:color w:val="auto"/>
          <w:szCs w:val="21"/>
          <w:highlight w:val="none"/>
          <w:u w:val="single"/>
        </w:rPr>
        <w:t xml:space="preserve">           </w:t>
      </w:r>
      <w:r>
        <w:rPr>
          <w:color w:val="auto"/>
          <w:szCs w:val="21"/>
          <w:highlight w:val="none"/>
        </w:rPr>
        <w:t>（项目名称）需要时使用。我行保证由_______________（投标人名称）提供的财务报表中所开列的作为流动资产的各项中无一项包含在上述提到的银行信贷中。</w:t>
      </w:r>
    </w:p>
    <w:p w14:paraId="3496413C">
      <w:pPr>
        <w:pStyle w:val="9"/>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color w:val="auto"/>
          <w:szCs w:val="21"/>
          <w:highlight w:val="none"/>
        </w:rPr>
      </w:pPr>
      <w:r>
        <w:rPr>
          <w:color w:val="auto"/>
          <w:szCs w:val="21"/>
          <w:highlight w:val="none"/>
        </w:rPr>
        <w:t>此项目若未中标，该信贷证明自动失效，无需退回我行。</w:t>
      </w:r>
    </w:p>
    <w:p w14:paraId="04F23E06">
      <w:pPr>
        <w:pStyle w:val="9"/>
        <w:spacing w:line="360" w:lineRule="exact"/>
        <w:ind w:firstLine="420" w:firstLineChars="200"/>
        <w:rPr>
          <w:color w:val="auto"/>
          <w:szCs w:val="21"/>
          <w:highlight w:val="none"/>
        </w:rPr>
      </w:pPr>
    </w:p>
    <w:p w14:paraId="3649DE41">
      <w:pPr>
        <w:pStyle w:val="9"/>
        <w:spacing w:line="360" w:lineRule="exact"/>
        <w:jc w:val="left"/>
        <w:rPr>
          <w:color w:val="auto"/>
          <w:szCs w:val="21"/>
          <w:highlight w:val="none"/>
        </w:rPr>
      </w:pPr>
    </w:p>
    <w:p w14:paraId="20F46930">
      <w:pPr>
        <w:pStyle w:val="9"/>
        <w:spacing w:line="360" w:lineRule="exact"/>
        <w:jc w:val="left"/>
        <w:rPr>
          <w:color w:val="auto"/>
          <w:szCs w:val="21"/>
          <w:highlight w:val="none"/>
        </w:rPr>
      </w:pPr>
    </w:p>
    <w:p w14:paraId="08AAFAA4">
      <w:pPr>
        <w:pStyle w:val="9"/>
        <w:keepNext w:val="0"/>
        <w:keepLines w:val="0"/>
        <w:pageBreakBefore w:val="0"/>
        <w:widowControl w:val="0"/>
        <w:kinsoku/>
        <w:wordWrap/>
        <w:overflowPunct/>
        <w:topLinePunct w:val="0"/>
        <w:autoSpaceDE/>
        <w:autoSpaceDN/>
        <w:bidi w:val="0"/>
        <w:adjustRightInd/>
        <w:snapToGrid/>
        <w:spacing w:line="440" w:lineRule="exact"/>
        <w:ind w:firstLine="3059" w:firstLineChars="1457"/>
        <w:jc w:val="left"/>
        <w:textAlignment w:val="auto"/>
        <w:rPr>
          <w:rFonts w:eastAsia="楷体_GB2312"/>
          <w:color w:val="auto"/>
          <w:szCs w:val="21"/>
          <w:highlight w:val="none"/>
          <w:u w:val="single"/>
        </w:rPr>
      </w:pPr>
      <w:r>
        <w:rPr>
          <w:color w:val="auto"/>
          <w:szCs w:val="21"/>
          <w:highlight w:val="none"/>
        </w:rPr>
        <w:t>银                行（盖章）：</w:t>
      </w:r>
      <w:r>
        <w:rPr>
          <w:rFonts w:eastAsia="楷体_GB2312"/>
          <w:color w:val="auto"/>
          <w:szCs w:val="21"/>
          <w:highlight w:val="none"/>
          <w:u w:val="single"/>
        </w:rPr>
        <w:t xml:space="preserve">                      </w:t>
      </w:r>
    </w:p>
    <w:p w14:paraId="3A00ED0B">
      <w:pPr>
        <w:pStyle w:val="9"/>
        <w:keepNext w:val="0"/>
        <w:keepLines w:val="0"/>
        <w:pageBreakBefore w:val="0"/>
        <w:widowControl w:val="0"/>
        <w:kinsoku/>
        <w:wordWrap/>
        <w:overflowPunct/>
        <w:topLinePunct w:val="0"/>
        <w:autoSpaceDE/>
        <w:autoSpaceDN/>
        <w:bidi w:val="0"/>
        <w:adjustRightInd/>
        <w:snapToGrid/>
        <w:spacing w:line="440" w:lineRule="exact"/>
        <w:ind w:firstLine="3059" w:firstLineChars="1457"/>
        <w:jc w:val="left"/>
        <w:textAlignment w:val="auto"/>
        <w:rPr>
          <w:rFonts w:eastAsia="楷体_GB2312"/>
          <w:color w:val="auto"/>
          <w:szCs w:val="21"/>
          <w:highlight w:val="none"/>
          <w:u w:val="single"/>
        </w:rPr>
      </w:pPr>
      <w:r>
        <w:rPr>
          <w:color w:val="auto"/>
          <w:szCs w:val="21"/>
          <w:highlight w:val="none"/>
        </w:rPr>
        <w:t>银 行 主 要 负 责 人（签字）：</w:t>
      </w:r>
      <w:r>
        <w:rPr>
          <w:rFonts w:eastAsia="楷体_GB2312"/>
          <w:color w:val="auto"/>
          <w:szCs w:val="21"/>
          <w:highlight w:val="none"/>
          <w:u w:val="single"/>
        </w:rPr>
        <w:t xml:space="preserve">                      </w:t>
      </w:r>
    </w:p>
    <w:p w14:paraId="1097F0AA">
      <w:pPr>
        <w:pStyle w:val="9"/>
        <w:keepNext w:val="0"/>
        <w:keepLines w:val="0"/>
        <w:pageBreakBefore w:val="0"/>
        <w:widowControl w:val="0"/>
        <w:kinsoku/>
        <w:wordWrap/>
        <w:overflowPunct/>
        <w:topLinePunct w:val="0"/>
        <w:autoSpaceDE/>
        <w:autoSpaceDN/>
        <w:bidi w:val="0"/>
        <w:adjustRightInd/>
        <w:snapToGrid/>
        <w:spacing w:line="440" w:lineRule="exact"/>
        <w:ind w:firstLine="3059" w:firstLineChars="1457"/>
        <w:jc w:val="left"/>
        <w:textAlignment w:val="auto"/>
        <w:rPr>
          <w:rFonts w:eastAsia="楷体_GB2312"/>
          <w:color w:val="auto"/>
          <w:szCs w:val="21"/>
          <w:highlight w:val="none"/>
          <w:u w:val="single"/>
        </w:rPr>
      </w:pPr>
      <w:r>
        <w:rPr>
          <w:color w:val="auto"/>
          <w:szCs w:val="21"/>
          <w:highlight w:val="none"/>
        </w:rPr>
        <w:t>银行主要负责人的姓名、职务：</w:t>
      </w:r>
      <w:r>
        <w:rPr>
          <w:rFonts w:eastAsia="楷体_GB2312"/>
          <w:color w:val="auto"/>
          <w:szCs w:val="21"/>
          <w:highlight w:val="none"/>
          <w:u w:val="single"/>
        </w:rPr>
        <w:t xml:space="preserve">      </w:t>
      </w:r>
      <w:r>
        <w:rPr>
          <w:color w:val="auto"/>
          <w:szCs w:val="21"/>
          <w:highlight w:val="none"/>
          <w:u w:val="single"/>
        </w:rPr>
        <w:t xml:space="preserve">  （打印）</w:t>
      </w:r>
      <w:r>
        <w:rPr>
          <w:rFonts w:eastAsia="楷体_GB2312"/>
          <w:color w:val="auto"/>
          <w:szCs w:val="21"/>
          <w:highlight w:val="none"/>
          <w:u w:val="single"/>
        </w:rPr>
        <w:t xml:space="preserve">       </w:t>
      </w:r>
    </w:p>
    <w:p w14:paraId="70C847FF">
      <w:pPr>
        <w:pStyle w:val="9"/>
        <w:keepNext w:val="0"/>
        <w:keepLines w:val="0"/>
        <w:pageBreakBefore w:val="0"/>
        <w:widowControl w:val="0"/>
        <w:kinsoku/>
        <w:wordWrap/>
        <w:overflowPunct/>
        <w:topLinePunct w:val="0"/>
        <w:autoSpaceDE/>
        <w:autoSpaceDN/>
        <w:bidi w:val="0"/>
        <w:adjustRightInd/>
        <w:snapToGrid/>
        <w:spacing w:line="440" w:lineRule="exact"/>
        <w:ind w:firstLine="3059" w:firstLineChars="1457"/>
        <w:jc w:val="left"/>
        <w:textAlignment w:val="auto"/>
        <w:rPr>
          <w:rFonts w:eastAsia="楷体_GB2312"/>
          <w:color w:val="auto"/>
          <w:szCs w:val="21"/>
          <w:highlight w:val="none"/>
          <w:u w:val="single"/>
        </w:rPr>
      </w:pPr>
      <w:r>
        <w:rPr>
          <w:color w:val="auto"/>
          <w:szCs w:val="21"/>
          <w:highlight w:val="none"/>
        </w:rPr>
        <w:t>银      行      电      话：</w:t>
      </w:r>
      <w:r>
        <w:rPr>
          <w:rFonts w:eastAsia="楷体_GB2312"/>
          <w:color w:val="auto"/>
          <w:szCs w:val="21"/>
          <w:highlight w:val="none"/>
          <w:u w:val="single"/>
        </w:rPr>
        <w:t xml:space="preserve">                       </w:t>
      </w:r>
    </w:p>
    <w:p w14:paraId="5AE33765">
      <w:pPr>
        <w:pStyle w:val="9"/>
        <w:keepNext w:val="0"/>
        <w:keepLines w:val="0"/>
        <w:pageBreakBefore w:val="0"/>
        <w:widowControl w:val="0"/>
        <w:kinsoku/>
        <w:wordWrap/>
        <w:overflowPunct/>
        <w:topLinePunct w:val="0"/>
        <w:autoSpaceDE/>
        <w:autoSpaceDN/>
        <w:bidi w:val="0"/>
        <w:adjustRightInd/>
        <w:snapToGrid/>
        <w:spacing w:line="440" w:lineRule="exact"/>
        <w:ind w:firstLine="3059" w:firstLineChars="1457"/>
        <w:jc w:val="left"/>
        <w:textAlignment w:val="auto"/>
        <w:rPr>
          <w:rFonts w:eastAsia="楷体_GB2312"/>
          <w:color w:val="auto"/>
          <w:szCs w:val="21"/>
          <w:highlight w:val="none"/>
          <w:u w:val="single"/>
        </w:rPr>
      </w:pPr>
      <w:r>
        <w:rPr>
          <w:color w:val="auto"/>
          <w:szCs w:val="21"/>
          <w:highlight w:val="none"/>
        </w:rPr>
        <w:t>银      行      传      真：</w:t>
      </w:r>
      <w:r>
        <w:rPr>
          <w:rFonts w:eastAsia="楷体_GB2312"/>
          <w:color w:val="auto"/>
          <w:szCs w:val="21"/>
          <w:highlight w:val="none"/>
          <w:u w:val="single"/>
        </w:rPr>
        <w:t xml:space="preserve">                       </w:t>
      </w:r>
    </w:p>
    <w:p w14:paraId="2B63DF49">
      <w:pPr>
        <w:pStyle w:val="9"/>
        <w:keepNext w:val="0"/>
        <w:keepLines w:val="0"/>
        <w:pageBreakBefore w:val="0"/>
        <w:widowControl w:val="0"/>
        <w:kinsoku/>
        <w:wordWrap/>
        <w:overflowPunct/>
        <w:topLinePunct w:val="0"/>
        <w:autoSpaceDE/>
        <w:autoSpaceDN/>
        <w:bidi w:val="0"/>
        <w:adjustRightInd/>
        <w:snapToGrid/>
        <w:spacing w:line="440" w:lineRule="exact"/>
        <w:ind w:left="630" w:hanging="630" w:hangingChars="300"/>
        <w:textAlignment w:val="auto"/>
        <w:rPr>
          <w:color w:val="auto"/>
          <w:szCs w:val="21"/>
          <w:highlight w:val="none"/>
        </w:rPr>
      </w:pPr>
      <w:r>
        <w:rPr>
          <w:color w:val="auto"/>
          <w:szCs w:val="21"/>
          <w:highlight w:val="none"/>
        </w:rPr>
        <w:t xml:space="preserve"> </w:t>
      </w:r>
    </w:p>
    <w:p w14:paraId="47779CB7">
      <w:pPr>
        <w:pStyle w:val="9"/>
        <w:ind w:left="630" w:hanging="630" w:hangingChars="300"/>
        <w:rPr>
          <w:color w:val="auto"/>
          <w:szCs w:val="21"/>
          <w:highlight w:val="none"/>
        </w:rPr>
      </w:pPr>
    </w:p>
    <w:p w14:paraId="4B592B63">
      <w:pPr>
        <w:pStyle w:val="9"/>
        <w:ind w:left="630" w:hanging="630" w:hangingChars="300"/>
        <w:rPr>
          <w:color w:val="auto"/>
          <w:highlight w:val="none"/>
        </w:rPr>
      </w:pPr>
    </w:p>
    <w:p w14:paraId="3D642D91">
      <w:pPr>
        <w:pStyle w:val="9"/>
        <w:ind w:left="630" w:hanging="630" w:hangingChars="300"/>
        <w:rPr>
          <w:color w:val="auto"/>
          <w:highlight w:val="none"/>
        </w:rPr>
      </w:pPr>
    </w:p>
    <w:p w14:paraId="04AEF4F8">
      <w:pPr>
        <w:pStyle w:val="9"/>
        <w:ind w:left="630" w:hanging="630" w:hangingChars="300"/>
        <w:rPr>
          <w:color w:val="auto"/>
          <w:highlight w:val="none"/>
        </w:rPr>
      </w:pPr>
    </w:p>
    <w:p w14:paraId="346566FC">
      <w:pPr>
        <w:pStyle w:val="9"/>
        <w:keepNext w:val="0"/>
        <w:keepLines w:val="0"/>
        <w:pageBreakBefore w:val="0"/>
        <w:widowControl w:val="0"/>
        <w:kinsoku/>
        <w:wordWrap/>
        <w:overflowPunct/>
        <w:topLinePunct w:val="0"/>
        <w:autoSpaceDE/>
        <w:autoSpaceDN/>
        <w:bidi w:val="0"/>
        <w:adjustRightInd/>
        <w:snapToGrid/>
        <w:spacing w:line="360" w:lineRule="exact"/>
        <w:ind w:left="294" w:leftChars="140"/>
        <w:textAlignment w:val="auto"/>
        <w:rPr>
          <w:color w:val="auto"/>
          <w:sz w:val="18"/>
          <w:szCs w:val="18"/>
          <w:highlight w:val="none"/>
        </w:rPr>
      </w:pPr>
      <w:r>
        <w:rPr>
          <w:color w:val="auto"/>
          <w:sz w:val="18"/>
          <w:szCs w:val="18"/>
          <w:highlight w:val="none"/>
        </w:rPr>
        <w:t>注：1.允许投标人实际开具的银行信贷证明的格式与本表格式有所不同，但不得更改本信贷证明格式中的实质性内容。</w:t>
      </w:r>
    </w:p>
    <w:p w14:paraId="1FC0494A">
      <w:pPr>
        <w:pStyle w:val="9"/>
        <w:keepNext w:val="0"/>
        <w:keepLines w:val="0"/>
        <w:pageBreakBefore w:val="0"/>
        <w:widowControl w:val="0"/>
        <w:kinsoku/>
        <w:wordWrap/>
        <w:overflowPunct/>
        <w:topLinePunct w:val="0"/>
        <w:autoSpaceDE/>
        <w:autoSpaceDN/>
        <w:bidi w:val="0"/>
        <w:adjustRightInd/>
        <w:snapToGrid/>
        <w:spacing w:line="360" w:lineRule="exact"/>
        <w:ind w:right="4" w:firstLine="577" w:firstLineChars="321"/>
        <w:jc w:val="left"/>
        <w:textAlignment w:val="auto"/>
        <w:rPr>
          <w:color w:val="auto"/>
          <w:sz w:val="18"/>
          <w:szCs w:val="18"/>
          <w:highlight w:val="none"/>
        </w:rPr>
      </w:pPr>
      <w:r>
        <w:rPr>
          <w:color w:val="auto"/>
          <w:sz w:val="18"/>
          <w:szCs w:val="18"/>
          <w:highlight w:val="none"/>
        </w:rPr>
        <w:t>2.银行主要负责人应亲笔签名，不得使用印章、签名章或其他电子制版签名，否则，视为无效。</w:t>
      </w:r>
    </w:p>
    <w:p w14:paraId="0A37DD60">
      <w:pPr>
        <w:pStyle w:val="9"/>
        <w:keepNext w:val="0"/>
        <w:keepLines w:val="0"/>
        <w:pageBreakBefore w:val="0"/>
        <w:widowControl w:val="0"/>
        <w:kinsoku/>
        <w:wordWrap/>
        <w:overflowPunct/>
        <w:topLinePunct w:val="0"/>
        <w:autoSpaceDE/>
        <w:autoSpaceDN/>
        <w:bidi w:val="0"/>
        <w:adjustRightInd/>
        <w:snapToGrid/>
        <w:spacing w:line="360" w:lineRule="exact"/>
        <w:ind w:left="420" w:leftChars="200" w:firstLine="180" w:firstLineChars="100"/>
        <w:textAlignment w:val="auto"/>
        <w:rPr>
          <w:color w:val="auto"/>
          <w:sz w:val="18"/>
          <w:szCs w:val="18"/>
          <w:highlight w:val="none"/>
        </w:rPr>
      </w:pPr>
      <w:r>
        <w:rPr>
          <w:color w:val="auto"/>
          <w:sz w:val="18"/>
          <w:szCs w:val="18"/>
          <w:highlight w:val="none"/>
        </w:rPr>
        <w:t>3.出具银行信贷证明的银行级别：国有或股份制商业银行县（市、区）级及以上银行。</w:t>
      </w:r>
    </w:p>
    <w:p w14:paraId="6D4E7C04">
      <w:pPr>
        <w:pStyle w:val="9"/>
        <w:rPr>
          <w:color w:val="auto"/>
          <w:highlight w:val="none"/>
        </w:rPr>
      </w:pPr>
    </w:p>
    <w:p w14:paraId="26EEC6DC">
      <w:pPr>
        <w:pStyle w:val="9"/>
        <w:rPr>
          <w:color w:val="auto"/>
          <w:highlight w:val="none"/>
        </w:rPr>
      </w:pPr>
    </w:p>
    <w:p w14:paraId="33E9BB1C">
      <w:pPr>
        <w:pStyle w:val="9"/>
        <w:tabs>
          <w:tab w:val="left" w:pos="8280"/>
        </w:tabs>
        <w:ind w:right="26"/>
        <w:jc w:val="center"/>
        <w:rPr>
          <w:rFonts w:hint="eastAsia" w:ascii="宋体" w:hAnsi="宋体" w:cs="宋体"/>
          <w:color w:val="auto"/>
          <w:sz w:val="28"/>
          <w:highlight w:val="none"/>
        </w:rPr>
      </w:pPr>
      <w:r>
        <w:rPr>
          <w:color w:val="auto"/>
          <w:sz w:val="28"/>
          <w:highlight w:val="none"/>
        </w:rPr>
        <w:br w:type="page"/>
      </w:r>
    </w:p>
    <w:p w14:paraId="3B4FB56A">
      <w:pPr>
        <w:pStyle w:val="9"/>
        <w:tabs>
          <w:tab w:val="left" w:pos="8280"/>
        </w:tabs>
        <w:ind w:right="26"/>
        <w:jc w:val="center"/>
        <w:rPr>
          <w:rFonts w:hint="eastAsia" w:ascii="Times New Roman" w:hAnsi="Times New Roman" w:eastAsia="黑体" w:cs="Times New Roman"/>
          <w:bCs/>
          <w:color w:val="auto"/>
          <w:sz w:val="28"/>
          <w:szCs w:val="28"/>
          <w:highlight w:val="none"/>
        </w:rPr>
      </w:pPr>
      <w:r>
        <w:rPr>
          <w:rFonts w:hint="eastAsia" w:ascii="Times New Roman" w:hAnsi="Times New Roman" w:eastAsia="黑体" w:cs="Times New Roman"/>
          <w:bCs/>
          <w:color w:val="auto"/>
          <w:sz w:val="28"/>
          <w:szCs w:val="28"/>
          <w:highlight w:val="none"/>
        </w:rPr>
        <w:t>财务能力承诺书</w:t>
      </w:r>
    </w:p>
    <w:p w14:paraId="011DA821">
      <w:pPr>
        <w:pStyle w:val="9"/>
        <w:spacing w:after="120"/>
        <w:rPr>
          <w:rFonts w:hint="eastAsia" w:ascii="宋体" w:hAnsi="宋体" w:cs="宋体"/>
          <w:color w:val="auto"/>
          <w:highlight w:val="none"/>
        </w:rPr>
      </w:pPr>
    </w:p>
    <w:p w14:paraId="3C2C0D2C">
      <w:pPr>
        <w:pStyle w:val="9"/>
        <w:spacing w:line="500" w:lineRule="exact"/>
        <w:rPr>
          <w:rFonts w:hint="eastAsia" w:ascii="宋体" w:hAnsi="宋体" w:cs="宋体"/>
          <w:color w:val="auto"/>
          <w:highlight w:val="none"/>
        </w:rPr>
      </w:pPr>
      <w:r>
        <w:rPr>
          <w:rFonts w:hint="eastAsia" w:ascii="宋体" w:hAnsi="宋体" w:cs="宋体"/>
          <w:color w:val="auto"/>
          <w:highlight w:val="none"/>
        </w:rPr>
        <w:t>致：</w:t>
      </w:r>
      <w:r>
        <w:rPr>
          <w:rFonts w:hint="eastAsia" w:ascii="宋体" w:hAnsi="宋体" w:cs="宋体"/>
          <w:color w:val="auto"/>
          <w:highlight w:val="none"/>
          <w:u w:val="single"/>
        </w:rPr>
        <w:t xml:space="preserve">     （招标人全称）      </w:t>
      </w:r>
    </w:p>
    <w:p w14:paraId="1B16D505">
      <w:pPr>
        <w:pStyle w:val="9"/>
        <w:spacing w:line="500" w:lineRule="exact"/>
        <w:ind w:firstLine="420" w:firstLineChars="200"/>
        <w:rPr>
          <w:rFonts w:hint="eastAsia" w:ascii="宋体" w:hAnsi="宋体" w:cs="宋体"/>
          <w:color w:val="auto"/>
          <w:highlight w:val="none"/>
        </w:rPr>
      </w:pPr>
      <w:r>
        <w:rPr>
          <w:rFonts w:hint="eastAsia" w:ascii="宋体" w:hAnsi="宋体" w:cs="宋体"/>
          <w:color w:val="auto"/>
          <w:highlight w:val="none"/>
        </w:rPr>
        <w:t>我谨代表</w:t>
      </w:r>
      <w:r>
        <w:rPr>
          <w:rFonts w:hint="eastAsia" w:ascii="宋体" w:hAnsi="宋体" w:cs="宋体"/>
          <w:color w:val="auto"/>
          <w:highlight w:val="none"/>
          <w:u w:val="single"/>
        </w:rPr>
        <w:t xml:space="preserve">  （投标人全称） </w:t>
      </w:r>
      <w:r>
        <w:rPr>
          <w:rFonts w:hint="eastAsia" w:ascii="宋体" w:hAnsi="宋体" w:cs="宋体"/>
          <w:color w:val="auto"/>
          <w:highlight w:val="none"/>
        </w:rPr>
        <w:t>郑重承诺：若我单位有幸在</w:t>
      </w:r>
      <w:r>
        <w:rPr>
          <w:rFonts w:hint="eastAsia" w:ascii="宋体" w:hAnsi="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u w:val="none"/>
        </w:rPr>
        <w:t>（项目名称）</w:t>
      </w:r>
      <w:r>
        <w:rPr>
          <w:rFonts w:hint="eastAsia" w:ascii="宋体" w:hAnsi="宋体" w:cs="宋体"/>
          <w:color w:val="auto"/>
          <w:highlight w:val="none"/>
        </w:rPr>
        <w:t>投标活动中中标，将提供人民币（大写）</w:t>
      </w:r>
      <w:r>
        <w:rPr>
          <w:rFonts w:hint="eastAsia" w:ascii="宋体" w:hAnsi="宋体" w:cs="宋体"/>
          <w:color w:val="auto"/>
          <w:highlight w:val="none"/>
          <w:u w:val="single"/>
        </w:rPr>
        <w:t xml:space="preserve">             </w:t>
      </w:r>
      <w:r>
        <w:rPr>
          <w:rFonts w:hint="eastAsia" w:ascii="宋体" w:hAnsi="宋体" w:cs="宋体"/>
          <w:color w:val="auto"/>
          <w:highlight w:val="none"/>
        </w:rPr>
        <w:t>元（￥</w:t>
      </w:r>
      <w:r>
        <w:rPr>
          <w:rFonts w:hint="eastAsia" w:ascii="宋体" w:hAnsi="宋体" w:cs="宋体"/>
          <w:color w:val="auto"/>
          <w:highlight w:val="none"/>
          <w:u w:val="single"/>
        </w:rPr>
        <w:t xml:space="preserve">         </w:t>
      </w:r>
      <w:r>
        <w:rPr>
          <w:rFonts w:hint="eastAsia" w:ascii="宋体" w:hAnsi="宋体" w:cs="宋体"/>
          <w:color w:val="auto"/>
          <w:highlight w:val="none"/>
        </w:rPr>
        <w:t>）的流动资金，供本工程在施工需要时使用。</w:t>
      </w:r>
    </w:p>
    <w:p w14:paraId="1B82E1CA">
      <w:pPr>
        <w:pStyle w:val="9"/>
        <w:spacing w:line="500" w:lineRule="exact"/>
        <w:ind w:firstLine="420" w:firstLineChars="200"/>
        <w:rPr>
          <w:rFonts w:hint="eastAsia" w:ascii="宋体" w:hAnsi="宋体" w:cs="宋体"/>
          <w:color w:val="auto"/>
          <w:highlight w:val="none"/>
        </w:rPr>
      </w:pPr>
      <w:r>
        <w:rPr>
          <w:rFonts w:hint="eastAsia" w:ascii="宋体" w:hAnsi="宋体" w:cs="宋体"/>
          <w:color w:val="auto"/>
          <w:highlight w:val="none"/>
        </w:rPr>
        <w:t>特此承诺。</w:t>
      </w:r>
    </w:p>
    <w:p w14:paraId="47451EE4">
      <w:pPr>
        <w:pStyle w:val="9"/>
        <w:spacing w:line="500" w:lineRule="exact"/>
        <w:ind w:firstLine="420" w:firstLineChars="200"/>
        <w:rPr>
          <w:rFonts w:hint="eastAsia" w:ascii="宋体" w:hAnsi="宋体" w:cs="宋体"/>
          <w:color w:val="auto"/>
          <w:highlight w:val="none"/>
        </w:rPr>
      </w:pPr>
    </w:p>
    <w:p w14:paraId="72658976">
      <w:pPr>
        <w:pStyle w:val="9"/>
        <w:spacing w:line="500" w:lineRule="exact"/>
        <w:ind w:firstLine="420" w:firstLineChars="200"/>
        <w:rPr>
          <w:color w:val="auto"/>
          <w:highlight w:val="none"/>
        </w:rPr>
      </w:pPr>
    </w:p>
    <w:p w14:paraId="29CD0B45">
      <w:pPr>
        <w:pStyle w:val="9"/>
        <w:spacing w:line="500" w:lineRule="exact"/>
        <w:ind w:firstLine="420" w:firstLineChars="200"/>
        <w:rPr>
          <w:color w:val="auto"/>
          <w:highlight w:val="none"/>
        </w:rPr>
      </w:pPr>
    </w:p>
    <w:p w14:paraId="0FF88C9F">
      <w:pPr>
        <w:pStyle w:val="9"/>
        <w:spacing w:line="500" w:lineRule="exact"/>
        <w:ind w:firstLine="3675" w:firstLineChars="1750"/>
        <w:rPr>
          <w:color w:val="auto"/>
          <w:szCs w:val="21"/>
          <w:highlight w:val="none"/>
        </w:rPr>
      </w:pPr>
      <w:r>
        <w:rPr>
          <w:color w:val="auto"/>
          <w:szCs w:val="21"/>
          <w:highlight w:val="none"/>
        </w:rPr>
        <w:t>投 标 人：</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（盖单位</w:t>
      </w:r>
      <w:r>
        <w:rPr>
          <w:rFonts w:hint="eastAsia"/>
          <w:color w:val="auto"/>
          <w:szCs w:val="21"/>
          <w:highlight w:val="none"/>
        </w:rPr>
        <w:t>电子</w:t>
      </w:r>
      <w:r>
        <w:rPr>
          <w:color w:val="auto"/>
          <w:szCs w:val="21"/>
          <w:highlight w:val="none"/>
        </w:rPr>
        <w:t>章）</w:t>
      </w:r>
    </w:p>
    <w:p w14:paraId="4D88DE72">
      <w:pPr>
        <w:pStyle w:val="9"/>
        <w:spacing w:line="500" w:lineRule="exact"/>
        <w:ind w:firstLine="3675" w:firstLineChars="1750"/>
        <w:rPr>
          <w:color w:val="auto"/>
          <w:szCs w:val="21"/>
          <w:highlight w:val="none"/>
        </w:rPr>
      </w:pPr>
      <w:r>
        <w:rPr>
          <w:color w:val="auto"/>
          <w:szCs w:val="21"/>
          <w:highlight w:val="none"/>
        </w:rPr>
        <w:t>法定代表人：</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w:t>
      </w:r>
      <w:r>
        <w:rPr>
          <w:rFonts w:hint="eastAsia"/>
          <w:color w:val="auto"/>
          <w:szCs w:val="21"/>
          <w:highlight w:val="none"/>
        </w:rPr>
        <w:t>盖法定代表人电子章</w:t>
      </w:r>
      <w:r>
        <w:rPr>
          <w:color w:val="auto"/>
          <w:szCs w:val="21"/>
          <w:highlight w:val="none"/>
        </w:rPr>
        <w:t>）</w:t>
      </w:r>
    </w:p>
    <w:p w14:paraId="2885B753">
      <w:pPr>
        <w:pStyle w:val="9"/>
        <w:spacing w:line="500" w:lineRule="exact"/>
        <w:ind w:firstLine="5040" w:firstLineChars="2400"/>
        <w:rPr>
          <w:color w:val="auto"/>
          <w:szCs w:val="21"/>
          <w:highlight w:val="none"/>
        </w:rPr>
      </w:pPr>
      <w:r>
        <w:rPr>
          <w:rFonts w:hint="eastAsia"/>
          <w:color w:val="auto"/>
          <w:szCs w:val="21"/>
          <w:highlight w:val="none"/>
          <w:u w:val="single"/>
        </w:rPr>
        <w:t xml:space="preserve">        </w:t>
      </w:r>
      <w:r>
        <w:rPr>
          <w:color w:val="auto"/>
          <w:szCs w:val="21"/>
          <w:highlight w:val="none"/>
        </w:rPr>
        <w:t>年</w:t>
      </w:r>
      <w:r>
        <w:rPr>
          <w:rFonts w:hint="eastAsia"/>
          <w:color w:val="auto"/>
          <w:szCs w:val="21"/>
          <w:highlight w:val="none"/>
          <w:u w:val="single"/>
        </w:rPr>
        <w:t xml:space="preserve">        </w:t>
      </w:r>
      <w:r>
        <w:rPr>
          <w:color w:val="auto"/>
          <w:szCs w:val="21"/>
          <w:highlight w:val="none"/>
        </w:rPr>
        <w:t>月</w:t>
      </w:r>
      <w:r>
        <w:rPr>
          <w:rFonts w:hint="eastAsia"/>
          <w:color w:val="auto"/>
          <w:szCs w:val="21"/>
          <w:highlight w:val="none"/>
          <w:u w:val="single"/>
        </w:rPr>
        <w:t xml:space="preserve">        </w:t>
      </w:r>
      <w:r>
        <w:rPr>
          <w:color w:val="auto"/>
          <w:szCs w:val="21"/>
          <w:highlight w:val="none"/>
        </w:rPr>
        <w:t>日</w:t>
      </w:r>
    </w:p>
    <w:p w14:paraId="5AAC6EF9">
      <w:pPr>
        <w:pStyle w:val="9"/>
        <w:spacing w:line="500" w:lineRule="exact"/>
        <w:rPr>
          <w:color w:val="auto"/>
          <w:highlight w:val="none"/>
        </w:rPr>
      </w:pPr>
    </w:p>
    <w:p w14:paraId="2D9BC6E1">
      <w:pPr>
        <w:pStyle w:val="11"/>
        <w:rPr>
          <w:color w:val="auto"/>
          <w:highlight w:val="none"/>
        </w:rPr>
      </w:pPr>
    </w:p>
    <w:p w14:paraId="0EF37A59">
      <w:pPr>
        <w:rPr>
          <w:color w:val="auto"/>
          <w:highlight w:val="none"/>
        </w:rPr>
      </w:pPr>
    </w:p>
    <w:p w14:paraId="3B543585">
      <w:pPr>
        <w:pStyle w:val="37"/>
        <w:rPr>
          <w:color w:val="auto"/>
          <w:highlight w:val="none"/>
        </w:rPr>
      </w:pPr>
    </w:p>
    <w:p w14:paraId="2A2D4D6E">
      <w:pPr>
        <w:pStyle w:val="37"/>
        <w:rPr>
          <w:color w:val="auto"/>
          <w:highlight w:val="none"/>
        </w:rPr>
      </w:pPr>
    </w:p>
    <w:p w14:paraId="0CDBC557">
      <w:pPr>
        <w:pStyle w:val="37"/>
        <w:rPr>
          <w:color w:val="auto"/>
          <w:highlight w:val="none"/>
        </w:rPr>
      </w:pPr>
    </w:p>
    <w:p w14:paraId="3F1C3B10">
      <w:pPr>
        <w:pStyle w:val="37"/>
        <w:rPr>
          <w:color w:val="auto"/>
          <w:highlight w:val="none"/>
        </w:rPr>
      </w:pPr>
    </w:p>
    <w:p w14:paraId="27F86187">
      <w:pPr>
        <w:pStyle w:val="37"/>
        <w:rPr>
          <w:color w:val="auto"/>
          <w:highlight w:val="none"/>
        </w:rPr>
      </w:pPr>
    </w:p>
    <w:p w14:paraId="4DA6A453">
      <w:pPr>
        <w:pStyle w:val="37"/>
        <w:rPr>
          <w:color w:val="auto"/>
          <w:highlight w:val="none"/>
        </w:rPr>
      </w:pPr>
    </w:p>
    <w:p w14:paraId="339CE616">
      <w:pPr>
        <w:pStyle w:val="37"/>
        <w:rPr>
          <w:color w:val="auto"/>
          <w:highlight w:val="none"/>
        </w:rPr>
      </w:pPr>
    </w:p>
    <w:p w14:paraId="6986A3EB">
      <w:pPr>
        <w:pStyle w:val="37"/>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eastAsia="宋体"/>
          <w:color w:val="auto"/>
          <w:sz w:val="18"/>
          <w:szCs w:val="18"/>
          <w:highlight w:val="none"/>
          <w:lang w:val="en-US" w:eastAsia="zh-CN"/>
        </w:rPr>
      </w:pPr>
      <w:r>
        <w:rPr>
          <w:rFonts w:hint="eastAsia"/>
          <w:color w:val="auto"/>
          <w:sz w:val="18"/>
          <w:szCs w:val="18"/>
          <w:highlight w:val="none"/>
          <w:lang w:val="en-US" w:eastAsia="zh-CN"/>
        </w:rPr>
        <w:t>注：投标人可根据自身情况决定提供银行信贷证明或财务能力承诺书。以联合体形式参加投标的，由联合体牵头人单位提供。</w:t>
      </w:r>
    </w:p>
    <w:p w14:paraId="350A1A35">
      <w:pPr>
        <w:pStyle w:val="9"/>
        <w:rPr>
          <w:rFonts w:eastAsia="楷体_GB2312"/>
          <w:color w:val="auto"/>
          <w:highlight w:val="none"/>
        </w:rPr>
      </w:pPr>
    </w:p>
    <w:p w14:paraId="5EFB1CA4">
      <w:pPr>
        <w:pStyle w:val="9"/>
        <w:rPr>
          <w:rFonts w:eastAsia="楷体_GB2312"/>
          <w:color w:val="auto"/>
          <w:highlight w:val="none"/>
        </w:rPr>
      </w:pPr>
    </w:p>
    <w:p w14:paraId="3BD89441">
      <w:pPr>
        <w:pStyle w:val="9"/>
        <w:rPr>
          <w:rFonts w:eastAsia="楷体_GB2312"/>
          <w:color w:val="auto"/>
          <w:highlight w:val="none"/>
        </w:rPr>
      </w:pPr>
    </w:p>
    <w:p w14:paraId="41594251">
      <w:pPr>
        <w:pStyle w:val="9"/>
        <w:rPr>
          <w:rFonts w:eastAsia="楷体_GB2312"/>
          <w:color w:val="auto"/>
          <w:highlight w:val="none"/>
        </w:rPr>
      </w:pPr>
    </w:p>
    <w:p w14:paraId="740C784F">
      <w:pPr>
        <w:pStyle w:val="9"/>
        <w:rPr>
          <w:rFonts w:eastAsia="楷体_GB2312"/>
          <w:color w:val="auto"/>
          <w:highlight w:val="none"/>
        </w:rPr>
      </w:pPr>
      <w:r>
        <w:rPr>
          <w:rFonts w:eastAsia="楷体_GB2312"/>
          <w:color w:val="auto"/>
          <w:highlight w:val="none"/>
        </w:rPr>
        <w:br w:type="page"/>
      </w:r>
    </w:p>
    <w:p w14:paraId="50C96941">
      <w:pPr>
        <w:pStyle w:val="9"/>
        <w:keepNext/>
        <w:keepLines/>
        <w:spacing w:line="360" w:lineRule="auto"/>
        <w:jc w:val="center"/>
        <w:outlineLvl w:val="2"/>
        <w:rPr>
          <w:b/>
          <w:bCs/>
          <w:color w:val="auto"/>
          <w:sz w:val="28"/>
          <w:szCs w:val="28"/>
          <w:highlight w:val="none"/>
        </w:rPr>
      </w:pPr>
      <w:bookmarkStart w:id="843" w:name="_Toc9465"/>
      <w:bookmarkStart w:id="844" w:name="_Toc7279"/>
      <w:r>
        <w:rPr>
          <w:b/>
          <w:bCs/>
          <w:color w:val="auto"/>
          <w:sz w:val="28"/>
          <w:szCs w:val="28"/>
          <w:highlight w:val="none"/>
        </w:rPr>
        <w:t>（五）20</w:t>
      </w:r>
      <w:r>
        <w:rPr>
          <w:rFonts w:hint="eastAsia" w:eastAsia="宋体"/>
          <w:b/>
          <w:bCs/>
          <w:color w:val="auto"/>
          <w:sz w:val="28"/>
          <w:szCs w:val="28"/>
          <w:highlight w:val="none"/>
          <w:lang w:val="en-US" w:eastAsia="zh-CN"/>
        </w:rPr>
        <w:t>21</w:t>
      </w:r>
      <w:r>
        <w:rPr>
          <w:b/>
          <w:bCs/>
          <w:color w:val="auto"/>
          <w:sz w:val="28"/>
          <w:szCs w:val="28"/>
          <w:highlight w:val="none"/>
        </w:rPr>
        <w:t>年</w:t>
      </w:r>
      <w:r>
        <w:rPr>
          <w:rFonts w:hint="eastAsia" w:eastAsia="宋体"/>
          <w:b/>
          <w:bCs/>
          <w:color w:val="auto"/>
          <w:sz w:val="28"/>
          <w:szCs w:val="28"/>
          <w:highlight w:val="none"/>
          <w:lang w:val="en-US" w:eastAsia="zh-CN"/>
        </w:rPr>
        <w:t>7</w:t>
      </w:r>
      <w:r>
        <w:rPr>
          <w:b/>
          <w:bCs/>
          <w:color w:val="auto"/>
          <w:sz w:val="28"/>
          <w:szCs w:val="28"/>
          <w:highlight w:val="none"/>
        </w:rPr>
        <w:t>月1日以来完成的类似项目情况表</w:t>
      </w:r>
      <w:bookmarkEnd w:id="843"/>
      <w:bookmarkEnd w:id="844"/>
    </w:p>
    <w:tbl>
      <w:tblPr>
        <w:tblStyle w:val="23"/>
        <w:tblW w:w="8562" w:type="dxa"/>
        <w:tblInd w:w="108" w:type="dxa"/>
        <w:tblBorders>
          <w:top w:val="single" w:color="00000A" w:sz="12" w:space="0"/>
          <w:left w:val="single" w:color="00000A" w:sz="12" w:space="0"/>
          <w:bottom w:val="single" w:color="00000A" w:sz="12" w:space="0"/>
          <w:right w:val="single" w:color="00000A" w:sz="12" w:space="0"/>
          <w:insideH w:val="single" w:color="00000A" w:sz="4" w:space="0"/>
          <w:insideV w:val="single" w:color="00000A" w:sz="4" w:space="0"/>
        </w:tblBorders>
        <w:tblLayout w:type="fixed"/>
        <w:tblCellMar>
          <w:top w:w="0" w:type="dxa"/>
          <w:left w:w="98" w:type="dxa"/>
          <w:bottom w:w="0" w:type="dxa"/>
          <w:right w:w="108" w:type="dxa"/>
        </w:tblCellMar>
      </w:tblPr>
      <w:tblGrid>
        <w:gridCol w:w="2699"/>
        <w:gridCol w:w="5863"/>
      </w:tblGrid>
      <w:tr w14:paraId="642807EB">
        <w:tblPrEx>
          <w:tblBorders>
            <w:top w:val="single" w:color="00000A" w:sz="12" w:space="0"/>
            <w:left w:val="single" w:color="00000A" w:sz="12" w:space="0"/>
            <w:bottom w:val="single" w:color="00000A" w:sz="12" w:space="0"/>
            <w:right w:val="single" w:color="00000A" w:sz="12" w:space="0"/>
            <w:insideH w:val="single" w:color="00000A" w:sz="4" w:space="0"/>
            <w:insideV w:val="single" w:color="00000A" w:sz="4" w:space="0"/>
          </w:tblBorders>
          <w:tblCellMar>
            <w:top w:w="0" w:type="dxa"/>
            <w:left w:w="98" w:type="dxa"/>
            <w:bottom w:w="0" w:type="dxa"/>
            <w:right w:w="108" w:type="dxa"/>
          </w:tblCellMar>
        </w:tblPrEx>
        <w:trPr>
          <w:trHeight w:val="443" w:hRule="atLeast"/>
        </w:trPr>
        <w:tc>
          <w:tcPr>
            <w:tcW w:w="2699" w:type="dxa"/>
            <w:tcBorders>
              <w:tl2br w:val="nil"/>
              <w:tr2bl w:val="nil"/>
            </w:tcBorders>
            <w:noWrap w:val="0"/>
            <w:tcMar>
              <w:left w:w="98" w:type="dxa"/>
            </w:tcMar>
            <w:vAlign w:val="center"/>
          </w:tcPr>
          <w:p w14:paraId="73BAE47E">
            <w:pPr>
              <w:pStyle w:val="9"/>
              <w:spacing w:line="260" w:lineRule="exact"/>
              <w:jc w:val="center"/>
              <w:rPr>
                <w:color w:val="auto"/>
                <w:sz w:val="18"/>
                <w:szCs w:val="18"/>
                <w:highlight w:val="none"/>
              </w:rPr>
            </w:pPr>
            <w:r>
              <w:rPr>
                <w:color w:val="auto"/>
                <w:sz w:val="18"/>
                <w:szCs w:val="18"/>
                <w:highlight w:val="none"/>
              </w:rPr>
              <w:t>项目名称</w:t>
            </w:r>
          </w:p>
        </w:tc>
        <w:tc>
          <w:tcPr>
            <w:tcW w:w="5863" w:type="dxa"/>
            <w:tcBorders>
              <w:tl2br w:val="nil"/>
              <w:tr2bl w:val="nil"/>
            </w:tcBorders>
            <w:noWrap w:val="0"/>
            <w:tcMar>
              <w:left w:w="108" w:type="dxa"/>
            </w:tcMar>
            <w:vAlign w:val="center"/>
          </w:tcPr>
          <w:p w14:paraId="719245CA">
            <w:pPr>
              <w:pStyle w:val="9"/>
              <w:spacing w:line="260" w:lineRule="exact"/>
              <w:jc w:val="center"/>
              <w:rPr>
                <w:color w:val="auto"/>
                <w:highlight w:val="none"/>
              </w:rPr>
            </w:pPr>
          </w:p>
        </w:tc>
      </w:tr>
      <w:tr w14:paraId="1BA32C4E">
        <w:tblPrEx>
          <w:tblBorders>
            <w:top w:val="single" w:color="00000A" w:sz="12" w:space="0"/>
            <w:left w:val="single" w:color="00000A" w:sz="12" w:space="0"/>
            <w:bottom w:val="single" w:color="00000A" w:sz="12" w:space="0"/>
            <w:right w:val="single" w:color="00000A" w:sz="12" w:space="0"/>
            <w:insideH w:val="single" w:color="00000A" w:sz="4" w:space="0"/>
            <w:insideV w:val="single" w:color="00000A" w:sz="4" w:space="0"/>
          </w:tblBorders>
          <w:tblCellMar>
            <w:top w:w="0" w:type="dxa"/>
            <w:left w:w="98" w:type="dxa"/>
            <w:bottom w:w="0" w:type="dxa"/>
            <w:right w:w="108" w:type="dxa"/>
          </w:tblCellMar>
        </w:tblPrEx>
        <w:trPr>
          <w:trHeight w:val="443" w:hRule="atLeast"/>
        </w:trPr>
        <w:tc>
          <w:tcPr>
            <w:tcW w:w="2699" w:type="dxa"/>
            <w:tcBorders>
              <w:tl2br w:val="nil"/>
              <w:tr2bl w:val="nil"/>
            </w:tcBorders>
            <w:noWrap w:val="0"/>
            <w:tcMar>
              <w:left w:w="98" w:type="dxa"/>
            </w:tcMar>
            <w:vAlign w:val="center"/>
          </w:tcPr>
          <w:p w14:paraId="3EED26DE">
            <w:pPr>
              <w:pStyle w:val="9"/>
              <w:spacing w:line="260" w:lineRule="exact"/>
              <w:jc w:val="center"/>
              <w:rPr>
                <w:color w:val="auto"/>
                <w:sz w:val="18"/>
                <w:szCs w:val="18"/>
                <w:highlight w:val="none"/>
              </w:rPr>
            </w:pPr>
            <w:r>
              <w:rPr>
                <w:color w:val="auto"/>
                <w:sz w:val="18"/>
                <w:szCs w:val="18"/>
                <w:highlight w:val="none"/>
              </w:rPr>
              <w:t>项目所在地</w:t>
            </w:r>
          </w:p>
        </w:tc>
        <w:tc>
          <w:tcPr>
            <w:tcW w:w="5863" w:type="dxa"/>
            <w:tcBorders>
              <w:tl2br w:val="nil"/>
              <w:tr2bl w:val="nil"/>
            </w:tcBorders>
            <w:noWrap w:val="0"/>
            <w:tcMar>
              <w:left w:w="108" w:type="dxa"/>
            </w:tcMar>
            <w:vAlign w:val="center"/>
          </w:tcPr>
          <w:p w14:paraId="083B6C22">
            <w:pPr>
              <w:pStyle w:val="9"/>
              <w:spacing w:line="260" w:lineRule="exact"/>
              <w:jc w:val="center"/>
              <w:rPr>
                <w:color w:val="auto"/>
                <w:highlight w:val="none"/>
              </w:rPr>
            </w:pPr>
          </w:p>
        </w:tc>
      </w:tr>
      <w:tr w14:paraId="19663E5A">
        <w:tblPrEx>
          <w:tblBorders>
            <w:top w:val="single" w:color="00000A" w:sz="12" w:space="0"/>
            <w:left w:val="single" w:color="00000A" w:sz="12" w:space="0"/>
            <w:bottom w:val="single" w:color="00000A" w:sz="12" w:space="0"/>
            <w:right w:val="single" w:color="00000A" w:sz="12" w:space="0"/>
            <w:insideH w:val="single" w:color="00000A" w:sz="4" w:space="0"/>
            <w:insideV w:val="single" w:color="00000A" w:sz="4" w:space="0"/>
          </w:tblBorders>
          <w:tblCellMar>
            <w:top w:w="0" w:type="dxa"/>
            <w:left w:w="98" w:type="dxa"/>
            <w:bottom w:w="0" w:type="dxa"/>
            <w:right w:w="108" w:type="dxa"/>
          </w:tblCellMar>
        </w:tblPrEx>
        <w:trPr>
          <w:trHeight w:val="443" w:hRule="atLeast"/>
        </w:trPr>
        <w:tc>
          <w:tcPr>
            <w:tcW w:w="2699" w:type="dxa"/>
            <w:tcBorders>
              <w:tl2br w:val="nil"/>
              <w:tr2bl w:val="nil"/>
            </w:tcBorders>
            <w:noWrap w:val="0"/>
            <w:tcMar>
              <w:left w:w="98" w:type="dxa"/>
            </w:tcMar>
            <w:vAlign w:val="center"/>
          </w:tcPr>
          <w:p w14:paraId="11B1818B">
            <w:pPr>
              <w:pStyle w:val="9"/>
              <w:spacing w:line="260" w:lineRule="exact"/>
              <w:jc w:val="center"/>
              <w:rPr>
                <w:color w:val="auto"/>
                <w:sz w:val="18"/>
                <w:szCs w:val="18"/>
                <w:highlight w:val="none"/>
              </w:rPr>
            </w:pPr>
            <w:r>
              <w:rPr>
                <w:color w:val="auto"/>
                <w:sz w:val="18"/>
                <w:szCs w:val="18"/>
                <w:highlight w:val="none"/>
              </w:rPr>
              <w:t>发包人名称</w:t>
            </w:r>
          </w:p>
        </w:tc>
        <w:tc>
          <w:tcPr>
            <w:tcW w:w="5863" w:type="dxa"/>
            <w:tcBorders>
              <w:tl2br w:val="nil"/>
              <w:tr2bl w:val="nil"/>
            </w:tcBorders>
            <w:noWrap w:val="0"/>
            <w:tcMar>
              <w:left w:w="108" w:type="dxa"/>
            </w:tcMar>
            <w:vAlign w:val="center"/>
          </w:tcPr>
          <w:p w14:paraId="36D6B473">
            <w:pPr>
              <w:pStyle w:val="9"/>
              <w:spacing w:line="260" w:lineRule="exact"/>
              <w:jc w:val="center"/>
              <w:rPr>
                <w:color w:val="auto"/>
                <w:highlight w:val="none"/>
              </w:rPr>
            </w:pPr>
          </w:p>
        </w:tc>
      </w:tr>
      <w:tr w14:paraId="3ED5710F">
        <w:tblPrEx>
          <w:tblBorders>
            <w:top w:val="single" w:color="00000A" w:sz="12" w:space="0"/>
            <w:left w:val="single" w:color="00000A" w:sz="12" w:space="0"/>
            <w:bottom w:val="single" w:color="00000A" w:sz="12" w:space="0"/>
            <w:right w:val="single" w:color="00000A" w:sz="12" w:space="0"/>
            <w:insideH w:val="single" w:color="00000A" w:sz="4" w:space="0"/>
            <w:insideV w:val="single" w:color="00000A" w:sz="4" w:space="0"/>
          </w:tblBorders>
          <w:tblCellMar>
            <w:top w:w="0" w:type="dxa"/>
            <w:left w:w="98" w:type="dxa"/>
            <w:bottom w:w="0" w:type="dxa"/>
            <w:right w:w="108" w:type="dxa"/>
          </w:tblCellMar>
        </w:tblPrEx>
        <w:trPr>
          <w:trHeight w:val="443" w:hRule="atLeast"/>
        </w:trPr>
        <w:tc>
          <w:tcPr>
            <w:tcW w:w="2699" w:type="dxa"/>
            <w:tcBorders>
              <w:tl2br w:val="nil"/>
              <w:tr2bl w:val="nil"/>
            </w:tcBorders>
            <w:noWrap w:val="0"/>
            <w:tcMar>
              <w:left w:w="98" w:type="dxa"/>
            </w:tcMar>
            <w:vAlign w:val="center"/>
          </w:tcPr>
          <w:p w14:paraId="77FF9E06">
            <w:pPr>
              <w:pStyle w:val="9"/>
              <w:spacing w:line="260" w:lineRule="exact"/>
              <w:jc w:val="center"/>
              <w:rPr>
                <w:color w:val="auto"/>
                <w:sz w:val="18"/>
                <w:szCs w:val="18"/>
                <w:highlight w:val="none"/>
              </w:rPr>
            </w:pPr>
            <w:r>
              <w:rPr>
                <w:color w:val="auto"/>
                <w:sz w:val="18"/>
                <w:szCs w:val="18"/>
                <w:highlight w:val="none"/>
              </w:rPr>
              <w:t>发包人地址</w:t>
            </w:r>
          </w:p>
        </w:tc>
        <w:tc>
          <w:tcPr>
            <w:tcW w:w="5863" w:type="dxa"/>
            <w:tcBorders>
              <w:tl2br w:val="nil"/>
              <w:tr2bl w:val="nil"/>
            </w:tcBorders>
            <w:noWrap w:val="0"/>
            <w:tcMar>
              <w:left w:w="108" w:type="dxa"/>
            </w:tcMar>
            <w:vAlign w:val="center"/>
          </w:tcPr>
          <w:p w14:paraId="5B87BAA5">
            <w:pPr>
              <w:pStyle w:val="9"/>
              <w:spacing w:line="260" w:lineRule="exact"/>
              <w:jc w:val="center"/>
              <w:rPr>
                <w:color w:val="auto"/>
                <w:highlight w:val="none"/>
              </w:rPr>
            </w:pPr>
          </w:p>
        </w:tc>
      </w:tr>
      <w:tr w14:paraId="3CD3A59E">
        <w:tblPrEx>
          <w:tblBorders>
            <w:top w:val="single" w:color="00000A" w:sz="12" w:space="0"/>
            <w:left w:val="single" w:color="00000A" w:sz="12" w:space="0"/>
            <w:bottom w:val="single" w:color="00000A" w:sz="12" w:space="0"/>
            <w:right w:val="single" w:color="00000A" w:sz="12" w:space="0"/>
            <w:insideH w:val="single" w:color="00000A" w:sz="4" w:space="0"/>
            <w:insideV w:val="single" w:color="00000A" w:sz="4" w:space="0"/>
          </w:tblBorders>
          <w:tblCellMar>
            <w:top w:w="0" w:type="dxa"/>
            <w:left w:w="98" w:type="dxa"/>
            <w:bottom w:w="0" w:type="dxa"/>
            <w:right w:w="108" w:type="dxa"/>
          </w:tblCellMar>
        </w:tblPrEx>
        <w:trPr>
          <w:trHeight w:val="443" w:hRule="atLeast"/>
        </w:trPr>
        <w:tc>
          <w:tcPr>
            <w:tcW w:w="2699" w:type="dxa"/>
            <w:tcBorders>
              <w:tl2br w:val="nil"/>
              <w:tr2bl w:val="nil"/>
            </w:tcBorders>
            <w:noWrap w:val="0"/>
            <w:tcMar>
              <w:left w:w="98" w:type="dxa"/>
            </w:tcMar>
            <w:vAlign w:val="center"/>
          </w:tcPr>
          <w:p w14:paraId="46441543">
            <w:pPr>
              <w:pStyle w:val="9"/>
              <w:spacing w:line="260" w:lineRule="exact"/>
              <w:jc w:val="center"/>
              <w:rPr>
                <w:color w:val="auto"/>
                <w:sz w:val="18"/>
                <w:szCs w:val="18"/>
                <w:highlight w:val="none"/>
              </w:rPr>
            </w:pPr>
            <w:r>
              <w:rPr>
                <w:color w:val="auto"/>
                <w:sz w:val="18"/>
                <w:szCs w:val="18"/>
                <w:highlight w:val="none"/>
              </w:rPr>
              <w:t>发包人电话</w:t>
            </w:r>
          </w:p>
        </w:tc>
        <w:tc>
          <w:tcPr>
            <w:tcW w:w="5863" w:type="dxa"/>
            <w:tcBorders>
              <w:tl2br w:val="nil"/>
              <w:tr2bl w:val="nil"/>
            </w:tcBorders>
            <w:noWrap w:val="0"/>
            <w:tcMar>
              <w:left w:w="108" w:type="dxa"/>
            </w:tcMar>
            <w:vAlign w:val="center"/>
          </w:tcPr>
          <w:p w14:paraId="16B09A7F">
            <w:pPr>
              <w:pStyle w:val="9"/>
              <w:spacing w:line="260" w:lineRule="exact"/>
              <w:jc w:val="center"/>
              <w:rPr>
                <w:color w:val="auto"/>
                <w:highlight w:val="none"/>
              </w:rPr>
            </w:pPr>
          </w:p>
        </w:tc>
      </w:tr>
      <w:tr w14:paraId="060E774C">
        <w:tblPrEx>
          <w:tblBorders>
            <w:top w:val="single" w:color="00000A" w:sz="12" w:space="0"/>
            <w:left w:val="single" w:color="00000A" w:sz="12" w:space="0"/>
            <w:bottom w:val="single" w:color="00000A" w:sz="12" w:space="0"/>
            <w:right w:val="single" w:color="00000A" w:sz="12" w:space="0"/>
            <w:insideH w:val="single" w:color="00000A" w:sz="4" w:space="0"/>
            <w:insideV w:val="single" w:color="00000A" w:sz="4" w:space="0"/>
          </w:tblBorders>
          <w:tblCellMar>
            <w:top w:w="0" w:type="dxa"/>
            <w:left w:w="98" w:type="dxa"/>
            <w:bottom w:w="0" w:type="dxa"/>
            <w:right w:w="108" w:type="dxa"/>
          </w:tblCellMar>
        </w:tblPrEx>
        <w:trPr>
          <w:trHeight w:val="443" w:hRule="atLeast"/>
        </w:trPr>
        <w:tc>
          <w:tcPr>
            <w:tcW w:w="2699" w:type="dxa"/>
            <w:tcBorders>
              <w:tl2br w:val="nil"/>
              <w:tr2bl w:val="nil"/>
            </w:tcBorders>
            <w:noWrap w:val="0"/>
            <w:tcMar>
              <w:left w:w="98" w:type="dxa"/>
            </w:tcMar>
            <w:vAlign w:val="center"/>
          </w:tcPr>
          <w:p w14:paraId="250B388D">
            <w:pPr>
              <w:pStyle w:val="9"/>
              <w:spacing w:line="260" w:lineRule="exact"/>
              <w:jc w:val="center"/>
              <w:rPr>
                <w:color w:val="auto"/>
                <w:sz w:val="18"/>
                <w:szCs w:val="18"/>
                <w:highlight w:val="none"/>
              </w:rPr>
            </w:pPr>
            <w:r>
              <w:rPr>
                <w:color w:val="auto"/>
                <w:sz w:val="18"/>
                <w:szCs w:val="18"/>
                <w:highlight w:val="none"/>
              </w:rPr>
              <w:t>合同价格</w:t>
            </w:r>
          </w:p>
        </w:tc>
        <w:tc>
          <w:tcPr>
            <w:tcW w:w="5863" w:type="dxa"/>
            <w:tcBorders>
              <w:tl2br w:val="nil"/>
              <w:tr2bl w:val="nil"/>
            </w:tcBorders>
            <w:noWrap w:val="0"/>
            <w:tcMar>
              <w:left w:w="108" w:type="dxa"/>
            </w:tcMar>
            <w:vAlign w:val="center"/>
          </w:tcPr>
          <w:p w14:paraId="13DA57CF">
            <w:pPr>
              <w:pStyle w:val="9"/>
              <w:spacing w:line="260" w:lineRule="exact"/>
              <w:jc w:val="center"/>
              <w:rPr>
                <w:color w:val="auto"/>
                <w:highlight w:val="none"/>
              </w:rPr>
            </w:pPr>
          </w:p>
        </w:tc>
      </w:tr>
      <w:tr w14:paraId="47364D1C">
        <w:tblPrEx>
          <w:tblBorders>
            <w:top w:val="single" w:color="00000A" w:sz="12" w:space="0"/>
            <w:left w:val="single" w:color="00000A" w:sz="12" w:space="0"/>
            <w:bottom w:val="single" w:color="00000A" w:sz="12" w:space="0"/>
            <w:right w:val="single" w:color="00000A" w:sz="12" w:space="0"/>
            <w:insideH w:val="single" w:color="00000A" w:sz="4" w:space="0"/>
            <w:insideV w:val="single" w:color="00000A" w:sz="4" w:space="0"/>
          </w:tblBorders>
          <w:tblCellMar>
            <w:top w:w="0" w:type="dxa"/>
            <w:left w:w="98" w:type="dxa"/>
            <w:bottom w:w="0" w:type="dxa"/>
            <w:right w:w="108" w:type="dxa"/>
          </w:tblCellMar>
        </w:tblPrEx>
        <w:trPr>
          <w:trHeight w:val="443" w:hRule="atLeast"/>
        </w:trPr>
        <w:tc>
          <w:tcPr>
            <w:tcW w:w="2699" w:type="dxa"/>
            <w:tcBorders>
              <w:tl2br w:val="nil"/>
              <w:tr2bl w:val="nil"/>
            </w:tcBorders>
            <w:noWrap w:val="0"/>
            <w:tcMar>
              <w:left w:w="98" w:type="dxa"/>
            </w:tcMar>
            <w:vAlign w:val="center"/>
          </w:tcPr>
          <w:p w14:paraId="05ECB092">
            <w:pPr>
              <w:pStyle w:val="9"/>
              <w:spacing w:line="260" w:lineRule="exact"/>
              <w:jc w:val="center"/>
              <w:rPr>
                <w:color w:val="auto"/>
                <w:sz w:val="18"/>
                <w:szCs w:val="18"/>
                <w:highlight w:val="none"/>
              </w:rPr>
            </w:pPr>
            <w:r>
              <w:rPr>
                <w:color w:val="auto"/>
                <w:sz w:val="18"/>
                <w:szCs w:val="18"/>
                <w:highlight w:val="none"/>
              </w:rPr>
              <w:t>开工日期</w:t>
            </w:r>
          </w:p>
        </w:tc>
        <w:tc>
          <w:tcPr>
            <w:tcW w:w="5863" w:type="dxa"/>
            <w:tcBorders>
              <w:tl2br w:val="nil"/>
              <w:tr2bl w:val="nil"/>
            </w:tcBorders>
            <w:noWrap w:val="0"/>
            <w:tcMar>
              <w:left w:w="108" w:type="dxa"/>
            </w:tcMar>
            <w:vAlign w:val="center"/>
          </w:tcPr>
          <w:p w14:paraId="3CDB4A71">
            <w:pPr>
              <w:pStyle w:val="9"/>
              <w:spacing w:line="260" w:lineRule="exact"/>
              <w:jc w:val="center"/>
              <w:rPr>
                <w:color w:val="auto"/>
                <w:highlight w:val="none"/>
              </w:rPr>
            </w:pPr>
          </w:p>
        </w:tc>
      </w:tr>
      <w:tr w14:paraId="7A943C62">
        <w:tblPrEx>
          <w:tblBorders>
            <w:top w:val="single" w:color="00000A" w:sz="12" w:space="0"/>
            <w:left w:val="single" w:color="00000A" w:sz="12" w:space="0"/>
            <w:bottom w:val="single" w:color="00000A" w:sz="12" w:space="0"/>
            <w:right w:val="single" w:color="00000A" w:sz="12" w:space="0"/>
            <w:insideH w:val="single" w:color="00000A" w:sz="4" w:space="0"/>
            <w:insideV w:val="single" w:color="00000A" w:sz="4" w:space="0"/>
          </w:tblBorders>
          <w:tblCellMar>
            <w:top w:w="0" w:type="dxa"/>
            <w:left w:w="98" w:type="dxa"/>
            <w:bottom w:w="0" w:type="dxa"/>
            <w:right w:w="108" w:type="dxa"/>
          </w:tblCellMar>
        </w:tblPrEx>
        <w:trPr>
          <w:trHeight w:val="443" w:hRule="atLeast"/>
        </w:trPr>
        <w:tc>
          <w:tcPr>
            <w:tcW w:w="2699" w:type="dxa"/>
            <w:tcBorders>
              <w:tl2br w:val="nil"/>
              <w:tr2bl w:val="nil"/>
            </w:tcBorders>
            <w:noWrap w:val="0"/>
            <w:tcMar>
              <w:left w:w="98" w:type="dxa"/>
            </w:tcMar>
            <w:vAlign w:val="center"/>
          </w:tcPr>
          <w:p w14:paraId="0DC32DDE">
            <w:pPr>
              <w:pStyle w:val="9"/>
              <w:spacing w:line="260" w:lineRule="exact"/>
              <w:jc w:val="center"/>
              <w:rPr>
                <w:color w:val="auto"/>
                <w:sz w:val="18"/>
                <w:szCs w:val="18"/>
                <w:highlight w:val="none"/>
              </w:rPr>
            </w:pPr>
            <w:r>
              <w:rPr>
                <w:color w:val="auto"/>
                <w:sz w:val="18"/>
                <w:szCs w:val="18"/>
                <w:highlight w:val="none"/>
              </w:rPr>
              <w:t>交工日期</w:t>
            </w:r>
          </w:p>
        </w:tc>
        <w:tc>
          <w:tcPr>
            <w:tcW w:w="5863" w:type="dxa"/>
            <w:tcBorders>
              <w:tl2br w:val="nil"/>
              <w:tr2bl w:val="nil"/>
            </w:tcBorders>
            <w:noWrap w:val="0"/>
            <w:tcMar>
              <w:left w:w="108" w:type="dxa"/>
            </w:tcMar>
            <w:vAlign w:val="center"/>
          </w:tcPr>
          <w:p w14:paraId="2BB5A050">
            <w:pPr>
              <w:pStyle w:val="9"/>
              <w:spacing w:line="260" w:lineRule="exact"/>
              <w:jc w:val="center"/>
              <w:rPr>
                <w:color w:val="auto"/>
                <w:highlight w:val="none"/>
              </w:rPr>
            </w:pPr>
          </w:p>
        </w:tc>
      </w:tr>
      <w:tr w14:paraId="061615C5">
        <w:tblPrEx>
          <w:tblBorders>
            <w:top w:val="single" w:color="00000A" w:sz="12" w:space="0"/>
            <w:left w:val="single" w:color="00000A" w:sz="12" w:space="0"/>
            <w:bottom w:val="single" w:color="00000A" w:sz="12" w:space="0"/>
            <w:right w:val="single" w:color="00000A" w:sz="12" w:space="0"/>
            <w:insideH w:val="single" w:color="00000A" w:sz="4" w:space="0"/>
            <w:insideV w:val="single" w:color="00000A" w:sz="4" w:space="0"/>
          </w:tblBorders>
          <w:tblCellMar>
            <w:top w:w="0" w:type="dxa"/>
            <w:left w:w="98" w:type="dxa"/>
            <w:bottom w:w="0" w:type="dxa"/>
            <w:right w:w="108" w:type="dxa"/>
          </w:tblCellMar>
        </w:tblPrEx>
        <w:trPr>
          <w:trHeight w:val="443" w:hRule="atLeast"/>
        </w:trPr>
        <w:tc>
          <w:tcPr>
            <w:tcW w:w="2699" w:type="dxa"/>
            <w:tcBorders>
              <w:tl2br w:val="nil"/>
              <w:tr2bl w:val="nil"/>
            </w:tcBorders>
            <w:noWrap w:val="0"/>
            <w:tcMar>
              <w:left w:w="98" w:type="dxa"/>
            </w:tcMar>
            <w:vAlign w:val="center"/>
          </w:tcPr>
          <w:p w14:paraId="16838078">
            <w:pPr>
              <w:pStyle w:val="9"/>
              <w:spacing w:line="260" w:lineRule="exact"/>
              <w:jc w:val="center"/>
              <w:rPr>
                <w:color w:val="auto"/>
                <w:sz w:val="18"/>
                <w:szCs w:val="18"/>
                <w:highlight w:val="none"/>
              </w:rPr>
            </w:pPr>
            <w:r>
              <w:rPr>
                <w:color w:val="auto"/>
                <w:sz w:val="18"/>
                <w:szCs w:val="18"/>
                <w:highlight w:val="none"/>
              </w:rPr>
              <w:t>承担的工作</w:t>
            </w:r>
          </w:p>
        </w:tc>
        <w:tc>
          <w:tcPr>
            <w:tcW w:w="5863" w:type="dxa"/>
            <w:tcBorders>
              <w:tl2br w:val="nil"/>
              <w:tr2bl w:val="nil"/>
            </w:tcBorders>
            <w:noWrap w:val="0"/>
            <w:tcMar>
              <w:left w:w="108" w:type="dxa"/>
            </w:tcMar>
            <w:vAlign w:val="center"/>
          </w:tcPr>
          <w:p w14:paraId="2CEE8039">
            <w:pPr>
              <w:pStyle w:val="9"/>
              <w:spacing w:line="260" w:lineRule="exact"/>
              <w:jc w:val="center"/>
              <w:rPr>
                <w:color w:val="auto"/>
                <w:highlight w:val="none"/>
              </w:rPr>
            </w:pPr>
          </w:p>
        </w:tc>
      </w:tr>
      <w:tr w14:paraId="3AF821A4">
        <w:tblPrEx>
          <w:tblBorders>
            <w:top w:val="single" w:color="00000A" w:sz="12" w:space="0"/>
            <w:left w:val="single" w:color="00000A" w:sz="12" w:space="0"/>
            <w:bottom w:val="single" w:color="00000A" w:sz="12" w:space="0"/>
            <w:right w:val="single" w:color="00000A" w:sz="12" w:space="0"/>
            <w:insideH w:val="single" w:color="00000A" w:sz="4" w:space="0"/>
            <w:insideV w:val="single" w:color="00000A" w:sz="4" w:space="0"/>
          </w:tblBorders>
          <w:tblCellMar>
            <w:top w:w="0" w:type="dxa"/>
            <w:left w:w="98" w:type="dxa"/>
            <w:bottom w:w="0" w:type="dxa"/>
            <w:right w:w="108" w:type="dxa"/>
          </w:tblCellMar>
        </w:tblPrEx>
        <w:trPr>
          <w:trHeight w:val="443" w:hRule="atLeast"/>
        </w:trPr>
        <w:tc>
          <w:tcPr>
            <w:tcW w:w="2699" w:type="dxa"/>
            <w:tcBorders>
              <w:tl2br w:val="nil"/>
              <w:tr2bl w:val="nil"/>
            </w:tcBorders>
            <w:noWrap w:val="0"/>
            <w:tcMar>
              <w:left w:w="98" w:type="dxa"/>
            </w:tcMar>
            <w:vAlign w:val="center"/>
          </w:tcPr>
          <w:p w14:paraId="0B0F10EB">
            <w:pPr>
              <w:pStyle w:val="9"/>
              <w:spacing w:line="260" w:lineRule="exact"/>
              <w:jc w:val="center"/>
              <w:rPr>
                <w:color w:val="auto"/>
                <w:sz w:val="18"/>
                <w:szCs w:val="18"/>
                <w:highlight w:val="none"/>
              </w:rPr>
            </w:pPr>
            <w:r>
              <w:rPr>
                <w:color w:val="auto"/>
                <w:sz w:val="18"/>
                <w:szCs w:val="18"/>
                <w:highlight w:val="none"/>
              </w:rPr>
              <w:t>工程质量</w:t>
            </w:r>
          </w:p>
        </w:tc>
        <w:tc>
          <w:tcPr>
            <w:tcW w:w="5863" w:type="dxa"/>
            <w:tcBorders>
              <w:tl2br w:val="nil"/>
              <w:tr2bl w:val="nil"/>
            </w:tcBorders>
            <w:noWrap w:val="0"/>
            <w:tcMar>
              <w:left w:w="108" w:type="dxa"/>
            </w:tcMar>
            <w:vAlign w:val="center"/>
          </w:tcPr>
          <w:p w14:paraId="577DEDF4">
            <w:pPr>
              <w:pStyle w:val="9"/>
              <w:spacing w:line="260" w:lineRule="exact"/>
              <w:jc w:val="center"/>
              <w:rPr>
                <w:color w:val="auto"/>
                <w:highlight w:val="none"/>
              </w:rPr>
            </w:pPr>
          </w:p>
        </w:tc>
      </w:tr>
      <w:tr w14:paraId="66E56659">
        <w:tblPrEx>
          <w:tblBorders>
            <w:top w:val="single" w:color="00000A" w:sz="12" w:space="0"/>
            <w:left w:val="single" w:color="00000A" w:sz="12" w:space="0"/>
            <w:bottom w:val="single" w:color="00000A" w:sz="12" w:space="0"/>
            <w:right w:val="single" w:color="00000A" w:sz="12" w:space="0"/>
            <w:insideH w:val="single" w:color="00000A" w:sz="4" w:space="0"/>
            <w:insideV w:val="single" w:color="00000A" w:sz="4" w:space="0"/>
          </w:tblBorders>
          <w:tblCellMar>
            <w:top w:w="0" w:type="dxa"/>
            <w:left w:w="98" w:type="dxa"/>
            <w:bottom w:w="0" w:type="dxa"/>
            <w:right w:w="108" w:type="dxa"/>
          </w:tblCellMar>
        </w:tblPrEx>
        <w:trPr>
          <w:trHeight w:val="443" w:hRule="atLeast"/>
        </w:trPr>
        <w:tc>
          <w:tcPr>
            <w:tcW w:w="2699" w:type="dxa"/>
            <w:tcBorders>
              <w:tl2br w:val="nil"/>
              <w:tr2bl w:val="nil"/>
            </w:tcBorders>
            <w:noWrap w:val="0"/>
            <w:tcMar>
              <w:left w:w="98" w:type="dxa"/>
            </w:tcMar>
            <w:vAlign w:val="center"/>
          </w:tcPr>
          <w:p w14:paraId="3EE1329E">
            <w:pPr>
              <w:pStyle w:val="9"/>
              <w:spacing w:line="260" w:lineRule="exact"/>
              <w:jc w:val="center"/>
              <w:rPr>
                <w:color w:val="auto"/>
                <w:sz w:val="18"/>
                <w:szCs w:val="18"/>
                <w:highlight w:val="none"/>
              </w:rPr>
            </w:pPr>
            <w:r>
              <w:rPr>
                <w:color w:val="auto"/>
                <w:sz w:val="18"/>
                <w:szCs w:val="18"/>
                <w:highlight w:val="none"/>
              </w:rPr>
              <w:t>项目负责人（项目经理）</w:t>
            </w:r>
          </w:p>
        </w:tc>
        <w:tc>
          <w:tcPr>
            <w:tcW w:w="5863" w:type="dxa"/>
            <w:tcBorders>
              <w:tl2br w:val="nil"/>
              <w:tr2bl w:val="nil"/>
            </w:tcBorders>
            <w:noWrap w:val="0"/>
            <w:tcMar>
              <w:left w:w="108" w:type="dxa"/>
            </w:tcMar>
            <w:vAlign w:val="center"/>
          </w:tcPr>
          <w:p w14:paraId="1E859318">
            <w:pPr>
              <w:pStyle w:val="9"/>
              <w:spacing w:line="260" w:lineRule="exact"/>
              <w:jc w:val="center"/>
              <w:rPr>
                <w:color w:val="auto"/>
                <w:highlight w:val="none"/>
              </w:rPr>
            </w:pPr>
          </w:p>
        </w:tc>
      </w:tr>
      <w:tr w14:paraId="2D8465D9">
        <w:tblPrEx>
          <w:tblBorders>
            <w:top w:val="single" w:color="00000A" w:sz="12" w:space="0"/>
            <w:left w:val="single" w:color="00000A" w:sz="12" w:space="0"/>
            <w:bottom w:val="single" w:color="00000A" w:sz="12" w:space="0"/>
            <w:right w:val="single" w:color="00000A" w:sz="12" w:space="0"/>
            <w:insideH w:val="single" w:color="00000A" w:sz="4" w:space="0"/>
            <w:insideV w:val="single" w:color="00000A" w:sz="4" w:space="0"/>
          </w:tblBorders>
          <w:tblCellMar>
            <w:top w:w="0" w:type="dxa"/>
            <w:left w:w="98" w:type="dxa"/>
            <w:bottom w:w="0" w:type="dxa"/>
            <w:right w:w="108" w:type="dxa"/>
          </w:tblCellMar>
        </w:tblPrEx>
        <w:trPr>
          <w:trHeight w:val="443" w:hRule="atLeast"/>
        </w:trPr>
        <w:tc>
          <w:tcPr>
            <w:tcW w:w="2699" w:type="dxa"/>
            <w:tcBorders>
              <w:tl2br w:val="nil"/>
              <w:tr2bl w:val="nil"/>
            </w:tcBorders>
            <w:noWrap w:val="0"/>
            <w:tcMar>
              <w:left w:w="98" w:type="dxa"/>
            </w:tcMar>
            <w:vAlign w:val="center"/>
          </w:tcPr>
          <w:p w14:paraId="7112F23B">
            <w:pPr>
              <w:pStyle w:val="9"/>
              <w:spacing w:line="260" w:lineRule="exact"/>
              <w:jc w:val="center"/>
              <w:rPr>
                <w:color w:val="auto"/>
                <w:sz w:val="18"/>
                <w:szCs w:val="18"/>
                <w:highlight w:val="none"/>
              </w:rPr>
            </w:pPr>
            <w:r>
              <w:rPr>
                <w:color w:val="auto"/>
                <w:sz w:val="18"/>
                <w:szCs w:val="18"/>
                <w:highlight w:val="none"/>
              </w:rPr>
              <w:t>项目技术负责人（项目总工）</w:t>
            </w:r>
          </w:p>
        </w:tc>
        <w:tc>
          <w:tcPr>
            <w:tcW w:w="5863" w:type="dxa"/>
            <w:tcBorders>
              <w:tl2br w:val="nil"/>
              <w:tr2bl w:val="nil"/>
            </w:tcBorders>
            <w:noWrap w:val="0"/>
            <w:tcMar>
              <w:left w:w="108" w:type="dxa"/>
            </w:tcMar>
            <w:vAlign w:val="center"/>
          </w:tcPr>
          <w:p w14:paraId="7639D29E">
            <w:pPr>
              <w:pStyle w:val="9"/>
              <w:spacing w:line="260" w:lineRule="exact"/>
              <w:jc w:val="center"/>
              <w:rPr>
                <w:color w:val="auto"/>
                <w:highlight w:val="none"/>
              </w:rPr>
            </w:pPr>
          </w:p>
        </w:tc>
      </w:tr>
      <w:tr w14:paraId="4BBA4B99">
        <w:tblPrEx>
          <w:tblBorders>
            <w:top w:val="single" w:color="00000A" w:sz="12" w:space="0"/>
            <w:left w:val="single" w:color="00000A" w:sz="12" w:space="0"/>
            <w:bottom w:val="single" w:color="00000A" w:sz="12" w:space="0"/>
            <w:right w:val="single" w:color="00000A" w:sz="12" w:space="0"/>
            <w:insideH w:val="single" w:color="00000A" w:sz="4" w:space="0"/>
            <w:insideV w:val="single" w:color="00000A" w:sz="4" w:space="0"/>
          </w:tblBorders>
          <w:tblCellMar>
            <w:top w:w="0" w:type="dxa"/>
            <w:left w:w="98" w:type="dxa"/>
            <w:bottom w:w="0" w:type="dxa"/>
            <w:right w:w="108" w:type="dxa"/>
          </w:tblCellMar>
        </w:tblPrEx>
        <w:trPr>
          <w:trHeight w:val="443" w:hRule="atLeast"/>
        </w:trPr>
        <w:tc>
          <w:tcPr>
            <w:tcW w:w="2699" w:type="dxa"/>
            <w:tcBorders>
              <w:tl2br w:val="nil"/>
              <w:tr2bl w:val="nil"/>
            </w:tcBorders>
            <w:noWrap w:val="0"/>
            <w:tcMar>
              <w:left w:w="98" w:type="dxa"/>
            </w:tcMar>
            <w:vAlign w:val="center"/>
          </w:tcPr>
          <w:p w14:paraId="6394CCBF">
            <w:pPr>
              <w:pStyle w:val="9"/>
              <w:spacing w:line="260" w:lineRule="exact"/>
              <w:jc w:val="center"/>
              <w:rPr>
                <w:color w:val="auto"/>
                <w:sz w:val="18"/>
                <w:szCs w:val="18"/>
                <w:highlight w:val="none"/>
              </w:rPr>
            </w:pPr>
            <w:r>
              <w:rPr>
                <w:color w:val="auto"/>
                <w:sz w:val="18"/>
                <w:szCs w:val="18"/>
                <w:highlight w:val="none"/>
              </w:rPr>
              <w:t>总监理工程师及电话</w:t>
            </w:r>
          </w:p>
        </w:tc>
        <w:tc>
          <w:tcPr>
            <w:tcW w:w="5863" w:type="dxa"/>
            <w:tcBorders>
              <w:tl2br w:val="nil"/>
              <w:tr2bl w:val="nil"/>
            </w:tcBorders>
            <w:noWrap w:val="0"/>
            <w:tcMar>
              <w:left w:w="108" w:type="dxa"/>
            </w:tcMar>
            <w:vAlign w:val="center"/>
          </w:tcPr>
          <w:p w14:paraId="6B251497">
            <w:pPr>
              <w:pStyle w:val="9"/>
              <w:spacing w:line="260" w:lineRule="exact"/>
              <w:jc w:val="center"/>
              <w:rPr>
                <w:color w:val="auto"/>
                <w:highlight w:val="none"/>
              </w:rPr>
            </w:pPr>
          </w:p>
        </w:tc>
      </w:tr>
      <w:tr w14:paraId="625074FC">
        <w:tblPrEx>
          <w:tblBorders>
            <w:top w:val="single" w:color="00000A" w:sz="12" w:space="0"/>
            <w:left w:val="single" w:color="00000A" w:sz="12" w:space="0"/>
            <w:bottom w:val="single" w:color="00000A" w:sz="12" w:space="0"/>
            <w:right w:val="single" w:color="00000A" w:sz="12" w:space="0"/>
            <w:insideH w:val="single" w:color="00000A" w:sz="4" w:space="0"/>
            <w:insideV w:val="single" w:color="00000A" w:sz="4" w:space="0"/>
          </w:tblBorders>
          <w:tblCellMar>
            <w:top w:w="0" w:type="dxa"/>
            <w:left w:w="98" w:type="dxa"/>
            <w:bottom w:w="0" w:type="dxa"/>
            <w:right w:w="108" w:type="dxa"/>
          </w:tblCellMar>
        </w:tblPrEx>
        <w:trPr>
          <w:trHeight w:val="443" w:hRule="atLeast"/>
        </w:trPr>
        <w:tc>
          <w:tcPr>
            <w:tcW w:w="2699" w:type="dxa"/>
            <w:tcBorders>
              <w:tl2br w:val="nil"/>
              <w:tr2bl w:val="nil"/>
            </w:tcBorders>
            <w:noWrap w:val="0"/>
            <w:tcMar>
              <w:left w:w="98" w:type="dxa"/>
            </w:tcMar>
            <w:vAlign w:val="center"/>
          </w:tcPr>
          <w:p w14:paraId="04B58FF6">
            <w:pPr>
              <w:pStyle w:val="9"/>
              <w:spacing w:line="260" w:lineRule="exact"/>
              <w:jc w:val="center"/>
              <w:rPr>
                <w:color w:val="auto"/>
                <w:sz w:val="18"/>
                <w:szCs w:val="18"/>
                <w:highlight w:val="none"/>
              </w:rPr>
            </w:pPr>
            <w:r>
              <w:rPr>
                <w:color w:val="auto"/>
                <w:sz w:val="18"/>
                <w:szCs w:val="18"/>
                <w:highlight w:val="none"/>
              </w:rPr>
              <w:t>项目描述</w:t>
            </w:r>
          </w:p>
        </w:tc>
        <w:tc>
          <w:tcPr>
            <w:tcW w:w="5863" w:type="dxa"/>
            <w:tcBorders>
              <w:tl2br w:val="nil"/>
              <w:tr2bl w:val="nil"/>
            </w:tcBorders>
            <w:noWrap w:val="0"/>
            <w:tcMar>
              <w:left w:w="108" w:type="dxa"/>
            </w:tcMar>
            <w:vAlign w:val="center"/>
          </w:tcPr>
          <w:p w14:paraId="6EEFA138">
            <w:pPr>
              <w:pStyle w:val="9"/>
              <w:spacing w:line="260" w:lineRule="exact"/>
              <w:jc w:val="center"/>
              <w:rPr>
                <w:color w:val="auto"/>
                <w:highlight w:val="none"/>
              </w:rPr>
            </w:pPr>
          </w:p>
        </w:tc>
      </w:tr>
      <w:tr w14:paraId="1BC77A08">
        <w:tblPrEx>
          <w:tblBorders>
            <w:top w:val="single" w:color="00000A" w:sz="12" w:space="0"/>
            <w:left w:val="single" w:color="00000A" w:sz="12" w:space="0"/>
            <w:bottom w:val="single" w:color="00000A" w:sz="12" w:space="0"/>
            <w:right w:val="single" w:color="00000A" w:sz="12" w:space="0"/>
            <w:insideH w:val="single" w:color="00000A" w:sz="4" w:space="0"/>
            <w:insideV w:val="single" w:color="00000A" w:sz="4" w:space="0"/>
          </w:tblBorders>
          <w:tblCellMar>
            <w:top w:w="0" w:type="dxa"/>
            <w:left w:w="98" w:type="dxa"/>
            <w:bottom w:w="0" w:type="dxa"/>
            <w:right w:w="108" w:type="dxa"/>
          </w:tblCellMar>
        </w:tblPrEx>
        <w:trPr>
          <w:trHeight w:val="443" w:hRule="atLeast"/>
        </w:trPr>
        <w:tc>
          <w:tcPr>
            <w:tcW w:w="2699" w:type="dxa"/>
            <w:tcBorders>
              <w:tl2br w:val="nil"/>
              <w:tr2bl w:val="nil"/>
            </w:tcBorders>
            <w:noWrap w:val="0"/>
            <w:tcMar>
              <w:left w:w="98" w:type="dxa"/>
            </w:tcMar>
            <w:vAlign w:val="center"/>
          </w:tcPr>
          <w:p w14:paraId="5DCF3F63">
            <w:pPr>
              <w:pStyle w:val="9"/>
              <w:spacing w:line="260" w:lineRule="exact"/>
              <w:jc w:val="center"/>
              <w:rPr>
                <w:color w:val="auto"/>
                <w:sz w:val="18"/>
                <w:szCs w:val="18"/>
                <w:highlight w:val="none"/>
              </w:rPr>
            </w:pPr>
            <w:r>
              <w:rPr>
                <w:color w:val="auto"/>
                <w:sz w:val="18"/>
                <w:szCs w:val="18"/>
                <w:highlight w:val="none"/>
              </w:rPr>
              <w:t>备    注</w:t>
            </w:r>
          </w:p>
        </w:tc>
        <w:tc>
          <w:tcPr>
            <w:tcW w:w="5863" w:type="dxa"/>
            <w:tcBorders>
              <w:tl2br w:val="nil"/>
              <w:tr2bl w:val="nil"/>
            </w:tcBorders>
            <w:noWrap w:val="0"/>
            <w:tcMar>
              <w:left w:w="108" w:type="dxa"/>
            </w:tcMar>
            <w:vAlign w:val="center"/>
          </w:tcPr>
          <w:p w14:paraId="1BF41E39">
            <w:pPr>
              <w:pStyle w:val="9"/>
              <w:spacing w:line="260" w:lineRule="exact"/>
              <w:jc w:val="center"/>
              <w:rPr>
                <w:color w:val="auto"/>
                <w:highlight w:val="none"/>
              </w:rPr>
            </w:pPr>
          </w:p>
        </w:tc>
      </w:tr>
    </w:tbl>
    <w:p w14:paraId="27575A31">
      <w:pPr>
        <w:pStyle w:val="9"/>
        <w:spacing w:line="320" w:lineRule="exact"/>
        <w:rPr>
          <w:rFonts w:hint="eastAsia" w:ascii="宋体" w:hAnsi="宋体"/>
          <w:color w:val="auto"/>
          <w:sz w:val="18"/>
          <w:szCs w:val="18"/>
          <w:highlight w:val="none"/>
        </w:rPr>
      </w:pPr>
      <w:r>
        <w:rPr>
          <w:rFonts w:hint="eastAsia" w:ascii="宋体" w:hAnsi="宋体"/>
          <w:color w:val="auto"/>
          <w:sz w:val="18"/>
          <w:szCs w:val="18"/>
          <w:highlight w:val="none"/>
        </w:rPr>
        <w:t>注：1.每张表格只填写一个项目，并标明序号。</w:t>
      </w:r>
    </w:p>
    <w:p w14:paraId="1E4CE9F1">
      <w:pPr>
        <w:pStyle w:val="9"/>
        <w:spacing w:line="320" w:lineRule="exact"/>
        <w:ind w:firstLine="360" w:firstLineChars="200"/>
        <w:rPr>
          <w:rFonts w:hint="default" w:ascii="宋体" w:hAnsi="宋体" w:eastAsia="Times New Roman" w:cs="Times New Roman"/>
          <w:color w:val="auto"/>
          <w:sz w:val="18"/>
          <w:szCs w:val="18"/>
          <w:highlight w:val="none"/>
          <w:lang w:val="en-US" w:eastAsia="zh-CN"/>
        </w:rPr>
      </w:pPr>
      <w:r>
        <w:rPr>
          <w:rFonts w:hint="eastAsia" w:ascii="宋体" w:hAnsi="宋体" w:eastAsia="Times New Roman" w:cs="Times New Roman"/>
          <w:color w:val="auto"/>
          <w:sz w:val="18"/>
          <w:szCs w:val="18"/>
          <w:highlight w:val="none"/>
        </w:rPr>
        <w:t>2.</w:t>
      </w:r>
      <w:r>
        <w:rPr>
          <w:rFonts w:hint="eastAsia" w:ascii="宋体" w:hAnsi="宋体" w:eastAsia="Times New Roman" w:cs="Times New Roman"/>
          <w:color w:val="auto"/>
          <w:sz w:val="18"/>
          <w:szCs w:val="18"/>
          <w:highlight w:val="none"/>
          <w:lang w:val="en-US" w:eastAsia="zh-CN"/>
        </w:rPr>
        <w:t>投标人应在本表后附业绩相关证明材料：（1）中标通知书</w:t>
      </w:r>
      <w:r>
        <w:rPr>
          <w:rFonts w:hint="eastAsia" w:ascii="宋体" w:hAnsi="宋体" w:eastAsia="宋体" w:cs="宋体"/>
          <w:color w:val="auto"/>
          <w:kern w:val="0"/>
          <w:sz w:val="18"/>
          <w:szCs w:val="18"/>
          <w:highlight w:val="none"/>
          <w:lang w:val="en-US" w:eastAsia="zh-CN" w:bidi="ar"/>
        </w:rPr>
        <w:t>复制件</w:t>
      </w:r>
      <w:r>
        <w:rPr>
          <w:rFonts w:hint="eastAsia" w:ascii="宋体" w:hAnsi="宋体" w:eastAsia="Times New Roman" w:cs="Times New Roman"/>
          <w:color w:val="auto"/>
          <w:sz w:val="18"/>
          <w:szCs w:val="18"/>
          <w:highlight w:val="none"/>
          <w:lang w:val="en-US" w:eastAsia="zh-CN"/>
        </w:rPr>
        <w:t>、（2）合同协议书</w:t>
      </w:r>
      <w:r>
        <w:rPr>
          <w:rFonts w:hint="eastAsia" w:ascii="宋体" w:hAnsi="宋体" w:eastAsia="宋体" w:cs="宋体"/>
          <w:color w:val="auto"/>
          <w:kern w:val="0"/>
          <w:sz w:val="18"/>
          <w:szCs w:val="18"/>
          <w:highlight w:val="none"/>
          <w:lang w:val="en-US" w:eastAsia="zh-CN" w:bidi="ar"/>
        </w:rPr>
        <w:t>复制件</w:t>
      </w:r>
      <w:r>
        <w:rPr>
          <w:rFonts w:hint="eastAsia" w:ascii="宋体" w:hAnsi="宋体" w:eastAsia="Times New Roman" w:cs="Times New Roman"/>
          <w:color w:val="auto"/>
          <w:sz w:val="18"/>
          <w:szCs w:val="18"/>
          <w:highlight w:val="none"/>
          <w:lang w:val="en-US" w:eastAsia="zh-CN"/>
        </w:rPr>
        <w:t>、（3）质量证明文件（由发包人出具的交工验收证书或竣工验收委员会出具的竣工验收鉴定书或质量监督机构对各参建单位签发的工作综合评价等级证书或发包人或管理部门出具的证明文件）的</w:t>
      </w:r>
      <w:r>
        <w:rPr>
          <w:rFonts w:hint="eastAsia" w:ascii="宋体" w:hAnsi="宋体" w:eastAsia="宋体" w:cs="宋体"/>
          <w:color w:val="auto"/>
          <w:kern w:val="0"/>
          <w:sz w:val="18"/>
          <w:szCs w:val="18"/>
          <w:highlight w:val="none"/>
          <w:lang w:val="en-US" w:eastAsia="zh-CN" w:bidi="ar"/>
        </w:rPr>
        <w:t>复制件</w:t>
      </w:r>
      <w:r>
        <w:rPr>
          <w:rFonts w:hint="eastAsia" w:ascii="宋体" w:hAnsi="宋体" w:eastAsia="Times New Roman" w:cs="Times New Roman"/>
          <w:color w:val="auto"/>
          <w:sz w:val="18"/>
          <w:szCs w:val="18"/>
          <w:highlight w:val="none"/>
          <w:lang w:val="en-US" w:eastAsia="zh-CN"/>
        </w:rPr>
        <w:t>，上述业绩证明材料三者缺一不可，否则业绩不予认可。</w:t>
      </w:r>
    </w:p>
    <w:p w14:paraId="53D5F1BD">
      <w:pPr>
        <w:pStyle w:val="9"/>
        <w:spacing w:line="320" w:lineRule="exact"/>
        <w:ind w:firstLine="360" w:firstLineChars="200"/>
        <w:rPr>
          <w:rFonts w:hint="eastAsia" w:ascii="宋体" w:hAnsi="宋体" w:eastAsia="Times New Roman" w:cs="Times New Roman"/>
          <w:color w:val="auto"/>
          <w:sz w:val="18"/>
          <w:szCs w:val="18"/>
          <w:highlight w:val="none"/>
          <w:lang w:val="en-US" w:eastAsia="zh-CN"/>
        </w:rPr>
      </w:pPr>
      <w:r>
        <w:rPr>
          <w:rFonts w:hint="eastAsia" w:ascii="宋体" w:hAnsi="宋体" w:eastAsia="Times New Roman" w:cs="Times New Roman"/>
          <w:color w:val="auto"/>
          <w:sz w:val="18"/>
          <w:szCs w:val="18"/>
          <w:highlight w:val="none"/>
          <w:lang w:val="en-US" w:eastAsia="zh-CN"/>
        </w:rPr>
        <w:t>3.工程规模解释顺序为：质量证明文明、合同协议书、中标通知书。如上述资料均未体现合同金额、公路技术等级、主要工程内容的，还须另附项目发包人出具的证明材料的</w:t>
      </w:r>
      <w:r>
        <w:rPr>
          <w:rFonts w:hint="eastAsia" w:ascii="宋体" w:hAnsi="宋体" w:eastAsia="宋体" w:cs="宋体"/>
          <w:color w:val="auto"/>
          <w:kern w:val="0"/>
          <w:sz w:val="18"/>
          <w:szCs w:val="18"/>
          <w:highlight w:val="none"/>
          <w:lang w:val="en-US" w:eastAsia="zh-CN" w:bidi="ar"/>
        </w:rPr>
        <w:t>复制件</w:t>
      </w:r>
      <w:r>
        <w:rPr>
          <w:rFonts w:hint="eastAsia" w:ascii="宋体" w:hAnsi="宋体" w:eastAsia="Times New Roman" w:cs="Times New Roman"/>
          <w:color w:val="auto"/>
          <w:sz w:val="18"/>
          <w:szCs w:val="18"/>
          <w:highlight w:val="none"/>
          <w:lang w:val="en-US" w:eastAsia="zh-CN"/>
        </w:rPr>
        <w:t xml:space="preserve">，否则业绩不予认可。 </w:t>
      </w:r>
    </w:p>
    <w:p w14:paraId="0028880E">
      <w:pPr>
        <w:pStyle w:val="9"/>
        <w:spacing w:line="320" w:lineRule="exact"/>
        <w:ind w:firstLine="360" w:firstLineChars="200"/>
        <w:rPr>
          <w:rFonts w:hint="eastAsia" w:ascii="宋体" w:hAnsi="宋体" w:eastAsia="Times New Roman" w:cs="Times New Roman"/>
          <w:color w:val="auto"/>
          <w:sz w:val="18"/>
          <w:szCs w:val="18"/>
          <w:highlight w:val="none"/>
        </w:rPr>
      </w:pPr>
      <w:r>
        <w:rPr>
          <w:rFonts w:hint="eastAsia" w:ascii="宋体" w:hAnsi="宋体" w:eastAsia="Times New Roman" w:cs="Times New Roman"/>
          <w:color w:val="auto"/>
          <w:sz w:val="18"/>
          <w:szCs w:val="18"/>
          <w:highlight w:val="none"/>
          <w:lang w:val="en-US" w:eastAsia="zh-CN"/>
        </w:rPr>
        <w:t xml:space="preserve">4．上述资料中的单位名称与投标人名称必须一致，若投标人法人机构发生合法变更或重组或法人名称变更时，应提供相关部门的合法批件或其它相关证明材料来证明其所附业绩的承继性，否则业绩不予认可。 </w:t>
      </w:r>
    </w:p>
    <w:p w14:paraId="06EE7111">
      <w:pPr>
        <w:pStyle w:val="9"/>
        <w:spacing w:line="320" w:lineRule="exact"/>
        <w:ind w:firstLine="360" w:firstLineChars="200"/>
        <w:rPr>
          <w:rFonts w:hint="eastAsia" w:ascii="宋体" w:hAnsi="宋体" w:eastAsia="Times New Roman" w:cs="Times New Roman"/>
          <w:color w:val="auto"/>
          <w:sz w:val="18"/>
          <w:szCs w:val="18"/>
          <w:highlight w:val="none"/>
        </w:rPr>
      </w:pPr>
      <w:r>
        <w:rPr>
          <w:rFonts w:hint="eastAsia" w:ascii="宋体" w:hAnsi="宋体" w:eastAsia="Times New Roman" w:cs="Times New Roman"/>
          <w:color w:val="auto"/>
          <w:sz w:val="18"/>
          <w:szCs w:val="18"/>
          <w:highlight w:val="none"/>
          <w:lang w:val="en-US" w:eastAsia="zh-CN"/>
        </w:rPr>
        <w:t>5．以联合体形式参与投标的，上述业绩</w:t>
      </w:r>
      <w:r>
        <w:rPr>
          <w:rFonts w:hint="eastAsia" w:ascii="宋体" w:hAnsi="宋体" w:cs="Times New Roman"/>
          <w:color w:val="auto"/>
          <w:sz w:val="18"/>
          <w:szCs w:val="18"/>
          <w:highlight w:val="none"/>
          <w:lang w:val="en-US" w:eastAsia="zh-CN"/>
        </w:rPr>
        <w:t>按招标文件要求提供</w:t>
      </w:r>
      <w:r>
        <w:rPr>
          <w:rFonts w:hint="eastAsia" w:ascii="宋体" w:hAnsi="宋体" w:eastAsia="Times New Roman" w:cs="Times New Roman"/>
          <w:color w:val="auto"/>
          <w:sz w:val="18"/>
          <w:szCs w:val="18"/>
          <w:highlight w:val="none"/>
          <w:lang w:val="en-US" w:eastAsia="zh-CN"/>
        </w:rPr>
        <w:t>。</w:t>
      </w:r>
    </w:p>
    <w:p w14:paraId="5DB3EBC9">
      <w:pPr>
        <w:pStyle w:val="9"/>
        <w:spacing w:line="320" w:lineRule="exact"/>
        <w:ind w:firstLine="360" w:firstLineChars="200"/>
        <w:rPr>
          <w:rFonts w:hint="eastAsia" w:ascii="宋体" w:hAnsi="宋体"/>
          <w:color w:val="auto"/>
          <w:sz w:val="18"/>
          <w:szCs w:val="18"/>
          <w:highlight w:val="none"/>
        </w:rPr>
      </w:pPr>
    </w:p>
    <w:p w14:paraId="42DFE03F">
      <w:pPr>
        <w:pStyle w:val="9"/>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outlineLvl w:val="2"/>
        <w:rPr>
          <w:b/>
          <w:bCs/>
          <w:color w:val="auto"/>
          <w:sz w:val="28"/>
          <w:szCs w:val="28"/>
          <w:highlight w:val="none"/>
        </w:rPr>
      </w:pPr>
      <w:r>
        <w:rPr>
          <w:rFonts w:hint="eastAsia" w:ascii="宋体" w:hAnsi="宋体"/>
          <w:color w:val="auto"/>
          <w:sz w:val="18"/>
          <w:szCs w:val="18"/>
          <w:highlight w:val="none"/>
        </w:rPr>
        <w:br w:type="page"/>
      </w:r>
      <w:bookmarkStart w:id="845" w:name="_Toc338772190"/>
      <w:bookmarkEnd w:id="845"/>
      <w:bookmarkStart w:id="846" w:name="_Toc502765769"/>
      <w:bookmarkEnd w:id="846"/>
      <w:bookmarkStart w:id="847" w:name="_Toc385159289"/>
      <w:bookmarkEnd w:id="847"/>
      <w:bookmarkStart w:id="848" w:name="_Toc385159288"/>
      <w:bookmarkEnd w:id="848"/>
      <w:bookmarkStart w:id="849" w:name="_Toc382132988"/>
      <w:bookmarkEnd w:id="849"/>
      <w:bookmarkStart w:id="850" w:name="_Toc502765768"/>
      <w:bookmarkEnd w:id="850"/>
      <w:bookmarkStart w:id="851" w:name="_Toc382132989"/>
      <w:bookmarkEnd w:id="851"/>
      <w:bookmarkStart w:id="852" w:name="_Toc333848129"/>
      <w:bookmarkEnd w:id="852"/>
      <w:bookmarkStart w:id="853" w:name="_Toc21612"/>
      <w:bookmarkStart w:id="854" w:name="_Toc22235"/>
      <w:r>
        <w:rPr>
          <w:b/>
          <w:bCs/>
          <w:color w:val="auto"/>
          <w:sz w:val="28"/>
          <w:szCs w:val="28"/>
          <w:highlight w:val="none"/>
        </w:rPr>
        <w:t>（</w:t>
      </w:r>
      <w:r>
        <w:rPr>
          <w:rFonts w:hint="eastAsia"/>
          <w:b/>
          <w:bCs/>
          <w:color w:val="auto"/>
          <w:sz w:val="28"/>
          <w:szCs w:val="28"/>
          <w:highlight w:val="none"/>
        </w:rPr>
        <w:t>六</w:t>
      </w:r>
      <w:r>
        <w:rPr>
          <w:b/>
          <w:bCs/>
          <w:color w:val="auto"/>
          <w:sz w:val="28"/>
          <w:szCs w:val="28"/>
          <w:highlight w:val="none"/>
        </w:rPr>
        <w:t>）</w:t>
      </w:r>
      <w:r>
        <w:rPr>
          <w:rFonts w:hint="eastAsia" w:eastAsia="宋体"/>
          <w:b/>
          <w:bCs/>
          <w:color w:val="auto"/>
          <w:sz w:val="28"/>
          <w:szCs w:val="28"/>
          <w:highlight w:val="none"/>
          <w:lang w:val="en-US" w:eastAsia="zh-CN"/>
        </w:rPr>
        <w:t>投标人的信誉情况</w:t>
      </w:r>
      <w:bookmarkEnd w:id="853"/>
      <w:bookmarkEnd w:id="854"/>
    </w:p>
    <w:tbl>
      <w:tblPr>
        <w:tblStyle w:val="23"/>
        <w:tblW w:w="8529" w:type="dxa"/>
        <w:tblInd w:w="108" w:type="dxa"/>
        <w:tblBorders>
          <w:top w:val="single" w:color="00000A" w:sz="12" w:space="0"/>
          <w:left w:val="single" w:color="00000A" w:sz="12" w:space="0"/>
          <w:bottom w:val="single" w:color="00000A" w:sz="12" w:space="0"/>
          <w:right w:val="single" w:color="00000A" w:sz="12" w:space="0"/>
          <w:insideH w:val="single" w:color="00000A" w:sz="4" w:space="0"/>
          <w:insideV w:val="single" w:color="00000A" w:sz="4" w:space="0"/>
        </w:tblBorders>
        <w:tblLayout w:type="fixed"/>
        <w:tblCellMar>
          <w:top w:w="0" w:type="dxa"/>
          <w:left w:w="107" w:type="dxa"/>
          <w:bottom w:w="0" w:type="dxa"/>
          <w:right w:w="108" w:type="dxa"/>
        </w:tblCellMar>
      </w:tblPr>
      <w:tblGrid>
        <w:gridCol w:w="4526"/>
        <w:gridCol w:w="4003"/>
      </w:tblGrid>
      <w:tr w14:paraId="585B635F">
        <w:tblPrEx>
          <w:tblBorders>
            <w:top w:val="single" w:color="00000A" w:sz="12" w:space="0"/>
            <w:left w:val="single" w:color="00000A" w:sz="12" w:space="0"/>
            <w:bottom w:val="single" w:color="00000A" w:sz="12" w:space="0"/>
            <w:right w:val="single" w:color="00000A" w:sz="12" w:space="0"/>
            <w:insideH w:val="single" w:color="00000A" w:sz="4" w:space="0"/>
            <w:insideV w:val="single" w:color="00000A" w:sz="4" w:space="0"/>
          </w:tblBorders>
          <w:tblCellMar>
            <w:top w:w="0" w:type="dxa"/>
            <w:left w:w="107" w:type="dxa"/>
            <w:bottom w:w="0" w:type="dxa"/>
            <w:right w:w="108" w:type="dxa"/>
          </w:tblCellMar>
        </w:tblPrEx>
        <w:trPr>
          <w:cantSplit/>
          <w:trHeight w:val="619" w:hRule="atLeast"/>
        </w:trPr>
        <w:tc>
          <w:tcPr>
            <w:tcW w:w="4526" w:type="dxa"/>
            <w:tcBorders>
              <w:tl2br w:val="nil"/>
              <w:tr2bl w:val="nil"/>
            </w:tcBorders>
            <w:noWrap w:val="0"/>
            <w:tcMar>
              <w:left w:w="107" w:type="dxa"/>
            </w:tcMar>
            <w:vAlign w:val="center"/>
          </w:tcPr>
          <w:p w14:paraId="5991F810">
            <w:pPr>
              <w:pStyle w:val="9"/>
              <w:spacing w:line="360" w:lineRule="exact"/>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项  目</w:t>
            </w:r>
          </w:p>
        </w:tc>
        <w:tc>
          <w:tcPr>
            <w:tcW w:w="4003" w:type="dxa"/>
            <w:tcBorders>
              <w:tl2br w:val="nil"/>
              <w:tr2bl w:val="nil"/>
            </w:tcBorders>
            <w:noWrap w:val="0"/>
            <w:tcMar>
              <w:left w:w="107" w:type="dxa"/>
            </w:tcMar>
            <w:vAlign w:val="center"/>
          </w:tcPr>
          <w:p w14:paraId="2F748A7B">
            <w:pPr>
              <w:pStyle w:val="9"/>
              <w:spacing w:line="360" w:lineRule="exact"/>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投标人情况说明</w:t>
            </w:r>
          </w:p>
        </w:tc>
      </w:tr>
      <w:tr w14:paraId="6695D573">
        <w:tblPrEx>
          <w:tblBorders>
            <w:top w:val="single" w:color="00000A" w:sz="12" w:space="0"/>
            <w:left w:val="single" w:color="00000A" w:sz="12" w:space="0"/>
            <w:bottom w:val="single" w:color="00000A" w:sz="12" w:space="0"/>
            <w:right w:val="single" w:color="00000A" w:sz="12" w:space="0"/>
            <w:insideH w:val="single" w:color="00000A" w:sz="4" w:space="0"/>
            <w:insideV w:val="single" w:color="00000A" w:sz="4" w:space="0"/>
          </w:tblBorders>
          <w:tblCellMar>
            <w:top w:w="0" w:type="dxa"/>
            <w:left w:w="107" w:type="dxa"/>
            <w:bottom w:w="0" w:type="dxa"/>
            <w:right w:w="108" w:type="dxa"/>
          </w:tblCellMar>
        </w:tblPrEx>
        <w:trPr>
          <w:cantSplit/>
          <w:trHeight w:val="619" w:hRule="atLeast"/>
        </w:trPr>
        <w:tc>
          <w:tcPr>
            <w:tcW w:w="4526" w:type="dxa"/>
            <w:tcBorders>
              <w:tl2br w:val="nil"/>
              <w:tr2bl w:val="nil"/>
            </w:tcBorders>
            <w:noWrap w:val="0"/>
            <w:tcMar>
              <w:left w:w="107" w:type="dxa"/>
            </w:tcMar>
            <w:vAlign w:val="center"/>
          </w:tcPr>
          <w:p w14:paraId="1E193DED">
            <w:pPr>
              <w:pStyle w:val="9"/>
              <w:spacing w:line="360" w:lineRule="exact"/>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有无</w:t>
            </w:r>
            <w:r>
              <w:rPr>
                <w:rFonts w:hint="eastAsia" w:ascii="宋体" w:hAnsi="宋体"/>
                <w:color w:val="auto"/>
                <w:highlight w:val="none"/>
              </w:rPr>
              <w:t>投标人须知第1.4.3项</w:t>
            </w:r>
            <w:r>
              <w:rPr>
                <w:rFonts w:hint="eastAsia" w:ascii="宋体" w:hAnsi="宋体" w:eastAsia="宋体"/>
                <w:color w:val="auto"/>
                <w:highlight w:val="none"/>
                <w:lang w:val="en-US" w:eastAsia="zh-CN"/>
              </w:rPr>
              <w:t>及1.4.4项</w:t>
            </w:r>
            <w:r>
              <w:rPr>
                <w:rFonts w:hint="eastAsia" w:ascii="宋体" w:hAnsi="宋体"/>
                <w:color w:val="auto"/>
                <w:highlight w:val="none"/>
              </w:rPr>
              <w:t>情形</w:t>
            </w:r>
          </w:p>
        </w:tc>
        <w:tc>
          <w:tcPr>
            <w:tcW w:w="4003" w:type="dxa"/>
            <w:tcBorders>
              <w:tl2br w:val="nil"/>
              <w:tr2bl w:val="nil"/>
            </w:tcBorders>
            <w:noWrap w:val="0"/>
            <w:tcMar>
              <w:left w:w="107" w:type="dxa"/>
            </w:tcMar>
            <w:vAlign w:val="center"/>
          </w:tcPr>
          <w:p w14:paraId="0F93BF6E">
            <w:pPr>
              <w:pStyle w:val="9"/>
              <w:spacing w:line="360" w:lineRule="exact"/>
              <w:jc w:val="center"/>
              <w:rPr>
                <w:rFonts w:hint="eastAsia" w:ascii="宋体" w:hAnsi="宋体" w:cs="宋体"/>
                <w:color w:val="auto"/>
                <w:highlight w:val="none"/>
              </w:rPr>
            </w:pPr>
          </w:p>
        </w:tc>
      </w:tr>
      <w:tr w14:paraId="3652CFCD">
        <w:tblPrEx>
          <w:tblBorders>
            <w:top w:val="single" w:color="00000A" w:sz="12" w:space="0"/>
            <w:left w:val="single" w:color="00000A" w:sz="12" w:space="0"/>
            <w:bottom w:val="single" w:color="00000A" w:sz="12" w:space="0"/>
            <w:right w:val="single" w:color="00000A" w:sz="12" w:space="0"/>
            <w:insideH w:val="single" w:color="00000A" w:sz="4" w:space="0"/>
            <w:insideV w:val="single" w:color="00000A" w:sz="4" w:space="0"/>
          </w:tblBorders>
          <w:tblCellMar>
            <w:top w:w="0" w:type="dxa"/>
            <w:left w:w="107" w:type="dxa"/>
            <w:bottom w:w="0" w:type="dxa"/>
            <w:right w:w="108" w:type="dxa"/>
          </w:tblCellMar>
        </w:tblPrEx>
        <w:trPr>
          <w:cantSplit/>
          <w:trHeight w:val="619" w:hRule="atLeast"/>
        </w:trPr>
        <w:tc>
          <w:tcPr>
            <w:tcW w:w="4526" w:type="dxa"/>
            <w:tcBorders>
              <w:tl2br w:val="nil"/>
              <w:tr2bl w:val="nil"/>
            </w:tcBorders>
            <w:noWrap w:val="0"/>
            <w:tcMar>
              <w:left w:w="107" w:type="dxa"/>
            </w:tcMar>
            <w:vAlign w:val="center"/>
          </w:tcPr>
          <w:p w14:paraId="2F264F73">
            <w:pPr>
              <w:pStyle w:val="9"/>
              <w:spacing w:line="360" w:lineRule="exact"/>
              <w:jc w:val="center"/>
              <w:rPr>
                <w:rFonts w:hint="eastAsia" w:ascii="宋体" w:hAnsi="宋体" w:eastAsia="宋体" w:cs="宋体"/>
                <w:color w:val="auto"/>
                <w:highlight w:val="none"/>
                <w:lang w:val="en-US" w:eastAsia="zh-CN"/>
              </w:rPr>
            </w:pPr>
          </w:p>
        </w:tc>
        <w:tc>
          <w:tcPr>
            <w:tcW w:w="4003" w:type="dxa"/>
            <w:tcBorders>
              <w:tl2br w:val="nil"/>
              <w:tr2bl w:val="nil"/>
            </w:tcBorders>
            <w:noWrap w:val="0"/>
            <w:tcMar>
              <w:left w:w="107" w:type="dxa"/>
            </w:tcMar>
            <w:vAlign w:val="center"/>
          </w:tcPr>
          <w:p w14:paraId="15B16BE1">
            <w:pPr>
              <w:pStyle w:val="9"/>
              <w:spacing w:line="360" w:lineRule="exact"/>
              <w:jc w:val="center"/>
              <w:rPr>
                <w:rFonts w:hint="eastAsia" w:ascii="宋体" w:hAnsi="宋体" w:cs="宋体"/>
                <w:color w:val="auto"/>
                <w:highlight w:val="none"/>
              </w:rPr>
            </w:pPr>
          </w:p>
        </w:tc>
      </w:tr>
      <w:tr w14:paraId="336349AB">
        <w:tblPrEx>
          <w:tblBorders>
            <w:top w:val="single" w:color="00000A" w:sz="12" w:space="0"/>
            <w:left w:val="single" w:color="00000A" w:sz="12" w:space="0"/>
            <w:bottom w:val="single" w:color="00000A" w:sz="12" w:space="0"/>
            <w:right w:val="single" w:color="00000A" w:sz="12" w:space="0"/>
            <w:insideH w:val="single" w:color="00000A" w:sz="4" w:space="0"/>
            <w:insideV w:val="single" w:color="00000A" w:sz="4" w:space="0"/>
          </w:tblBorders>
          <w:tblCellMar>
            <w:top w:w="0" w:type="dxa"/>
            <w:left w:w="107" w:type="dxa"/>
            <w:bottom w:w="0" w:type="dxa"/>
            <w:right w:w="108" w:type="dxa"/>
          </w:tblCellMar>
        </w:tblPrEx>
        <w:trPr>
          <w:cantSplit/>
          <w:trHeight w:val="619" w:hRule="atLeast"/>
        </w:trPr>
        <w:tc>
          <w:tcPr>
            <w:tcW w:w="4526" w:type="dxa"/>
            <w:tcBorders>
              <w:tl2br w:val="nil"/>
              <w:tr2bl w:val="nil"/>
            </w:tcBorders>
            <w:noWrap w:val="0"/>
            <w:tcMar>
              <w:left w:w="107" w:type="dxa"/>
            </w:tcMar>
            <w:vAlign w:val="center"/>
          </w:tcPr>
          <w:p w14:paraId="3C1E7AF8">
            <w:pPr>
              <w:pStyle w:val="9"/>
              <w:spacing w:line="360" w:lineRule="exact"/>
              <w:jc w:val="center"/>
              <w:rPr>
                <w:rFonts w:hint="eastAsia" w:ascii="宋体" w:hAnsi="宋体" w:eastAsia="宋体" w:cs="宋体"/>
                <w:color w:val="auto"/>
                <w:highlight w:val="none"/>
                <w:lang w:val="en-US" w:eastAsia="zh-CN"/>
              </w:rPr>
            </w:pPr>
          </w:p>
        </w:tc>
        <w:tc>
          <w:tcPr>
            <w:tcW w:w="4003" w:type="dxa"/>
            <w:tcBorders>
              <w:tl2br w:val="nil"/>
              <w:tr2bl w:val="nil"/>
            </w:tcBorders>
            <w:noWrap w:val="0"/>
            <w:tcMar>
              <w:left w:w="107" w:type="dxa"/>
            </w:tcMar>
            <w:vAlign w:val="center"/>
          </w:tcPr>
          <w:p w14:paraId="45F55826">
            <w:pPr>
              <w:pStyle w:val="9"/>
              <w:spacing w:line="360" w:lineRule="exact"/>
              <w:jc w:val="center"/>
              <w:rPr>
                <w:rFonts w:hint="eastAsia" w:ascii="宋体" w:hAnsi="宋体" w:cs="宋体"/>
                <w:color w:val="auto"/>
                <w:highlight w:val="none"/>
              </w:rPr>
            </w:pPr>
          </w:p>
        </w:tc>
      </w:tr>
      <w:tr w14:paraId="6161A44C">
        <w:tblPrEx>
          <w:tblBorders>
            <w:top w:val="single" w:color="00000A" w:sz="12" w:space="0"/>
            <w:left w:val="single" w:color="00000A" w:sz="12" w:space="0"/>
            <w:bottom w:val="single" w:color="00000A" w:sz="12" w:space="0"/>
            <w:right w:val="single" w:color="00000A" w:sz="12" w:space="0"/>
            <w:insideH w:val="single" w:color="00000A" w:sz="4" w:space="0"/>
            <w:insideV w:val="single" w:color="00000A" w:sz="4" w:space="0"/>
          </w:tblBorders>
          <w:tblCellMar>
            <w:top w:w="0" w:type="dxa"/>
            <w:left w:w="107" w:type="dxa"/>
            <w:bottom w:w="0" w:type="dxa"/>
            <w:right w:w="108" w:type="dxa"/>
          </w:tblCellMar>
        </w:tblPrEx>
        <w:trPr>
          <w:cantSplit/>
          <w:trHeight w:val="619" w:hRule="atLeast"/>
        </w:trPr>
        <w:tc>
          <w:tcPr>
            <w:tcW w:w="4526" w:type="dxa"/>
            <w:tcBorders>
              <w:tl2br w:val="nil"/>
              <w:tr2bl w:val="nil"/>
            </w:tcBorders>
            <w:noWrap w:val="0"/>
            <w:tcMar>
              <w:left w:w="107" w:type="dxa"/>
            </w:tcMar>
            <w:vAlign w:val="center"/>
          </w:tcPr>
          <w:p w14:paraId="36850E1F">
            <w:pPr>
              <w:pStyle w:val="9"/>
              <w:spacing w:line="360" w:lineRule="exact"/>
              <w:jc w:val="center"/>
              <w:rPr>
                <w:rFonts w:hint="eastAsia" w:ascii="宋体" w:hAnsi="宋体" w:eastAsia="宋体" w:cs="宋体"/>
                <w:color w:val="auto"/>
                <w:highlight w:val="none"/>
                <w:lang w:val="en-US" w:eastAsia="zh-CN"/>
              </w:rPr>
            </w:pPr>
          </w:p>
        </w:tc>
        <w:tc>
          <w:tcPr>
            <w:tcW w:w="4003" w:type="dxa"/>
            <w:tcBorders>
              <w:tl2br w:val="nil"/>
              <w:tr2bl w:val="nil"/>
            </w:tcBorders>
            <w:noWrap w:val="0"/>
            <w:tcMar>
              <w:left w:w="107" w:type="dxa"/>
            </w:tcMar>
            <w:vAlign w:val="center"/>
          </w:tcPr>
          <w:p w14:paraId="487F0ED1">
            <w:pPr>
              <w:pStyle w:val="9"/>
              <w:spacing w:line="360" w:lineRule="exact"/>
              <w:jc w:val="center"/>
              <w:rPr>
                <w:rFonts w:hint="eastAsia" w:ascii="宋体" w:hAnsi="宋体" w:cs="宋体"/>
                <w:color w:val="auto"/>
                <w:highlight w:val="none"/>
              </w:rPr>
            </w:pPr>
          </w:p>
        </w:tc>
      </w:tr>
      <w:tr w14:paraId="227E03D3">
        <w:tblPrEx>
          <w:tblBorders>
            <w:top w:val="single" w:color="00000A" w:sz="12" w:space="0"/>
            <w:left w:val="single" w:color="00000A" w:sz="12" w:space="0"/>
            <w:bottom w:val="single" w:color="00000A" w:sz="12" w:space="0"/>
            <w:right w:val="single" w:color="00000A" w:sz="12" w:space="0"/>
            <w:insideH w:val="single" w:color="00000A" w:sz="4" w:space="0"/>
            <w:insideV w:val="single" w:color="00000A" w:sz="4" w:space="0"/>
          </w:tblBorders>
          <w:tblCellMar>
            <w:top w:w="0" w:type="dxa"/>
            <w:left w:w="107" w:type="dxa"/>
            <w:bottom w:w="0" w:type="dxa"/>
            <w:right w:w="108" w:type="dxa"/>
          </w:tblCellMar>
        </w:tblPrEx>
        <w:trPr>
          <w:cantSplit/>
          <w:trHeight w:val="619" w:hRule="atLeast"/>
        </w:trPr>
        <w:tc>
          <w:tcPr>
            <w:tcW w:w="4526" w:type="dxa"/>
            <w:tcBorders>
              <w:tl2br w:val="nil"/>
              <w:tr2bl w:val="nil"/>
            </w:tcBorders>
            <w:noWrap w:val="0"/>
            <w:tcMar>
              <w:left w:w="107" w:type="dxa"/>
            </w:tcMar>
            <w:vAlign w:val="center"/>
          </w:tcPr>
          <w:p w14:paraId="0BED0092">
            <w:pPr>
              <w:pStyle w:val="9"/>
              <w:spacing w:line="360" w:lineRule="exact"/>
              <w:jc w:val="center"/>
              <w:rPr>
                <w:rFonts w:hint="eastAsia" w:ascii="宋体" w:hAnsi="宋体" w:eastAsia="宋体" w:cs="宋体"/>
                <w:color w:val="auto"/>
                <w:highlight w:val="none"/>
                <w:lang w:val="en-US" w:eastAsia="zh-CN"/>
              </w:rPr>
            </w:pPr>
          </w:p>
        </w:tc>
        <w:tc>
          <w:tcPr>
            <w:tcW w:w="4003" w:type="dxa"/>
            <w:tcBorders>
              <w:tl2br w:val="nil"/>
              <w:tr2bl w:val="nil"/>
            </w:tcBorders>
            <w:noWrap w:val="0"/>
            <w:tcMar>
              <w:left w:w="107" w:type="dxa"/>
            </w:tcMar>
            <w:vAlign w:val="center"/>
          </w:tcPr>
          <w:p w14:paraId="55FF7B1D">
            <w:pPr>
              <w:pStyle w:val="9"/>
              <w:spacing w:line="360" w:lineRule="exact"/>
              <w:jc w:val="center"/>
              <w:rPr>
                <w:rFonts w:hint="eastAsia" w:ascii="宋体" w:hAnsi="宋体" w:cs="宋体"/>
                <w:color w:val="auto"/>
                <w:highlight w:val="none"/>
              </w:rPr>
            </w:pPr>
          </w:p>
        </w:tc>
      </w:tr>
      <w:tr w14:paraId="7D833F44">
        <w:tblPrEx>
          <w:tblBorders>
            <w:top w:val="single" w:color="00000A" w:sz="12" w:space="0"/>
            <w:left w:val="single" w:color="00000A" w:sz="12" w:space="0"/>
            <w:bottom w:val="single" w:color="00000A" w:sz="12" w:space="0"/>
            <w:right w:val="single" w:color="00000A" w:sz="12" w:space="0"/>
            <w:insideH w:val="single" w:color="00000A" w:sz="4" w:space="0"/>
            <w:insideV w:val="single" w:color="00000A" w:sz="4" w:space="0"/>
          </w:tblBorders>
          <w:tblCellMar>
            <w:top w:w="0" w:type="dxa"/>
            <w:left w:w="107" w:type="dxa"/>
            <w:bottom w:w="0" w:type="dxa"/>
            <w:right w:w="108" w:type="dxa"/>
          </w:tblCellMar>
        </w:tblPrEx>
        <w:trPr>
          <w:cantSplit/>
          <w:trHeight w:val="619" w:hRule="atLeast"/>
        </w:trPr>
        <w:tc>
          <w:tcPr>
            <w:tcW w:w="4526" w:type="dxa"/>
            <w:tcBorders>
              <w:tl2br w:val="nil"/>
              <w:tr2bl w:val="nil"/>
            </w:tcBorders>
            <w:noWrap w:val="0"/>
            <w:tcMar>
              <w:left w:w="107" w:type="dxa"/>
            </w:tcMar>
            <w:vAlign w:val="center"/>
          </w:tcPr>
          <w:p w14:paraId="7CF48163">
            <w:pPr>
              <w:pStyle w:val="9"/>
              <w:spacing w:line="360" w:lineRule="exact"/>
              <w:jc w:val="center"/>
              <w:rPr>
                <w:rFonts w:hint="eastAsia" w:ascii="宋体" w:hAnsi="宋体" w:eastAsia="宋体" w:cs="宋体"/>
                <w:color w:val="auto"/>
                <w:highlight w:val="none"/>
                <w:lang w:val="en-US" w:eastAsia="zh-CN"/>
              </w:rPr>
            </w:pPr>
          </w:p>
        </w:tc>
        <w:tc>
          <w:tcPr>
            <w:tcW w:w="4003" w:type="dxa"/>
            <w:tcBorders>
              <w:tl2br w:val="nil"/>
              <w:tr2bl w:val="nil"/>
            </w:tcBorders>
            <w:noWrap w:val="0"/>
            <w:tcMar>
              <w:left w:w="107" w:type="dxa"/>
            </w:tcMar>
            <w:vAlign w:val="center"/>
          </w:tcPr>
          <w:p w14:paraId="5B11E2F2">
            <w:pPr>
              <w:pStyle w:val="9"/>
              <w:spacing w:line="360" w:lineRule="exact"/>
              <w:jc w:val="center"/>
              <w:rPr>
                <w:rFonts w:hint="eastAsia" w:ascii="宋体" w:hAnsi="宋体" w:cs="宋体"/>
                <w:color w:val="auto"/>
                <w:highlight w:val="none"/>
              </w:rPr>
            </w:pPr>
          </w:p>
        </w:tc>
      </w:tr>
      <w:tr w14:paraId="60332BBD">
        <w:tblPrEx>
          <w:tblBorders>
            <w:top w:val="single" w:color="00000A" w:sz="12" w:space="0"/>
            <w:left w:val="single" w:color="00000A" w:sz="12" w:space="0"/>
            <w:bottom w:val="single" w:color="00000A" w:sz="12" w:space="0"/>
            <w:right w:val="single" w:color="00000A" w:sz="12" w:space="0"/>
            <w:insideH w:val="single" w:color="00000A" w:sz="4" w:space="0"/>
            <w:insideV w:val="single" w:color="00000A" w:sz="4" w:space="0"/>
          </w:tblBorders>
          <w:tblCellMar>
            <w:top w:w="0" w:type="dxa"/>
            <w:left w:w="107" w:type="dxa"/>
            <w:bottom w:w="0" w:type="dxa"/>
            <w:right w:w="108" w:type="dxa"/>
          </w:tblCellMar>
        </w:tblPrEx>
        <w:trPr>
          <w:cantSplit/>
          <w:trHeight w:val="619" w:hRule="atLeast"/>
        </w:trPr>
        <w:tc>
          <w:tcPr>
            <w:tcW w:w="4526" w:type="dxa"/>
            <w:tcBorders>
              <w:tl2br w:val="nil"/>
              <w:tr2bl w:val="nil"/>
            </w:tcBorders>
            <w:noWrap w:val="0"/>
            <w:tcMar>
              <w:left w:w="107" w:type="dxa"/>
            </w:tcMar>
            <w:vAlign w:val="center"/>
          </w:tcPr>
          <w:p w14:paraId="0A53E01E">
            <w:pPr>
              <w:pStyle w:val="9"/>
              <w:spacing w:line="360" w:lineRule="exact"/>
              <w:jc w:val="center"/>
              <w:rPr>
                <w:rFonts w:hint="eastAsia" w:ascii="宋体" w:hAnsi="宋体" w:eastAsia="宋体" w:cs="宋体"/>
                <w:color w:val="auto"/>
                <w:highlight w:val="none"/>
                <w:lang w:val="en-US" w:eastAsia="zh-CN"/>
              </w:rPr>
            </w:pPr>
          </w:p>
        </w:tc>
        <w:tc>
          <w:tcPr>
            <w:tcW w:w="4003" w:type="dxa"/>
            <w:tcBorders>
              <w:tl2br w:val="nil"/>
              <w:tr2bl w:val="nil"/>
            </w:tcBorders>
            <w:noWrap w:val="0"/>
            <w:tcMar>
              <w:left w:w="107" w:type="dxa"/>
            </w:tcMar>
            <w:vAlign w:val="center"/>
          </w:tcPr>
          <w:p w14:paraId="159F534B">
            <w:pPr>
              <w:pStyle w:val="9"/>
              <w:spacing w:line="360" w:lineRule="exact"/>
              <w:jc w:val="center"/>
              <w:rPr>
                <w:rFonts w:hint="eastAsia" w:ascii="宋体" w:hAnsi="宋体" w:cs="宋体"/>
                <w:color w:val="auto"/>
                <w:highlight w:val="none"/>
              </w:rPr>
            </w:pPr>
          </w:p>
        </w:tc>
      </w:tr>
      <w:tr w14:paraId="5081E252">
        <w:tblPrEx>
          <w:tblBorders>
            <w:top w:val="single" w:color="00000A" w:sz="12" w:space="0"/>
            <w:left w:val="single" w:color="00000A" w:sz="12" w:space="0"/>
            <w:bottom w:val="single" w:color="00000A" w:sz="12" w:space="0"/>
            <w:right w:val="single" w:color="00000A" w:sz="12" w:space="0"/>
            <w:insideH w:val="single" w:color="00000A" w:sz="4" w:space="0"/>
            <w:insideV w:val="single" w:color="00000A" w:sz="4" w:space="0"/>
          </w:tblBorders>
          <w:tblCellMar>
            <w:top w:w="0" w:type="dxa"/>
            <w:left w:w="107" w:type="dxa"/>
            <w:bottom w:w="0" w:type="dxa"/>
            <w:right w:w="108" w:type="dxa"/>
          </w:tblCellMar>
        </w:tblPrEx>
        <w:trPr>
          <w:cantSplit/>
          <w:trHeight w:val="619" w:hRule="atLeast"/>
        </w:trPr>
        <w:tc>
          <w:tcPr>
            <w:tcW w:w="4526" w:type="dxa"/>
            <w:tcBorders>
              <w:tl2br w:val="nil"/>
              <w:tr2bl w:val="nil"/>
            </w:tcBorders>
            <w:noWrap w:val="0"/>
            <w:tcMar>
              <w:left w:w="107" w:type="dxa"/>
            </w:tcMar>
            <w:vAlign w:val="center"/>
          </w:tcPr>
          <w:p w14:paraId="5B974E41">
            <w:pPr>
              <w:pStyle w:val="9"/>
              <w:spacing w:line="360" w:lineRule="exact"/>
              <w:jc w:val="center"/>
              <w:rPr>
                <w:rFonts w:hint="eastAsia" w:ascii="宋体" w:hAnsi="宋体" w:eastAsia="宋体" w:cs="宋体"/>
                <w:color w:val="auto"/>
                <w:highlight w:val="none"/>
                <w:lang w:val="en-US" w:eastAsia="zh-CN"/>
              </w:rPr>
            </w:pPr>
          </w:p>
        </w:tc>
        <w:tc>
          <w:tcPr>
            <w:tcW w:w="4003" w:type="dxa"/>
            <w:tcBorders>
              <w:tl2br w:val="nil"/>
              <w:tr2bl w:val="nil"/>
            </w:tcBorders>
            <w:noWrap w:val="0"/>
            <w:tcMar>
              <w:left w:w="107" w:type="dxa"/>
            </w:tcMar>
            <w:vAlign w:val="center"/>
          </w:tcPr>
          <w:p w14:paraId="10A9C8FB">
            <w:pPr>
              <w:pStyle w:val="9"/>
              <w:spacing w:line="360" w:lineRule="exact"/>
              <w:jc w:val="center"/>
              <w:rPr>
                <w:rFonts w:hint="eastAsia" w:ascii="宋体" w:hAnsi="宋体" w:cs="宋体"/>
                <w:color w:val="auto"/>
                <w:highlight w:val="none"/>
              </w:rPr>
            </w:pPr>
          </w:p>
        </w:tc>
      </w:tr>
    </w:tbl>
    <w:p w14:paraId="65415E99">
      <w:pPr>
        <w:pStyle w:val="9"/>
        <w:spacing w:line="320" w:lineRule="exact"/>
        <w:rPr>
          <w:rFonts w:hint="eastAsia" w:ascii="宋体" w:hAnsi="宋体" w:eastAsia="Times New Roman" w:cs="Times New Roman"/>
          <w:bCs/>
          <w:color w:val="auto"/>
          <w:sz w:val="18"/>
          <w:szCs w:val="18"/>
          <w:highlight w:val="none"/>
          <w:lang w:val="en-US" w:eastAsia="zh-CN"/>
        </w:rPr>
      </w:pPr>
      <w:r>
        <w:rPr>
          <w:rFonts w:hint="eastAsia" w:ascii="宋体" w:hAnsi="宋体" w:eastAsia="Times New Roman" w:cs="Times New Roman"/>
          <w:bCs/>
          <w:color w:val="auto"/>
          <w:sz w:val="18"/>
          <w:szCs w:val="18"/>
          <w:highlight w:val="none"/>
          <w:lang w:val="en-US" w:eastAsia="zh-CN"/>
        </w:rPr>
        <w:t xml:space="preserve">注：1.投标人应根据本表左侧内容，在本表右侧说明其信誉情况。 </w:t>
      </w:r>
    </w:p>
    <w:p w14:paraId="6C739C2F">
      <w:pPr>
        <w:pStyle w:val="9"/>
        <w:spacing w:line="320" w:lineRule="exact"/>
        <w:ind w:firstLine="360" w:firstLineChars="200"/>
        <w:rPr>
          <w:rFonts w:hint="eastAsia" w:ascii="宋体" w:hAnsi="宋体" w:eastAsia="宋体" w:cs="宋体"/>
          <w:color w:val="auto"/>
          <w:sz w:val="18"/>
          <w:szCs w:val="18"/>
          <w:highlight w:val="none"/>
          <w:lang w:val="en-US" w:eastAsia="zh-CN"/>
        </w:rPr>
      </w:pPr>
      <w:r>
        <w:rPr>
          <w:rFonts w:hint="eastAsia" w:ascii="宋体" w:hAnsi="宋体" w:eastAsia="Times New Roman" w:cs="Times New Roman"/>
          <w:bCs/>
          <w:color w:val="auto"/>
          <w:sz w:val="18"/>
          <w:szCs w:val="18"/>
          <w:highlight w:val="none"/>
          <w:lang w:val="en-US" w:eastAsia="zh-CN"/>
        </w:rPr>
        <w:t>2.</w:t>
      </w:r>
      <w:r>
        <w:rPr>
          <w:rFonts w:hint="eastAsia" w:ascii="宋体" w:hAnsi="宋体" w:eastAsia="宋体" w:cs="宋体"/>
          <w:color w:val="auto"/>
          <w:sz w:val="18"/>
          <w:szCs w:val="18"/>
          <w:highlight w:val="none"/>
          <w:lang w:val="en-US" w:eastAsia="zh-CN"/>
        </w:rPr>
        <w:t xml:space="preserve">投标人应在本表后附投标人在国家企业信用信息公示系统中未被列入严重违法失信企业名单、在“信用中国”网站中未被列入失信被执行人名单的网页截图。 </w:t>
      </w:r>
    </w:p>
    <w:p w14:paraId="011116C8">
      <w:pPr>
        <w:pStyle w:val="9"/>
        <w:spacing w:line="320" w:lineRule="exact"/>
        <w:ind w:firstLine="360" w:firstLineChars="200"/>
        <w:rPr>
          <w:rFonts w:hint="eastAsia" w:ascii="宋体" w:hAnsi="宋体" w:eastAsia="Times New Roman" w:cs="Times New Roman"/>
          <w:b/>
          <w:bCs w:val="0"/>
          <w:color w:val="auto"/>
          <w:sz w:val="18"/>
          <w:szCs w:val="18"/>
          <w:highlight w:val="none"/>
        </w:rPr>
      </w:pPr>
      <w:r>
        <w:rPr>
          <w:rFonts w:hint="eastAsia" w:ascii="宋体" w:hAnsi="宋体" w:eastAsia="Times New Roman" w:cs="Times New Roman"/>
          <w:b/>
          <w:bCs w:val="0"/>
          <w:color w:val="auto"/>
          <w:sz w:val="18"/>
          <w:szCs w:val="18"/>
          <w:highlight w:val="none"/>
          <w:lang w:val="en-US" w:eastAsia="zh-CN"/>
        </w:rPr>
        <w:t>3.以联合体形式参与投标的，联合体各成员应分别填写本表，并附第2条要求的相关资料截图。</w:t>
      </w:r>
    </w:p>
    <w:p w14:paraId="0D328FE0">
      <w:pPr>
        <w:pStyle w:val="52"/>
        <w:spacing w:line="500" w:lineRule="exact"/>
        <w:jc w:val="center"/>
        <w:outlineLvl w:val="2"/>
        <w:rPr>
          <w:color w:val="auto"/>
          <w:sz w:val="30"/>
          <w:szCs w:val="30"/>
          <w:highlight w:val="none"/>
        </w:rPr>
      </w:pPr>
      <w:r>
        <w:rPr>
          <w:rFonts w:eastAsia="宋体"/>
          <w:b/>
          <w:color w:val="auto"/>
          <w:sz w:val="18"/>
          <w:szCs w:val="18"/>
          <w:highlight w:val="none"/>
        </w:rPr>
        <w:br w:type="page"/>
      </w:r>
      <w:bookmarkStart w:id="855" w:name="_Toc2781"/>
      <w:r>
        <w:rPr>
          <w:color w:val="auto"/>
          <w:sz w:val="30"/>
          <w:szCs w:val="30"/>
          <w:highlight w:val="none"/>
        </w:rPr>
        <w:t>八、承诺函</w:t>
      </w:r>
      <w:bookmarkEnd w:id="855"/>
    </w:p>
    <w:p w14:paraId="78FA7D8E">
      <w:pPr>
        <w:pStyle w:val="72"/>
        <w:spacing w:line="360" w:lineRule="auto"/>
        <w:rPr>
          <w:color w:val="auto"/>
          <w:highlight w:val="none"/>
        </w:rPr>
      </w:pPr>
    </w:p>
    <w:p w14:paraId="2FA53401">
      <w:pPr>
        <w:pStyle w:val="72"/>
        <w:rPr>
          <w:color w:val="auto"/>
          <w:highlight w:val="none"/>
        </w:rPr>
      </w:pPr>
    </w:p>
    <w:p w14:paraId="57044E31">
      <w:pPr>
        <w:pStyle w:val="72"/>
        <w:rPr>
          <w:color w:val="auto"/>
          <w:highlight w:val="none"/>
        </w:rPr>
      </w:pPr>
    </w:p>
    <w:p w14:paraId="55DB14F0">
      <w:pPr>
        <w:pStyle w:val="72"/>
        <w:rPr>
          <w:color w:val="auto"/>
          <w:highlight w:val="none"/>
        </w:rPr>
      </w:pPr>
      <w:r>
        <w:rPr>
          <w:rFonts w:hint="eastAsia"/>
          <w:color w:val="auto"/>
          <w:highlight w:val="none"/>
        </w:rPr>
        <w:t>_________________________（招标人名称）：</w:t>
      </w:r>
    </w:p>
    <w:p w14:paraId="4F15CC86">
      <w:pPr>
        <w:pStyle w:val="72"/>
        <w:spacing w:line="360" w:lineRule="exact"/>
        <w:rPr>
          <w:color w:val="auto"/>
          <w:highlight w:val="none"/>
        </w:rPr>
      </w:pPr>
    </w:p>
    <w:p w14:paraId="32EAC663">
      <w:pPr>
        <w:pStyle w:val="72"/>
        <w:keepNext w:val="0"/>
        <w:keepLines w:val="0"/>
        <w:pageBreakBefore w:val="0"/>
        <w:widowControl w:val="0"/>
        <w:kinsoku/>
        <w:wordWrap/>
        <w:overflowPunct/>
        <w:topLinePunct w:val="0"/>
        <w:autoSpaceDE/>
        <w:autoSpaceDN/>
        <w:bidi w:val="0"/>
        <w:adjustRightInd/>
        <w:snapToGrid/>
        <w:spacing w:line="440" w:lineRule="exact"/>
        <w:ind w:firstLine="437"/>
        <w:textAlignment w:val="auto"/>
        <w:rPr>
          <w:rFonts w:hint="eastAsia" w:ascii="Times New Roman" w:hAnsi="Times New Roman" w:eastAsia="宋体" w:cs="Times New Roman"/>
          <w:color w:val="auto"/>
          <w:highlight w:val="none"/>
        </w:rPr>
      </w:pPr>
      <w:r>
        <w:rPr>
          <w:rFonts w:hint="eastAsia"/>
          <w:color w:val="auto"/>
          <w:highlight w:val="none"/>
        </w:rPr>
        <w:t>我方参加了_________（项目名称）施工投标，若我方中标，我方</w:t>
      </w:r>
      <w:r>
        <w:rPr>
          <w:rFonts w:hint="eastAsia" w:ascii="Times New Roman" w:hAnsi="Times New Roman" w:eastAsia="宋体" w:cs="Times New Roman"/>
          <w:color w:val="auto"/>
          <w:highlight w:val="none"/>
        </w:rPr>
        <w:t>在此承诺：</w:t>
      </w:r>
    </w:p>
    <w:p w14:paraId="747F91A6">
      <w:pPr>
        <w:pStyle w:val="72"/>
        <w:keepNext w:val="0"/>
        <w:keepLines w:val="0"/>
        <w:pageBreakBefore w:val="0"/>
        <w:widowControl w:val="0"/>
        <w:kinsoku/>
        <w:wordWrap/>
        <w:overflowPunct/>
        <w:topLinePunct w:val="0"/>
        <w:autoSpaceDE/>
        <w:autoSpaceDN/>
        <w:bidi w:val="0"/>
        <w:adjustRightInd/>
        <w:snapToGrid/>
        <w:spacing w:line="440" w:lineRule="exact"/>
        <w:ind w:firstLine="437"/>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en-US" w:eastAsia="zh-CN"/>
        </w:rPr>
        <w:t xml:space="preserve">若本项目招标文件未要求我方在投标文件中填报派驻本标段的其他主要管理人员和技术人员及主要机械设备和试验检测设备，在招标人向我方发出中标通知书之前，我方将按照合同附件提出的最低要求填报派驻本标段的其他主要管理人员和技术人员及必要的养护机械设备和检测设备，在经招标人审批后作为派驻本标段的项目管理机构主要人员和主要设备不进行更换。 </w:t>
      </w:r>
    </w:p>
    <w:p w14:paraId="158279FC">
      <w:pPr>
        <w:pStyle w:val="72"/>
        <w:keepNext w:val="0"/>
        <w:keepLines w:val="0"/>
        <w:pageBreakBefore w:val="0"/>
        <w:widowControl w:val="0"/>
        <w:kinsoku/>
        <w:wordWrap/>
        <w:overflowPunct/>
        <w:topLinePunct w:val="0"/>
        <w:autoSpaceDE/>
        <w:autoSpaceDN/>
        <w:bidi w:val="0"/>
        <w:adjustRightInd/>
        <w:snapToGrid/>
        <w:spacing w:line="440" w:lineRule="exact"/>
        <w:ind w:firstLine="437"/>
        <w:textAlignment w:val="auto"/>
        <w:rPr>
          <w:color w:val="auto"/>
          <w:highlight w:val="none"/>
        </w:rPr>
      </w:pPr>
      <w:r>
        <w:rPr>
          <w:rFonts w:hint="eastAsia"/>
          <w:color w:val="auto"/>
          <w:highlight w:val="none"/>
        </w:rPr>
        <w:t>在</w:t>
      </w:r>
      <w:r>
        <w:rPr>
          <w:rFonts w:hint="eastAsia"/>
          <w:color w:val="auto"/>
          <w:highlight w:val="none"/>
          <w:lang w:val="en-US" w:eastAsia="zh-CN"/>
        </w:rPr>
        <w:t>签订合同协议书</w:t>
      </w:r>
      <w:r>
        <w:rPr>
          <w:rFonts w:hint="eastAsia"/>
          <w:color w:val="auto"/>
          <w:highlight w:val="none"/>
        </w:rPr>
        <w:t>前接受</w:t>
      </w:r>
      <w:r>
        <w:rPr>
          <w:rFonts w:hint="eastAsia"/>
          <w:color w:val="auto"/>
          <w:highlight w:val="none"/>
          <w:lang w:val="en-US" w:eastAsia="zh-CN"/>
        </w:rPr>
        <w:t>招标人对我单位</w:t>
      </w:r>
      <w:r>
        <w:rPr>
          <w:rFonts w:hint="eastAsia"/>
          <w:color w:val="auto"/>
          <w:highlight w:val="none"/>
        </w:rPr>
        <w:t>明显不平衡报价的修正。</w:t>
      </w:r>
    </w:p>
    <w:p w14:paraId="7F9C912E">
      <w:pPr>
        <w:pStyle w:val="72"/>
        <w:keepNext w:val="0"/>
        <w:keepLines w:val="0"/>
        <w:pageBreakBefore w:val="0"/>
        <w:widowControl w:val="0"/>
        <w:kinsoku/>
        <w:wordWrap/>
        <w:overflowPunct/>
        <w:topLinePunct w:val="0"/>
        <w:autoSpaceDE/>
        <w:autoSpaceDN/>
        <w:bidi w:val="0"/>
        <w:adjustRightInd/>
        <w:snapToGrid/>
        <w:spacing w:line="440" w:lineRule="exact"/>
        <w:ind w:firstLine="437"/>
        <w:textAlignment w:val="auto"/>
        <w:rPr>
          <w:color w:val="auto"/>
          <w:highlight w:val="none"/>
        </w:rPr>
      </w:pPr>
      <w:r>
        <w:rPr>
          <w:rFonts w:hint="eastAsia"/>
          <w:color w:val="auto"/>
          <w:highlight w:val="none"/>
        </w:rPr>
        <w:t>如我方违背了上述承诺，本项目招标人有权取消我方的中标资格，并由招标人将我方的违约行为上报省级交通主管部门。</w:t>
      </w:r>
    </w:p>
    <w:p w14:paraId="74F8EE70">
      <w:pPr>
        <w:pStyle w:val="72"/>
        <w:spacing w:line="360" w:lineRule="exact"/>
        <w:ind w:firstLine="435"/>
        <w:rPr>
          <w:color w:val="auto"/>
          <w:highlight w:val="none"/>
        </w:rPr>
      </w:pPr>
    </w:p>
    <w:p w14:paraId="03A751E4">
      <w:pPr>
        <w:pStyle w:val="9"/>
        <w:spacing w:line="500" w:lineRule="exact"/>
        <w:ind w:firstLine="3150" w:firstLineChars="1500"/>
        <w:rPr>
          <w:rFonts w:ascii="宋体" w:hAnsi="宋体"/>
          <w:color w:val="auto"/>
          <w:szCs w:val="21"/>
          <w:highlight w:val="none"/>
        </w:rPr>
      </w:pPr>
      <w:r>
        <w:rPr>
          <w:rFonts w:ascii="宋体" w:hAnsi="宋体"/>
          <w:color w:val="auto"/>
          <w:szCs w:val="21"/>
          <w:highlight w:val="none"/>
        </w:rPr>
        <w:t>投  标  人：</w:t>
      </w:r>
      <w:r>
        <w:rPr>
          <w:rFonts w:ascii="宋体" w:hAnsi="宋体"/>
          <w:color w:val="auto"/>
          <w:szCs w:val="21"/>
          <w:highlight w:val="none"/>
          <w:u w:val="single"/>
        </w:rPr>
        <w:t xml:space="preserve">                </w:t>
      </w:r>
      <w:r>
        <w:rPr>
          <w:rFonts w:ascii="宋体" w:hAnsi="宋体"/>
          <w:color w:val="auto"/>
          <w:szCs w:val="21"/>
          <w:highlight w:val="none"/>
        </w:rPr>
        <w:t>（</w:t>
      </w:r>
      <w:r>
        <w:rPr>
          <w:rFonts w:hint="eastAsia" w:ascii="宋体" w:hAnsi="宋体"/>
          <w:color w:val="auto"/>
          <w:szCs w:val="21"/>
          <w:highlight w:val="none"/>
        </w:rPr>
        <w:t>盖单位电子公章</w:t>
      </w:r>
      <w:r>
        <w:rPr>
          <w:rFonts w:ascii="宋体" w:hAnsi="宋体"/>
          <w:color w:val="auto"/>
          <w:szCs w:val="21"/>
          <w:highlight w:val="none"/>
        </w:rPr>
        <w:t>）</w:t>
      </w:r>
    </w:p>
    <w:p w14:paraId="77CF819B">
      <w:pPr>
        <w:pStyle w:val="9"/>
        <w:spacing w:line="500" w:lineRule="exact"/>
        <w:rPr>
          <w:rFonts w:ascii="宋体" w:hAnsi="宋体"/>
          <w:color w:val="auto"/>
          <w:szCs w:val="21"/>
          <w:highlight w:val="none"/>
        </w:rPr>
      </w:pPr>
      <w:r>
        <w:rPr>
          <w:rFonts w:ascii="宋体" w:hAnsi="宋体"/>
          <w:color w:val="auto"/>
          <w:szCs w:val="21"/>
          <w:highlight w:val="none"/>
        </w:rPr>
        <w:t xml:space="preserve">                              法定代表人：</w:t>
      </w:r>
      <w:r>
        <w:rPr>
          <w:rFonts w:ascii="宋体" w:hAnsi="宋体"/>
          <w:color w:val="auto"/>
          <w:szCs w:val="21"/>
          <w:highlight w:val="none"/>
          <w:u w:val="single"/>
        </w:rPr>
        <w:t xml:space="preserve">            </w:t>
      </w:r>
      <w:r>
        <w:rPr>
          <w:rFonts w:ascii="宋体" w:hAnsi="宋体"/>
          <w:color w:val="auto"/>
          <w:szCs w:val="21"/>
          <w:highlight w:val="none"/>
        </w:rPr>
        <w:t>（</w:t>
      </w:r>
      <w:r>
        <w:rPr>
          <w:rFonts w:hint="eastAsia" w:ascii="宋体" w:hAnsi="宋体"/>
          <w:color w:val="auto"/>
          <w:szCs w:val="21"/>
          <w:highlight w:val="none"/>
        </w:rPr>
        <w:t>盖法定代表人电子章</w:t>
      </w:r>
      <w:r>
        <w:rPr>
          <w:rFonts w:ascii="宋体" w:hAnsi="宋体"/>
          <w:color w:val="auto"/>
          <w:szCs w:val="21"/>
          <w:highlight w:val="none"/>
        </w:rPr>
        <w:t>）</w:t>
      </w:r>
    </w:p>
    <w:p w14:paraId="16A7C4CF">
      <w:pPr>
        <w:pStyle w:val="9"/>
        <w:spacing w:line="420" w:lineRule="exact"/>
        <w:ind w:firstLine="4935" w:firstLineChars="2350"/>
        <w:rPr>
          <w:color w:val="auto"/>
          <w:szCs w:val="21"/>
          <w:highlight w:val="none"/>
          <w:u w:val="single"/>
        </w:rPr>
      </w:pPr>
    </w:p>
    <w:p w14:paraId="221D3964">
      <w:pPr>
        <w:pStyle w:val="9"/>
        <w:spacing w:line="420" w:lineRule="exact"/>
        <w:ind w:firstLine="4935" w:firstLineChars="2350"/>
        <w:rPr>
          <w:color w:val="auto"/>
          <w:szCs w:val="21"/>
          <w:highlight w:val="none"/>
        </w:rPr>
      </w:pPr>
      <w:r>
        <w:rPr>
          <w:color w:val="auto"/>
          <w:szCs w:val="21"/>
          <w:highlight w:val="none"/>
          <w:u w:val="single"/>
        </w:rPr>
        <w:t xml:space="preserve">        </w:t>
      </w:r>
      <w:r>
        <w:rPr>
          <w:color w:val="auto"/>
          <w:szCs w:val="21"/>
          <w:highlight w:val="none"/>
        </w:rPr>
        <w:t>年</w:t>
      </w:r>
      <w:r>
        <w:rPr>
          <w:color w:val="auto"/>
          <w:szCs w:val="21"/>
          <w:highlight w:val="none"/>
          <w:u w:val="single"/>
        </w:rPr>
        <w:t xml:space="preserve">    </w:t>
      </w:r>
      <w:r>
        <w:rPr>
          <w:color w:val="auto"/>
          <w:szCs w:val="21"/>
          <w:highlight w:val="none"/>
        </w:rPr>
        <w:t>月</w:t>
      </w:r>
      <w:r>
        <w:rPr>
          <w:color w:val="auto"/>
          <w:szCs w:val="21"/>
          <w:highlight w:val="none"/>
          <w:u w:val="single"/>
        </w:rPr>
        <w:t xml:space="preserve">    </w:t>
      </w:r>
      <w:r>
        <w:rPr>
          <w:color w:val="auto"/>
          <w:szCs w:val="21"/>
          <w:highlight w:val="none"/>
        </w:rPr>
        <w:t>日</w:t>
      </w:r>
    </w:p>
    <w:p w14:paraId="0377D71F">
      <w:pPr>
        <w:pStyle w:val="11"/>
        <w:rPr>
          <w:color w:val="auto"/>
          <w:highlight w:val="none"/>
        </w:rPr>
      </w:pPr>
    </w:p>
    <w:p w14:paraId="1E2442AF">
      <w:pPr>
        <w:rPr>
          <w:color w:val="auto"/>
          <w:highlight w:val="none"/>
        </w:rPr>
      </w:pPr>
    </w:p>
    <w:p w14:paraId="66740A55">
      <w:pPr>
        <w:pStyle w:val="37"/>
        <w:rPr>
          <w:color w:val="auto"/>
          <w:highlight w:val="none"/>
        </w:rPr>
      </w:pPr>
    </w:p>
    <w:p w14:paraId="04540D11">
      <w:pPr>
        <w:pStyle w:val="37"/>
        <w:rPr>
          <w:color w:val="auto"/>
          <w:highlight w:val="none"/>
        </w:rPr>
      </w:pPr>
    </w:p>
    <w:p w14:paraId="7B408E0B">
      <w:pPr>
        <w:pStyle w:val="37"/>
        <w:rPr>
          <w:color w:val="auto"/>
          <w:highlight w:val="none"/>
        </w:rPr>
      </w:pPr>
    </w:p>
    <w:p w14:paraId="37AB4ABE">
      <w:pPr>
        <w:pStyle w:val="37"/>
        <w:rPr>
          <w:color w:val="auto"/>
          <w:highlight w:val="none"/>
        </w:rPr>
      </w:pPr>
    </w:p>
    <w:p w14:paraId="3CBE07DE">
      <w:pPr>
        <w:keepNext w:val="0"/>
        <w:keepLines w:val="0"/>
        <w:widowControl/>
        <w:suppressLineNumbers w:val="0"/>
        <w:jc w:val="left"/>
        <w:rPr>
          <w:rFonts w:hint="eastAsia" w:ascii="宋体" w:hAnsi="宋体" w:eastAsia="宋体" w:cs="宋体"/>
          <w:color w:val="auto"/>
          <w:kern w:val="0"/>
          <w:sz w:val="18"/>
          <w:szCs w:val="18"/>
          <w:highlight w:val="none"/>
          <w:lang w:val="en-US" w:eastAsia="zh-CN" w:bidi="ar"/>
        </w:rPr>
      </w:pPr>
    </w:p>
    <w:p w14:paraId="7620F2BD">
      <w:pPr>
        <w:keepNext w:val="0"/>
        <w:keepLines w:val="0"/>
        <w:widowControl/>
        <w:suppressLineNumbers w:val="0"/>
        <w:jc w:val="left"/>
        <w:rPr>
          <w:color w:val="auto"/>
          <w:sz w:val="18"/>
          <w:szCs w:val="18"/>
          <w:highlight w:val="none"/>
        </w:rPr>
      </w:pPr>
      <w:r>
        <w:rPr>
          <w:rFonts w:hint="eastAsia" w:ascii="宋体" w:hAnsi="宋体" w:eastAsia="宋体" w:cs="宋体"/>
          <w:color w:val="auto"/>
          <w:kern w:val="0"/>
          <w:sz w:val="18"/>
          <w:szCs w:val="18"/>
          <w:highlight w:val="none"/>
          <w:lang w:val="en-US" w:eastAsia="zh-CN" w:bidi="ar"/>
        </w:rPr>
        <w:t>注：以联合体形式参加投标的，由联合体牵头人单位提供。</w:t>
      </w:r>
    </w:p>
    <w:p w14:paraId="39E9712A">
      <w:pPr>
        <w:pStyle w:val="37"/>
        <w:rPr>
          <w:color w:val="auto"/>
          <w:highlight w:val="none"/>
        </w:rPr>
      </w:pPr>
    </w:p>
    <w:p w14:paraId="45D4F63A">
      <w:pPr>
        <w:pStyle w:val="52"/>
        <w:keepNext/>
        <w:keepLines/>
        <w:pageBreakBefore w:val="0"/>
        <w:widowControl w:val="0"/>
        <w:kinsoku/>
        <w:wordWrap/>
        <w:overflowPunct/>
        <w:topLinePunct w:val="0"/>
        <w:autoSpaceDE/>
        <w:autoSpaceDN/>
        <w:bidi w:val="0"/>
        <w:adjustRightInd/>
        <w:snapToGrid/>
        <w:spacing w:before="0"/>
        <w:ind w:firstLine="601"/>
        <w:jc w:val="center"/>
        <w:textAlignment w:val="auto"/>
        <w:outlineLvl w:val="9"/>
        <w:rPr>
          <w:color w:val="auto"/>
          <w:highlight w:val="none"/>
        </w:rPr>
      </w:pPr>
      <w:r>
        <w:rPr>
          <w:color w:val="auto"/>
          <w:highlight w:val="none"/>
        </w:rPr>
        <w:br w:type="page"/>
      </w:r>
    </w:p>
    <w:p w14:paraId="1DDA3FEA">
      <w:pPr>
        <w:pStyle w:val="52"/>
        <w:ind w:firstLine="601"/>
        <w:jc w:val="center"/>
        <w:outlineLvl w:val="2"/>
        <w:rPr>
          <w:rFonts w:hint="eastAsia"/>
          <w:color w:val="auto"/>
          <w:highlight w:val="none"/>
        </w:rPr>
      </w:pPr>
      <w:bookmarkStart w:id="856" w:name="_Toc14039"/>
      <w:r>
        <w:rPr>
          <w:rFonts w:hint="eastAsia"/>
          <w:color w:val="auto"/>
          <w:sz w:val="30"/>
          <w:szCs w:val="30"/>
          <w:highlight w:val="none"/>
        </w:rPr>
        <w:t>九</w:t>
      </w:r>
      <w:r>
        <w:rPr>
          <w:color w:val="auto"/>
          <w:sz w:val="30"/>
          <w:szCs w:val="30"/>
          <w:highlight w:val="none"/>
        </w:rPr>
        <w:t>、投标人须知前附表规定的其他材料</w:t>
      </w:r>
      <w:bookmarkEnd w:id="804"/>
      <w:bookmarkEnd w:id="856"/>
    </w:p>
    <w:p w14:paraId="4D0D883D">
      <w:pPr>
        <w:rPr>
          <w:rFonts w:hint="eastAsia"/>
          <w:color w:val="auto"/>
          <w:sz w:val="20"/>
          <w:highlight w:val="none"/>
        </w:rPr>
      </w:pPr>
      <w:r>
        <w:rPr>
          <w:rFonts w:hint="eastAsia"/>
          <w:color w:val="auto"/>
          <w:sz w:val="20"/>
          <w:highlight w:val="none"/>
        </w:rPr>
        <w:t xml:space="preserve"> </w:t>
      </w:r>
      <w:bookmarkEnd w:id="0"/>
    </w:p>
    <w:p w14:paraId="2405D4F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auto"/>
          <w:highlight w:val="none"/>
          <w:lang w:val="en-US" w:eastAsia="zh-CN"/>
        </w:rPr>
      </w:pPr>
    </w:p>
    <w:p w14:paraId="6B298A2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highlight w:val="none"/>
          <w:lang w:val="en-US" w:eastAsia="zh-CN"/>
        </w:rPr>
      </w:pPr>
    </w:p>
    <w:p w14:paraId="3FB0A21A">
      <w:pPr>
        <w:pStyle w:val="37"/>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color w:val="auto"/>
          <w:highlight w:val="none"/>
          <w:lang w:val="en-US" w:eastAsia="zh-CN"/>
        </w:rPr>
      </w:pPr>
    </w:p>
    <w:p w14:paraId="719806B4">
      <w:pPr>
        <w:pStyle w:val="37"/>
        <w:keepNext w:val="0"/>
        <w:keepLines w:val="0"/>
        <w:pageBreakBefore w:val="0"/>
        <w:kinsoku/>
        <w:wordWrap/>
        <w:overflowPunct/>
        <w:topLinePunct w:val="0"/>
        <w:autoSpaceDE/>
        <w:autoSpaceDN/>
        <w:bidi w:val="0"/>
        <w:adjustRightInd/>
        <w:snapToGrid/>
        <w:textAlignment w:val="auto"/>
        <w:outlineLvl w:val="9"/>
        <w:rPr>
          <w:rFonts w:hint="eastAsia"/>
          <w:color w:val="auto"/>
          <w:highlight w:val="none"/>
          <w:lang w:val="en-US" w:eastAsia="zh-CN"/>
        </w:rPr>
      </w:pPr>
    </w:p>
    <w:p w14:paraId="11E32BE4">
      <w:pPr>
        <w:pStyle w:val="37"/>
        <w:keepNext w:val="0"/>
        <w:keepLines w:val="0"/>
        <w:pageBreakBefore w:val="0"/>
        <w:kinsoku/>
        <w:wordWrap/>
        <w:overflowPunct/>
        <w:topLinePunct w:val="0"/>
        <w:autoSpaceDE/>
        <w:autoSpaceDN/>
        <w:bidi w:val="0"/>
        <w:adjustRightInd/>
        <w:snapToGrid/>
        <w:textAlignment w:val="auto"/>
        <w:outlineLvl w:val="9"/>
        <w:rPr>
          <w:rFonts w:hint="eastAsia"/>
          <w:color w:val="auto"/>
          <w:highlight w:val="none"/>
          <w:lang w:val="en-US" w:eastAsia="zh-CN"/>
        </w:rPr>
      </w:pPr>
    </w:p>
    <w:p w14:paraId="2D7EC244">
      <w:pPr>
        <w:pStyle w:val="9"/>
        <w:keepNext w:val="0"/>
        <w:keepLines w:val="0"/>
        <w:pageBreakBefore w:val="0"/>
        <w:widowControl w:val="0"/>
        <w:kinsoku/>
        <w:wordWrap/>
        <w:overflowPunct/>
        <w:topLinePunct w:val="0"/>
        <w:autoSpaceDE/>
        <w:autoSpaceDN/>
        <w:bidi w:val="0"/>
        <w:adjustRightInd/>
        <w:snapToGrid/>
        <w:spacing w:line="420" w:lineRule="exact"/>
        <w:ind w:firstLine="600" w:firstLineChars="200"/>
        <w:jc w:val="center"/>
        <w:textAlignment w:val="auto"/>
        <w:outlineLvl w:val="9"/>
        <w:rPr>
          <w:rFonts w:hint="eastAsia" w:eastAsia="黑体" w:cs="宋体"/>
          <w:color w:val="auto"/>
          <w:sz w:val="30"/>
          <w:szCs w:val="30"/>
          <w:highlight w:val="none"/>
        </w:rPr>
      </w:pPr>
    </w:p>
    <w:p w14:paraId="69EBF1CD">
      <w:pPr>
        <w:pStyle w:val="9"/>
        <w:keepNext w:val="0"/>
        <w:keepLines w:val="0"/>
        <w:pageBreakBefore w:val="0"/>
        <w:widowControl w:val="0"/>
        <w:kinsoku/>
        <w:wordWrap/>
        <w:overflowPunct/>
        <w:topLinePunct w:val="0"/>
        <w:autoSpaceDE/>
        <w:autoSpaceDN/>
        <w:bidi w:val="0"/>
        <w:adjustRightInd/>
        <w:snapToGrid/>
        <w:spacing w:line="420" w:lineRule="exact"/>
        <w:ind w:firstLine="600" w:firstLineChars="200"/>
        <w:jc w:val="center"/>
        <w:textAlignment w:val="auto"/>
        <w:outlineLvl w:val="9"/>
        <w:rPr>
          <w:rFonts w:hint="eastAsia" w:eastAsia="黑体" w:cs="宋体"/>
          <w:color w:val="auto"/>
          <w:sz w:val="30"/>
          <w:szCs w:val="30"/>
          <w:highlight w:val="none"/>
        </w:rPr>
      </w:pPr>
    </w:p>
    <w:p w14:paraId="4263A7AE">
      <w:pPr>
        <w:pStyle w:val="9"/>
        <w:keepNext w:val="0"/>
        <w:keepLines w:val="0"/>
        <w:pageBreakBefore w:val="0"/>
        <w:widowControl w:val="0"/>
        <w:kinsoku/>
        <w:wordWrap/>
        <w:overflowPunct/>
        <w:topLinePunct w:val="0"/>
        <w:autoSpaceDE/>
        <w:autoSpaceDN/>
        <w:bidi w:val="0"/>
        <w:adjustRightInd/>
        <w:snapToGrid/>
        <w:spacing w:line="420" w:lineRule="exact"/>
        <w:ind w:firstLine="600" w:firstLineChars="200"/>
        <w:jc w:val="center"/>
        <w:textAlignment w:val="auto"/>
        <w:outlineLvl w:val="9"/>
        <w:rPr>
          <w:rFonts w:hint="eastAsia" w:eastAsia="黑体" w:cs="宋体"/>
          <w:color w:val="auto"/>
          <w:sz w:val="30"/>
          <w:szCs w:val="30"/>
          <w:highlight w:val="none"/>
        </w:rPr>
      </w:pPr>
    </w:p>
    <w:p w14:paraId="1999DD1C">
      <w:pPr>
        <w:pStyle w:val="9"/>
        <w:keepNext w:val="0"/>
        <w:keepLines w:val="0"/>
        <w:pageBreakBefore w:val="0"/>
        <w:widowControl w:val="0"/>
        <w:kinsoku/>
        <w:wordWrap/>
        <w:overflowPunct/>
        <w:topLinePunct w:val="0"/>
        <w:autoSpaceDE/>
        <w:autoSpaceDN/>
        <w:bidi w:val="0"/>
        <w:adjustRightInd/>
        <w:snapToGrid/>
        <w:spacing w:line="420" w:lineRule="exact"/>
        <w:ind w:firstLine="600" w:firstLineChars="200"/>
        <w:jc w:val="center"/>
        <w:textAlignment w:val="auto"/>
        <w:outlineLvl w:val="9"/>
        <w:rPr>
          <w:rFonts w:hint="eastAsia" w:eastAsia="黑体" w:cs="宋体"/>
          <w:color w:val="auto"/>
          <w:sz w:val="30"/>
          <w:szCs w:val="30"/>
          <w:highlight w:val="none"/>
        </w:rPr>
      </w:pPr>
    </w:p>
    <w:p w14:paraId="439F29FD">
      <w:pPr>
        <w:pStyle w:val="9"/>
        <w:keepNext w:val="0"/>
        <w:keepLines w:val="0"/>
        <w:pageBreakBefore w:val="0"/>
        <w:widowControl w:val="0"/>
        <w:kinsoku/>
        <w:wordWrap/>
        <w:overflowPunct/>
        <w:topLinePunct w:val="0"/>
        <w:autoSpaceDE/>
        <w:autoSpaceDN/>
        <w:bidi w:val="0"/>
        <w:adjustRightInd/>
        <w:snapToGrid/>
        <w:spacing w:line="420" w:lineRule="exact"/>
        <w:ind w:firstLine="600" w:firstLineChars="200"/>
        <w:jc w:val="center"/>
        <w:textAlignment w:val="auto"/>
        <w:outlineLvl w:val="9"/>
        <w:rPr>
          <w:rFonts w:hint="eastAsia" w:eastAsia="黑体" w:cs="宋体"/>
          <w:color w:val="auto"/>
          <w:sz w:val="30"/>
          <w:szCs w:val="30"/>
          <w:highlight w:val="none"/>
        </w:rPr>
      </w:pPr>
    </w:p>
    <w:p w14:paraId="6812D84D">
      <w:pPr>
        <w:pStyle w:val="9"/>
        <w:keepNext w:val="0"/>
        <w:keepLines w:val="0"/>
        <w:pageBreakBefore w:val="0"/>
        <w:widowControl w:val="0"/>
        <w:kinsoku/>
        <w:wordWrap/>
        <w:overflowPunct/>
        <w:topLinePunct w:val="0"/>
        <w:autoSpaceDE/>
        <w:autoSpaceDN/>
        <w:bidi w:val="0"/>
        <w:adjustRightInd/>
        <w:snapToGrid/>
        <w:spacing w:line="420" w:lineRule="exact"/>
        <w:ind w:firstLine="600" w:firstLineChars="200"/>
        <w:jc w:val="center"/>
        <w:textAlignment w:val="auto"/>
        <w:outlineLvl w:val="9"/>
        <w:rPr>
          <w:rFonts w:hint="eastAsia" w:eastAsia="黑体" w:cs="宋体"/>
          <w:color w:val="auto"/>
          <w:sz w:val="30"/>
          <w:szCs w:val="30"/>
          <w:highlight w:val="none"/>
        </w:rPr>
      </w:pPr>
    </w:p>
    <w:p w14:paraId="220D5B0C">
      <w:pPr>
        <w:pStyle w:val="9"/>
        <w:keepNext w:val="0"/>
        <w:keepLines w:val="0"/>
        <w:pageBreakBefore w:val="0"/>
        <w:widowControl w:val="0"/>
        <w:kinsoku/>
        <w:wordWrap/>
        <w:overflowPunct/>
        <w:topLinePunct w:val="0"/>
        <w:autoSpaceDE/>
        <w:autoSpaceDN/>
        <w:bidi w:val="0"/>
        <w:adjustRightInd/>
        <w:snapToGrid/>
        <w:spacing w:line="420" w:lineRule="exact"/>
        <w:ind w:firstLine="600" w:firstLineChars="200"/>
        <w:jc w:val="center"/>
        <w:textAlignment w:val="auto"/>
        <w:outlineLvl w:val="9"/>
        <w:rPr>
          <w:rFonts w:hint="eastAsia" w:eastAsia="黑体" w:cs="宋体"/>
          <w:color w:val="auto"/>
          <w:sz w:val="30"/>
          <w:szCs w:val="30"/>
          <w:highlight w:val="none"/>
        </w:rPr>
      </w:pPr>
    </w:p>
    <w:p w14:paraId="696B12DC">
      <w:pPr>
        <w:pStyle w:val="9"/>
        <w:keepNext w:val="0"/>
        <w:keepLines w:val="0"/>
        <w:pageBreakBefore w:val="0"/>
        <w:widowControl w:val="0"/>
        <w:kinsoku/>
        <w:wordWrap/>
        <w:overflowPunct/>
        <w:topLinePunct w:val="0"/>
        <w:autoSpaceDE/>
        <w:autoSpaceDN/>
        <w:bidi w:val="0"/>
        <w:adjustRightInd/>
        <w:snapToGrid/>
        <w:spacing w:line="420" w:lineRule="exact"/>
        <w:ind w:firstLine="600" w:firstLineChars="200"/>
        <w:jc w:val="center"/>
        <w:textAlignment w:val="auto"/>
        <w:outlineLvl w:val="9"/>
        <w:rPr>
          <w:rFonts w:hint="eastAsia" w:eastAsia="黑体" w:cs="宋体"/>
          <w:color w:val="auto"/>
          <w:sz w:val="30"/>
          <w:szCs w:val="30"/>
          <w:highlight w:val="none"/>
        </w:rPr>
      </w:pPr>
    </w:p>
    <w:p w14:paraId="2D72FA5D">
      <w:pPr>
        <w:pStyle w:val="9"/>
        <w:keepNext w:val="0"/>
        <w:keepLines w:val="0"/>
        <w:pageBreakBefore w:val="0"/>
        <w:widowControl w:val="0"/>
        <w:kinsoku/>
        <w:wordWrap/>
        <w:overflowPunct/>
        <w:topLinePunct w:val="0"/>
        <w:autoSpaceDE/>
        <w:autoSpaceDN/>
        <w:bidi w:val="0"/>
        <w:adjustRightInd/>
        <w:snapToGrid/>
        <w:spacing w:line="420" w:lineRule="exact"/>
        <w:ind w:firstLine="600" w:firstLineChars="200"/>
        <w:jc w:val="center"/>
        <w:textAlignment w:val="auto"/>
        <w:outlineLvl w:val="9"/>
        <w:rPr>
          <w:rFonts w:hint="eastAsia" w:eastAsia="黑体" w:cs="宋体"/>
          <w:color w:val="auto"/>
          <w:sz w:val="30"/>
          <w:szCs w:val="30"/>
          <w:highlight w:val="none"/>
        </w:rPr>
      </w:pPr>
    </w:p>
    <w:p w14:paraId="72B9E526">
      <w:pPr>
        <w:pStyle w:val="9"/>
        <w:keepNext w:val="0"/>
        <w:keepLines w:val="0"/>
        <w:pageBreakBefore w:val="0"/>
        <w:widowControl w:val="0"/>
        <w:kinsoku/>
        <w:wordWrap/>
        <w:overflowPunct/>
        <w:topLinePunct w:val="0"/>
        <w:autoSpaceDE/>
        <w:autoSpaceDN/>
        <w:bidi w:val="0"/>
        <w:adjustRightInd/>
        <w:snapToGrid/>
        <w:spacing w:line="420" w:lineRule="exact"/>
        <w:ind w:firstLine="600" w:firstLineChars="200"/>
        <w:jc w:val="center"/>
        <w:textAlignment w:val="auto"/>
        <w:outlineLvl w:val="9"/>
        <w:rPr>
          <w:rFonts w:hint="eastAsia" w:eastAsia="黑体" w:cs="宋体"/>
          <w:color w:val="auto"/>
          <w:sz w:val="30"/>
          <w:szCs w:val="30"/>
          <w:highlight w:val="none"/>
        </w:rPr>
      </w:pPr>
    </w:p>
    <w:p w14:paraId="03972597">
      <w:pPr>
        <w:pStyle w:val="9"/>
        <w:keepNext w:val="0"/>
        <w:keepLines w:val="0"/>
        <w:pageBreakBefore w:val="0"/>
        <w:widowControl w:val="0"/>
        <w:kinsoku/>
        <w:wordWrap/>
        <w:overflowPunct/>
        <w:topLinePunct w:val="0"/>
        <w:autoSpaceDE/>
        <w:autoSpaceDN/>
        <w:bidi w:val="0"/>
        <w:adjustRightInd/>
        <w:snapToGrid/>
        <w:spacing w:line="420" w:lineRule="exact"/>
        <w:ind w:firstLine="600" w:firstLineChars="200"/>
        <w:jc w:val="center"/>
        <w:textAlignment w:val="auto"/>
        <w:outlineLvl w:val="9"/>
        <w:rPr>
          <w:rFonts w:hint="eastAsia" w:eastAsia="黑体" w:cs="宋体"/>
          <w:color w:val="auto"/>
          <w:sz w:val="30"/>
          <w:szCs w:val="30"/>
          <w:highlight w:val="none"/>
        </w:rPr>
      </w:pPr>
    </w:p>
    <w:p w14:paraId="425B63B9">
      <w:pPr>
        <w:pStyle w:val="9"/>
        <w:keepNext w:val="0"/>
        <w:keepLines w:val="0"/>
        <w:pageBreakBefore w:val="0"/>
        <w:widowControl w:val="0"/>
        <w:kinsoku/>
        <w:wordWrap/>
        <w:overflowPunct/>
        <w:topLinePunct w:val="0"/>
        <w:autoSpaceDE/>
        <w:autoSpaceDN/>
        <w:bidi w:val="0"/>
        <w:adjustRightInd/>
        <w:snapToGrid/>
        <w:spacing w:line="420" w:lineRule="exact"/>
        <w:ind w:firstLine="600" w:firstLineChars="200"/>
        <w:jc w:val="center"/>
        <w:textAlignment w:val="auto"/>
        <w:outlineLvl w:val="9"/>
        <w:rPr>
          <w:rFonts w:hint="eastAsia" w:eastAsia="黑体" w:cs="宋体"/>
          <w:color w:val="auto"/>
          <w:sz w:val="30"/>
          <w:szCs w:val="30"/>
          <w:highlight w:val="none"/>
        </w:rPr>
      </w:pPr>
    </w:p>
    <w:p w14:paraId="61914070">
      <w:pPr>
        <w:rPr>
          <w:rFonts w:hint="eastAsia" w:eastAsia="黑体" w:cs="宋体"/>
          <w:color w:val="auto"/>
          <w:sz w:val="30"/>
          <w:szCs w:val="30"/>
          <w:highlight w:val="none"/>
        </w:rPr>
      </w:pPr>
      <w:r>
        <w:rPr>
          <w:rFonts w:hint="eastAsia" w:eastAsia="黑体" w:cs="宋体"/>
          <w:color w:val="auto"/>
          <w:sz w:val="30"/>
          <w:szCs w:val="30"/>
          <w:highlight w:val="none"/>
        </w:rPr>
        <w:br w:type="page"/>
      </w:r>
    </w:p>
    <w:p w14:paraId="71674A89">
      <w:pPr>
        <w:pStyle w:val="11"/>
        <w:rPr>
          <w:rFonts w:hint="eastAsia"/>
          <w:color w:val="auto"/>
          <w:highlight w:val="none"/>
        </w:rPr>
      </w:pPr>
    </w:p>
    <w:p w14:paraId="49A6A1FE">
      <w:pPr>
        <w:pStyle w:val="9"/>
        <w:keepNext w:val="0"/>
        <w:keepLines w:val="0"/>
        <w:pageBreakBefore w:val="0"/>
        <w:widowControl w:val="0"/>
        <w:kinsoku/>
        <w:wordWrap/>
        <w:overflowPunct/>
        <w:topLinePunct w:val="0"/>
        <w:autoSpaceDE/>
        <w:autoSpaceDN/>
        <w:bidi w:val="0"/>
        <w:adjustRightInd/>
        <w:snapToGrid/>
        <w:spacing w:line="420" w:lineRule="exact"/>
        <w:ind w:firstLine="600" w:firstLineChars="200"/>
        <w:jc w:val="center"/>
        <w:textAlignment w:val="auto"/>
        <w:outlineLvl w:val="9"/>
        <w:rPr>
          <w:rFonts w:hint="eastAsia" w:eastAsia="黑体" w:cs="宋体"/>
          <w:color w:val="auto"/>
          <w:sz w:val="30"/>
          <w:szCs w:val="30"/>
          <w:highlight w:val="none"/>
        </w:rPr>
      </w:pPr>
    </w:p>
    <w:p w14:paraId="32C1C671">
      <w:pPr>
        <w:pStyle w:val="9"/>
        <w:keepNext w:val="0"/>
        <w:keepLines w:val="0"/>
        <w:pageBreakBefore w:val="0"/>
        <w:widowControl w:val="0"/>
        <w:kinsoku/>
        <w:wordWrap/>
        <w:overflowPunct/>
        <w:topLinePunct w:val="0"/>
        <w:autoSpaceDE/>
        <w:autoSpaceDN/>
        <w:bidi w:val="0"/>
        <w:adjustRightInd/>
        <w:snapToGrid/>
        <w:spacing w:line="420" w:lineRule="exact"/>
        <w:ind w:firstLine="600" w:firstLineChars="200"/>
        <w:jc w:val="center"/>
        <w:textAlignment w:val="auto"/>
        <w:outlineLvl w:val="9"/>
        <w:rPr>
          <w:rFonts w:hint="eastAsia" w:eastAsia="黑体" w:cs="宋体"/>
          <w:color w:val="auto"/>
          <w:sz w:val="30"/>
          <w:szCs w:val="30"/>
          <w:highlight w:val="none"/>
        </w:rPr>
      </w:pPr>
    </w:p>
    <w:p w14:paraId="47EB5EA7">
      <w:pPr>
        <w:pStyle w:val="9"/>
        <w:jc w:val="center"/>
        <w:rPr>
          <w:rFonts w:eastAsia="黑体"/>
          <w:color w:val="auto"/>
          <w:sz w:val="36"/>
          <w:szCs w:val="36"/>
          <w:highlight w:val="none"/>
          <w:u w:val="single"/>
        </w:rPr>
      </w:pPr>
    </w:p>
    <w:p w14:paraId="3F6F7342">
      <w:pPr>
        <w:pStyle w:val="9"/>
        <w:jc w:val="center"/>
        <w:rPr>
          <w:rFonts w:eastAsia="黑体"/>
          <w:color w:val="auto"/>
          <w:sz w:val="36"/>
          <w:szCs w:val="36"/>
          <w:highlight w:val="none"/>
        </w:rPr>
      </w:pPr>
      <w:r>
        <w:rPr>
          <w:rFonts w:eastAsia="黑体"/>
          <w:color w:val="auto"/>
          <w:sz w:val="36"/>
          <w:szCs w:val="36"/>
          <w:highlight w:val="none"/>
          <w:u w:val="single"/>
        </w:rPr>
        <w:t xml:space="preserve">          </w:t>
      </w:r>
      <w:r>
        <w:rPr>
          <w:rFonts w:eastAsia="黑体"/>
          <w:color w:val="auto"/>
          <w:sz w:val="36"/>
          <w:szCs w:val="36"/>
          <w:highlight w:val="none"/>
        </w:rPr>
        <w:t>（项目名称</w:t>
      </w:r>
      <w:r>
        <w:rPr>
          <w:rFonts w:hint="eastAsia" w:eastAsia="黑体"/>
          <w:color w:val="auto"/>
          <w:sz w:val="36"/>
          <w:szCs w:val="36"/>
          <w:highlight w:val="none"/>
          <w:lang w:eastAsia="zh-CN"/>
        </w:rPr>
        <w:t>）</w:t>
      </w:r>
      <w:r>
        <w:rPr>
          <w:rFonts w:hint="eastAsia" w:eastAsia="黑体"/>
          <w:color w:val="auto"/>
          <w:sz w:val="36"/>
          <w:szCs w:val="36"/>
          <w:highlight w:val="none"/>
          <w:lang w:val="en-US" w:eastAsia="zh-CN"/>
        </w:rPr>
        <w:t>施工</w:t>
      </w:r>
      <w:r>
        <w:rPr>
          <w:rFonts w:hint="eastAsia" w:eastAsia="黑体"/>
          <w:color w:val="auto"/>
          <w:sz w:val="36"/>
          <w:szCs w:val="36"/>
          <w:highlight w:val="none"/>
        </w:rPr>
        <w:t>招标</w:t>
      </w:r>
    </w:p>
    <w:p w14:paraId="628B83C3">
      <w:pPr>
        <w:pStyle w:val="9"/>
        <w:rPr>
          <w:rFonts w:eastAsia="黑体"/>
          <w:color w:val="auto"/>
          <w:sz w:val="20"/>
          <w:szCs w:val="20"/>
          <w:highlight w:val="none"/>
        </w:rPr>
      </w:pPr>
    </w:p>
    <w:p w14:paraId="070C45AE">
      <w:pPr>
        <w:pStyle w:val="9"/>
        <w:rPr>
          <w:rFonts w:eastAsia="黑体"/>
          <w:color w:val="auto"/>
          <w:sz w:val="20"/>
          <w:szCs w:val="20"/>
          <w:highlight w:val="none"/>
        </w:rPr>
      </w:pPr>
    </w:p>
    <w:p w14:paraId="4C33770D">
      <w:pPr>
        <w:pStyle w:val="9"/>
        <w:rPr>
          <w:rFonts w:eastAsia="黑体"/>
          <w:color w:val="auto"/>
          <w:sz w:val="20"/>
          <w:szCs w:val="20"/>
          <w:highlight w:val="none"/>
        </w:rPr>
      </w:pPr>
    </w:p>
    <w:p w14:paraId="5F98BDD5">
      <w:pPr>
        <w:pStyle w:val="9"/>
        <w:rPr>
          <w:rFonts w:eastAsia="黑体"/>
          <w:color w:val="auto"/>
          <w:sz w:val="20"/>
          <w:szCs w:val="20"/>
          <w:highlight w:val="none"/>
        </w:rPr>
      </w:pPr>
    </w:p>
    <w:p w14:paraId="23385404">
      <w:pPr>
        <w:pStyle w:val="9"/>
        <w:rPr>
          <w:rFonts w:eastAsia="黑体"/>
          <w:color w:val="auto"/>
          <w:sz w:val="20"/>
          <w:szCs w:val="20"/>
          <w:highlight w:val="none"/>
        </w:rPr>
      </w:pPr>
    </w:p>
    <w:p w14:paraId="2FF08292">
      <w:pPr>
        <w:pStyle w:val="9"/>
        <w:rPr>
          <w:rFonts w:eastAsia="黑体"/>
          <w:color w:val="auto"/>
          <w:sz w:val="20"/>
          <w:szCs w:val="20"/>
          <w:highlight w:val="none"/>
        </w:rPr>
      </w:pPr>
    </w:p>
    <w:p w14:paraId="6C30B5A6">
      <w:pPr>
        <w:pStyle w:val="9"/>
        <w:rPr>
          <w:rFonts w:eastAsia="黑体"/>
          <w:color w:val="auto"/>
          <w:sz w:val="20"/>
          <w:szCs w:val="20"/>
          <w:highlight w:val="none"/>
        </w:rPr>
      </w:pPr>
    </w:p>
    <w:p w14:paraId="464E7DB5">
      <w:pPr>
        <w:pStyle w:val="9"/>
        <w:rPr>
          <w:rFonts w:eastAsia="黑体"/>
          <w:color w:val="auto"/>
          <w:sz w:val="20"/>
          <w:szCs w:val="20"/>
          <w:highlight w:val="none"/>
        </w:rPr>
      </w:pPr>
    </w:p>
    <w:p w14:paraId="281555C7">
      <w:pPr>
        <w:pStyle w:val="9"/>
        <w:rPr>
          <w:rFonts w:eastAsia="黑体"/>
          <w:color w:val="auto"/>
          <w:sz w:val="20"/>
          <w:szCs w:val="20"/>
          <w:highlight w:val="none"/>
        </w:rPr>
      </w:pPr>
    </w:p>
    <w:p w14:paraId="4A61399C">
      <w:pPr>
        <w:pStyle w:val="9"/>
        <w:rPr>
          <w:rFonts w:eastAsia="黑体"/>
          <w:color w:val="auto"/>
          <w:sz w:val="20"/>
          <w:szCs w:val="20"/>
          <w:highlight w:val="none"/>
        </w:rPr>
      </w:pPr>
    </w:p>
    <w:p w14:paraId="175461E7">
      <w:pPr>
        <w:pStyle w:val="9"/>
        <w:jc w:val="center"/>
        <w:rPr>
          <w:rFonts w:eastAsia="黑体"/>
          <w:color w:val="auto"/>
          <w:sz w:val="84"/>
          <w:szCs w:val="84"/>
          <w:highlight w:val="none"/>
        </w:rPr>
      </w:pPr>
      <w:r>
        <w:rPr>
          <w:rFonts w:eastAsia="黑体"/>
          <w:color w:val="auto"/>
          <w:sz w:val="84"/>
          <w:szCs w:val="84"/>
          <w:highlight w:val="none"/>
        </w:rPr>
        <w:t>投 标 文 件</w:t>
      </w:r>
    </w:p>
    <w:p w14:paraId="49DEA83C">
      <w:pPr>
        <w:pStyle w:val="9"/>
        <w:keepNext w:val="0"/>
        <w:keepLines w:val="0"/>
        <w:pageBreakBefore w:val="0"/>
        <w:widowControl w:val="0"/>
        <w:kinsoku/>
        <w:wordWrap/>
        <w:overflowPunct/>
        <w:topLinePunct w:val="0"/>
        <w:autoSpaceDE/>
        <w:autoSpaceDN/>
        <w:bidi w:val="0"/>
        <w:adjustRightInd/>
        <w:snapToGrid/>
        <w:spacing w:before="157" w:beforeLines="50" w:line="360" w:lineRule="auto"/>
        <w:jc w:val="center"/>
        <w:textAlignment w:val="auto"/>
        <w:outlineLvl w:val="2"/>
        <w:rPr>
          <w:rFonts w:hint="default" w:eastAsia="黑体"/>
          <w:color w:val="auto"/>
          <w:sz w:val="28"/>
          <w:szCs w:val="28"/>
          <w:highlight w:val="none"/>
          <w:lang w:val="en-US" w:eastAsia="zh-CN"/>
        </w:rPr>
      </w:pPr>
      <w:bookmarkStart w:id="857" w:name="_Toc11251"/>
      <w:r>
        <w:rPr>
          <w:rFonts w:hint="eastAsia" w:eastAsia="黑体"/>
          <w:color w:val="auto"/>
          <w:sz w:val="28"/>
          <w:szCs w:val="28"/>
          <w:highlight w:val="none"/>
          <w:lang w:val="en-US" w:eastAsia="zh-CN"/>
        </w:rPr>
        <w:t>第二信封（报价文件）</w:t>
      </w:r>
      <w:bookmarkEnd w:id="857"/>
    </w:p>
    <w:p w14:paraId="4D3FED15">
      <w:pPr>
        <w:pStyle w:val="9"/>
        <w:rPr>
          <w:rFonts w:eastAsia="黑体"/>
          <w:color w:val="auto"/>
          <w:sz w:val="28"/>
          <w:szCs w:val="28"/>
          <w:highlight w:val="none"/>
        </w:rPr>
      </w:pPr>
    </w:p>
    <w:p w14:paraId="26962FCE">
      <w:pPr>
        <w:pStyle w:val="9"/>
        <w:rPr>
          <w:rFonts w:eastAsia="黑体"/>
          <w:color w:val="auto"/>
          <w:sz w:val="28"/>
          <w:szCs w:val="28"/>
          <w:highlight w:val="none"/>
        </w:rPr>
      </w:pPr>
    </w:p>
    <w:p w14:paraId="268118DD">
      <w:pPr>
        <w:pStyle w:val="9"/>
        <w:rPr>
          <w:rFonts w:eastAsia="黑体"/>
          <w:color w:val="auto"/>
          <w:sz w:val="28"/>
          <w:szCs w:val="28"/>
          <w:highlight w:val="none"/>
        </w:rPr>
      </w:pPr>
    </w:p>
    <w:p w14:paraId="10718D91">
      <w:pPr>
        <w:pStyle w:val="9"/>
        <w:rPr>
          <w:rFonts w:eastAsia="黑体"/>
          <w:color w:val="auto"/>
          <w:sz w:val="28"/>
          <w:szCs w:val="28"/>
          <w:highlight w:val="none"/>
        </w:rPr>
      </w:pPr>
    </w:p>
    <w:p w14:paraId="50F2EF87">
      <w:pPr>
        <w:pStyle w:val="9"/>
        <w:rPr>
          <w:rFonts w:eastAsia="黑体"/>
          <w:color w:val="auto"/>
          <w:sz w:val="28"/>
          <w:szCs w:val="28"/>
          <w:highlight w:val="none"/>
        </w:rPr>
      </w:pPr>
    </w:p>
    <w:p w14:paraId="07D9C4BB">
      <w:pPr>
        <w:pStyle w:val="9"/>
        <w:rPr>
          <w:rFonts w:eastAsia="黑体"/>
          <w:color w:val="auto"/>
          <w:sz w:val="28"/>
          <w:szCs w:val="28"/>
          <w:highlight w:val="none"/>
        </w:rPr>
      </w:pPr>
    </w:p>
    <w:p w14:paraId="2791E5F9">
      <w:pPr>
        <w:pStyle w:val="9"/>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eastAsia="黑体"/>
          <w:color w:val="auto"/>
          <w:sz w:val="28"/>
          <w:szCs w:val="28"/>
          <w:highlight w:val="none"/>
          <w:u w:val="single"/>
        </w:rPr>
      </w:pPr>
      <w:r>
        <w:rPr>
          <w:rFonts w:eastAsia="黑体"/>
          <w:color w:val="auto"/>
          <w:sz w:val="28"/>
          <w:szCs w:val="28"/>
          <w:highlight w:val="none"/>
        </w:rPr>
        <w:t>投标人：</w:t>
      </w:r>
      <w:r>
        <w:rPr>
          <w:rFonts w:eastAsia="黑体"/>
          <w:color w:val="auto"/>
          <w:sz w:val="28"/>
          <w:szCs w:val="28"/>
          <w:highlight w:val="none"/>
          <w:u w:val="single"/>
        </w:rPr>
        <w:t xml:space="preserve">                </w:t>
      </w:r>
      <w:r>
        <w:rPr>
          <w:rFonts w:eastAsia="黑体"/>
          <w:color w:val="auto"/>
          <w:sz w:val="28"/>
          <w:szCs w:val="28"/>
          <w:highlight w:val="none"/>
        </w:rPr>
        <w:t>（盖单位</w:t>
      </w:r>
      <w:r>
        <w:rPr>
          <w:rFonts w:hint="eastAsia" w:eastAsia="黑体"/>
          <w:color w:val="auto"/>
          <w:sz w:val="28"/>
          <w:szCs w:val="28"/>
          <w:highlight w:val="none"/>
        </w:rPr>
        <w:t>电子公</w:t>
      </w:r>
      <w:r>
        <w:rPr>
          <w:rFonts w:eastAsia="黑体"/>
          <w:color w:val="auto"/>
          <w:sz w:val="28"/>
          <w:szCs w:val="28"/>
          <w:highlight w:val="none"/>
        </w:rPr>
        <w:t>章）</w:t>
      </w:r>
    </w:p>
    <w:p w14:paraId="07893C0E">
      <w:pPr>
        <w:pStyle w:val="9"/>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eastAsia="黑体"/>
          <w:color w:val="auto"/>
          <w:sz w:val="28"/>
          <w:szCs w:val="28"/>
          <w:highlight w:val="none"/>
        </w:rPr>
      </w:pPr>
      <w:r>
        <w:rPr>
          <w:rFonts w:eastAsia="黑体"/>
          <w:color w:val="auto"/>
          <w:sz w:val="28"/>
          <w:szCs w:val="28"/>
          <w:highlight w:val="none"/>
          <w:u w:val="single"/>
        </w:rPr>
        <w:t xml:space="preserve">        </w:t>
      </w:r>
      <w:r>
        <w:rPr>
          <w:rFonts w:eastAsia="黑体"/>
          <w:color w:val="auto"/>
          <w:sz w:val="28"/>
          <w:szCs w:val="28"/>
          <w:highlight w:val="none"/>
        </w:rPr>
        <w:t>年</w:t>
      </w:r>
      <w:r>
        <w:rPr>
          <w:rFonts w:eastAsia="黑体"/>
          <w:color w:val="auto"/>
          <w:sz w:val="28"/>
          <w:szCs w:val="28"/>
          <w:highlight w:val="none"/>
          <w:u w:val="single"/>
        </w:rPr>
        <w:t xml:space="preserve">        </w:t>
      </w:r>
      <w:r>
        <w:rPr>
          <w:rFonts w:eastAsia="黑体"/>
          <w:color w:val="auto"/>
          <w:sz w:val="28"/>
          <w:szCs w:val="28"/>
          <w:highlight w:val="none"/>
        </w:rPr>
        <w:t>月</w:t>
      </w:r>
      <w:r>
        <w:rPr>
          <w:rFonts w:eastAsia="黑体"/>
          <w:color w:val="auto"/>
          <w:sz w:val="28"/>
          <w:szCs w:val="28"/>
          <w:highlight w:val="none"/>
          <w:u w:val="single"/>
        </w:rPr>
        <w:t xml:space="preserve">        </w:t>
      </w:r>
      <w:r>
        <w:rPr>
          <w:rFonts w:eastAsia="黑体"/>
          <w:color w:val="auto"/>
          <w:sz w:val="28"/>
          <w:szCs w:val="28"/>
          <w:highlight w:val="none"/>
        </w:rPr>
        <w:t>日</w:t>
      </w:r>
    </w:p>
    <w:p w14:paraId="748A7DD4">
      <w:pPr>
        <w:pStyle w:val="9"/>
        <w:spacing w:line="440" w:lineRule="exact"/>
        <w:rPr>
          <w:rFonts w:eastAsia="黑体"/>
          <w:color w:val="auto"/>
          <w:sz w:val="20"/>
          <w:szCs w:val="20"/>
          <w:highlight w:val="none"/>
        </w:rPr>
      </w:pPr>
    </w:p>
    <w:p w14:paraId="721485A2">
      <w:pPr>
        <w:pStyle w:val="9"/>
        <w:keepNext w:val="0"/>
        <w:keepLines w:val="0"/>
        <w:pageBreakBefore w:val="0"/>
        <w:widowControl w:val="0"/>
        <w:kinsoku/>
        <w:wordWrap/>
        <w:overflowPunct/>
        <w:topLinePunct w:val="0"/>
        <w:autoSpaceDE/>
        <w:autoSpaceDN/>
        <w:bidi w:val="0"/>
        <w:adjustRightInd/>
        <w:snapToGrid/>
        <w:spacing w:line="420" w:lineRule="exact"/>
        <w:ind w:firstLine="600" w:firstLineChars="200"/>
        <w:jc w:val="center"/>
        <w:textAlignment w:val="auto"/>
        <w:outlineLvl w:val="9"/>
        <w:rPr>
          <w:rFonts w:hint="eastAsia" w:eastAsia="黑体" w:cs="宋体"/>
          <w:color w:val="auto"/>
          <w:sz w:val="30"/>
          <w:szCs w:val="30"/>
          <w:highlight w:val="none"/>
        </w:rPr>
      </w:pPr>
    </w:p>
    <w:p w14:paraId="1AFB5327">
      <w:pPr>
        <w:pStyle w:val="9"/>
        <w:keepNext w:val="0"/>
        <w:keepLines w:val="0"/>
        <w:pageBreakBefore w:val="0"/>
        <w:widowControl w:val="0"/>
        <w:kinsoku/>
        <w:wordWrap/>
        <w:overflowPunct/>
        <w:topLinePunct w:val="0"/>
        <w:autoSpaceDE/>
        <w:autoSpaceDN/>
        <w:bidi w:val="0"/>
        <w:adjustRightInd/>
        <w:snapToGrid/>
        <w:spacing w:line="420" w:lineRule="exact"/>
        <w:ind w:firstLine="600" w:firstLineChars="200"/>
        <w:jc w:val="center"/>
        <w:textAlignment w:val="auto"/>
        <w:outlineLvl w:val="9"/>
        <w:rPr>
          <w:rFonts w:hint="eastAsia" w:eastAsia="黑体" w:cs="宋体"/>
          <w:color w:val="auto"/>
          <w:sz w:val="30"/>
          <w:szCs w:val="30"/>
          <w:highlight w:val="none"/>
        </w:rPr>
      </w:pPr>
    </w:p>
    <w:p w14:paraId="58280BBC">
      <w:pPr>
        <w:pStyle w:val="9"/>
        <w:keepNext w:val="0"/>
        <w:keepLines w:val="0"/>
        <w:pageBreakBefore w:val="0"/>
        <w:widowControl w:val="0"/>
        <w:kinsoku/>
        <w:wordWrap/>
        <w:overflowPunct/>
        <w:topLinePunct w:val="0"/>
        <w:autoSpaceDE/>
        <w:autoSpaceDN/>
        <w:bidi w:val="0"/>
        <w:adjustRightInd/>
        <w:snapToGrid/>
        <w:spacing w:line="420" w:lineRule="exact"/>
        <w:ind w:firstLine="600" w:firstLineChars="200"/>
        <w:jc w:val="center"/>
        <w:textAlignment w:val="auto"/>
        <w:outlineLvl w:val="9"/>
        <w:rPr>
          <w:rFonts w:hint="eastAsia" w:eastAsia="黑体" w:cs="宋体"/>
          <w:color w:val="auto"/>
          <w:sz w:val="30"/>
          <w:szCs w:val="30"/>
          <w:highlight w:val="none"/>
        </w:rPr>
      </w:pPr>
    </w:p>
    <w:p w14:paraId="2BCD8932">
      <w:pPr>
        <w:pStyle w:val="10"/>
        <w:keepNext w:val="0"/>
        <w:keepLines w:val="0"/>
        <w:pageBreakBefore w:val="0"/>
        <w:widowControl/>
        <w:kinsoku/>
        <w:wordWrap/>
        <w:overflowPunct/>
        <w:topLinePunct w:val="0"/>
        <w:autoSpaceDE/>
        <w:autoSpaceDN/>
        <w:bidi w:val="0"/>
        <w:adjustRightInd/>
        <w:snapToGrid/>
        <w:spacing w:after="100" w:afterAutospacing="1"/>
        <w:jc w:val="center"/>
        <w:textAlignment w:val="auto"/>
        <w:outlineLvl w:val="2"/>
        <w:rPr>
          <w:rFonts w:hint="eastAsia" w:ascii="宋体" w:hAnsi="宋体" w:eastAsia="宋体" w:cs="宋体"/>
          <w:b/>
          <w:bCs/>
          <w:color w:val="auto"/>
          <w:sz w:val="32"/>
          <w:szCs w:val="32"/>
          <w:highlight w:val="none"/>
        </w:rPr>
      </w:pPr>
      <w:bookmarkStart w:id="858" w:name="_Toc27828"/>
      <w:r>
        <w:rPr>
          <w:rFonts w:hint="eastAsia" w:ascii="宋体" w:hAnsi="宋体" w:eastAsia="宋体" w:cs="宋体"/>
          <w:b/>
          <w:bCs/>
          <w:color w:val="auto"/>
          <w:sz w:val="32"/>
          <w:szCs w:val="32"/>
          <w:highlight w:val="none"/>
        </w:rPr>
        <w:t>目</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录</w:t>
      </w:r>
      <w:bookmarkEnd w:id="858"/>
    </w:p>
    <w:p w14:paraId="600EB5AD">
      <w:pPr>
        <w:pStyle w:val="9"/>
        <w:spacing w:line="54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一、</w:t>
      </w:r>
      <w:r>
        <w:rPr>
          <w:rFonts w:hint="eastAsia" w:ascii="宋体" w:hAnsi="宋体" w:eastAsia="宋体" w:cs="宋体"/>
          <w:b w:val="0"/>
          <w:bCs w:val="0"/>
          <w:color w:val="auto"/>
          <w:sz w:val="24"/>
          <w:szCs w:val="24"/>
          <w:highlight w:val="none"/>
          <w:lang w:val="en-US" w:eastAsia="zh-CN"/>
        </w:rPr>
        <w:t>报价函</w:t>
      </w:r>
    </w:p>
    <w:p w14:paraId="2FA15B1B">
      <w:pPr>
        <w:pStyle w:val="9"/>
        <w:spacing w:line="5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二、</w:t>
      </w:r>
      <w:r>
        <w:rPr>
          <w:rFonts w:hint="eastAsia" w:ascii="宋体" w:hAnsi="宋体" w:eastAsia="宋体" w:cs="宋体"/>
          <w:b w:val="0"/>
          <w:bCs w:val="0"/>
          <w:color w:val="auto"/>
          <w:sz w:val="24"/>
          <w:szCs w:val="24"/>
          <w:highlight w:val="none"/>
          <w:lang w:val="en-US" w:eastAsia="zh-CN"/>
        </w:rPr>
        <w:t>已标工程量清单</w:t>
      </w:r>
    </w:p>
    <w:p w14:paraId="372C76F9">
      <w:pPr>
        <w:pStyle w:val="9"/>
        <w:keepNext w:val="0"/>
        <w:keepLines w:val="0"/>
        <w:pageBreakBefore w:val="0"/>
        <w:widowControl w:val="0"/>
        <w:kinsoku/>
        <w:wordWrap/>
        <w:overflowPunct/>
        <w:topLinePunct w:val="0"/>
        <w:autoSpaceDE/>
        <w:autoSpaceDN/>
        <w:bidi w:val="0"/>
        <w:adjustRightInd/>
        <w:snapToGrid/>
        <w:spacing w:line="420" w:lineRule="exact"/>
        <w:ind w:firstLine="600" w:firstLineChars="200"/>
        <w:jc w:val="center"/>
        <w:textAlignment w:val="auto"/>
        <w:outlineLvl w:val="9"/>
        <w:rPr>
          <w:rFonts w:hint="eastAsia" w:eastAsia="黑体" w:cs="宋体"/>
          <w:color w:val="auto"/>
          <w:sz w:val="30"/>
          <w:szCs w:val="30"/>
          <w:highlight w:val="none"/>
        </w:rPr>
      </w:pPr>
    </w:p>
    <w:p w14:paraId="5FA7B057">
      <w:pPr>
        <w:pStyle w:val="9"/>
        <w:keepNext w:val="0"/>
        <w:keepLines w:val="0"/>
        <w:pageBreakBefore w:val="0"/>
        <w:widowControl w:val="0"/>
        <w:kinsoku/>
        <w:wordWrap/>
        <w:overflowPunct/>
        <w:topLinePunct w:val="0"/>
        <w:autoSpaceDE/>
        <w:autoSpaceDN/>
        <w:bidi w:val="0"/>
        <w:adjustRightInd/>
        <w:snapToGrid/>
        <w:spacing w:line="420" w:lineRule="exact"/>
        <w:ind w:firstLine="600" w:firstLineChars="200"/>
        <w:jc w:val="center"/>
        <w:textAlignment w:val="auto"/>
        <w:outlineLvl w:val="9"/>
        <w:rPr>
          <w:rFonts w:hint="eastAsia" w:eastAsia="黑体" w:cs="宋体"/>
          <w:color w:val="auto"/>
          <w:sz w:val="30"/>
          <w:szCs w:val="30"/>
          <w:highlight w:val="none"/>
        </w:rPr>
      </w:pPr>
    </w:p>
    <w:p w14:paraId="4A9FC401">
      <w:pPr>
        <w:keepNext w:val="0"/>
        <w:keepLines w:val="0"/>
        <w:pageBreakBefore w:val="0"/>
        <w:widowControl/>
        <w:suppressLineNumbers w:val="0"/>
        <w:kinsoku/>
        <w:wordWrap/>
        <w:overflowPunct/>
        <w:topLinePunct w:val="0"/>
        <w:autoSpaceDE/>
        <w:autoSpaceDN/>
        <w:bidi w:val="0"/>
        <w:adjustRightInd/>
        <w:snapToGrid/>
        <w:jc w:val="center"/>
        <w:textAlignment w:val="auto"/>
        <w:outlineLvl w:val="2"/>
        <w:rPr>
          <w:rFonts w:hint="eastAsia" w:ascii="Times New Roman" w:hAnsi="Times New Roman" w:eastAsia="黑体" w:cs="宋体"/>
          <w:b w:val="0"/>
          <w:bCs w:val="0"/>
          <w:color w:val="auto"/>
          <w:kern w:val="2"/>
          <w:sz w:val="30"/>
          <w:szCs w:val="30"/>
          <w:highlight w:val="none"/>
          <w:lang w:val="en-US" w:eastAsia="zh-CN" w:bidi="ar-SA"/>
        </w:rPr>
      </w:pPr>
      <w:r>
        <w:rPr>
          <w:rFonts w:hint="eastAsia" w:eastAsia="黑体" w:cs="宋体"/>
          <w:color w:val="auto"/>
          <w:sz w:val="30"/>
          <w:szCs w:val="30"/>
          <w:highlight w:val="none"/>
        </w:rPr>
        <w:br w:type="page"/>
      </w:r>
      <w:bookmarkStart w:id="859" w:name="_Toc26786"/>
      <w:r>
        <w:rPr>
          <w:rFonts w:hint="eastAsia" w:ascii="Times New Roman" w:hAnsi="Times New Roman" w:eastAsia="黑体" w:cs="宋体"/>
          <w:b w:val="0"/>
          <w:bCs w:val="0"/>
          <w:color w:val="auto"/>
          <w:kern w:val="2"/>
          <w:sz w:val="30"/>
          <w:szCs w:val="30"/>
          <w:highlight w:val="none"/>
          <w:lang w:val="en-US" w:eastAsia="zh-CN" w:bidi="ar-SA"/>
        </w:rPr>
        <w:t>一、报价函</w:t>
      </w:r>
      <w:bookmarkEnd w:id="859"/>
    </w:p>
    <w:p w14:paraId="747791AC">
      <w:pPr>
        <w:keepNext w:val="0"/>
        <w:keepLines w:val="0"/>
        <w:widowControl/>
        <w:suppressLineNumbers w:val="0"/>
        <w:jc w:val="left"/>
        <w:rPr>
          <w:rFonts w:hint="eastAsia" w:ascii="宋体" w:hAnsi="宋体" w:eastAsia="宋体" w:cs="宋体"/>
          <w:color w:val="auto"/>
          <w:kern w:val="0"/>
          <w:sz w:val="24"/>
          <w:szCs w:val="24"/>
          <w:highlight w:val="none"/>
          <w:lang w:val="en-US" w:eastAsia="zh-CN" w:bidi="ar"/>
        </w:rPr>
      </w:pPr>
    </w:p>
    <w:p w14:paraId="1D5D9BC4">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u w:val="none"/>
          <w:lang w:val="en-US" w:eastAsia="zh-CN" w:bidi="ar"/>
        </w:rPr>
        <w:t>（招标人名称）</w:t>
      </w:r>
      <w:r>
        <w:rPr>
          <w:rFonts w:hint="eastAsia" w:ascii="宋体" w:hAnsi="宋体" w:eastAsia="宋体" w:cs="宋体"/>
          <w:color w:val="auto"/>
          <w:kern w:val="0"/>
          <w:sz w:val="21"/>
          <w:szCs w:val="21"/>
          <w:highlight w:val="none"/>
          <w:lang w:val="en-US" w:eastAsia="zh-CN" w:bidi="ar"/>
        </w:rPr>
        <w:t xml:space="preserve">： </w:t>
      </w:r>
    </w:p>
    <w:p w14:paraId="421213FE">
      <w:pPr>
        <w:keepNext w:val="0"/>
        <w:keepLines w:val="0"/>
        <w:pageBreakBefore w:val="0"/>
        <w:widowControl/>
        <w:suppressLineNumbers w:val="0"/>
        <w:kinsoku/>
        <w:wordWrap/>
        <w:overflowPunct/>
        <w:topLinePunct w:val="0"/>
        <w:autoSpaceDE/>
        <w:autoSpaceDN/>
        <w:bidi w:val="0"/>
        <w:adjustRightInd/>
        <w:snapToGrid/>
        <w:spacing w:before="157" w:beforeLines="50" w:line="440" w:lineRule="exact"/>
        <w:ind w:firstLine="420" w:firstLineChars="200"/>
        <w:jc w:val="left"/>
        <w:textAlignment w:val="auto"/>
        <w:rPr>
          <w:color w:val="auto"/>
          <w:sz w:val="21"/>
          <w:szCs w:val="21"/>
          <w:highlight w:val="none"/>
        </w:rPr>
      </w:pPr>
      <w:r>
        <w:rPr>
          <w:rFonts w:hint="eastAsia" w:ascii="宋体" w:hAnsi="宋体" w:eastAsia="宋体" w:cs="宋体"/>
          <w:color w:val="auto"/>
          <w:kern w:val="0"/>
          <w:sz w:val="21"/>
          <w:szCs w:val="21"/>
          <w:highlight w:val="none"/>
          <w:lang w:val="en-US" w:eastAsia="zh-CN" w:bidi="ar"/>
        </w:rPr>
        <w:t>1.我方已仔细研究了</w:t>
      </w:r>
      <w:r>
        <w:rPr>
          <w:rFonts w:hint="eastAsia" w:ascii="宋体" w:hAnsi="宋体" w:eastAsia="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（项目名称）</w:t>
      </w:r>
      <w:r>
        <w:rPr>
          <w:rFonts w:hint="eastAsia" w:ascii="宋体" w:hAnsi="宋体" w:eastAsia="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 xml:space="preserve">标段招标文件的全部内容（含补遗 </w:t>
      </w:r>
    </w:p>
    <w:p w14:paraId="4EEB269C">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color w:val="auto"/>
          <w:sz w:val="21"/>
          <w:szCs w:val="21"/>
          <w:highlight w:val="none"/>
        </w:rPr>
      </w:pPr>
      <w:r>
        <w:rPr>
          <w:rFonts w:hint="eastAsia" w:ascii="宋体" w:hAnsi="宋体" w:eastAsia="宋体" w:cs="宋体"/>
          <w:color w:val="auto"/>
          <w:kern w:val="0"/>
          <w:sz w:val="21"/>
          <w:szCs w:val="21"/>
          <w:highlight w:val="none"/>
          <w:lang w:val="en-US" w:eastAsia="zh-CN" w:bidi="ar"/>
        </w:rPr>
        <w:t>书第</w:t>
      </w:r>
      <w:r>
        <w:rPr>
          <w:rFonts w:hint="eastAsia" w:ascii="宋体" w:hAnsi="宋体" w:eastAsia="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号至第</w:t>
      </w:r>
      <w:r>
        <w:rPr>
          <w:rFonts w:hint="eastAsia" w:ascii="宋体" w:hAnsi="宋体" w:eastAsia="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 xml:space="preserve">号），在考察工程现场后，愿意以人民币 </w:t>
      </w:r>
      <w:r>
        <w:rPr>
          <w:rFonts w:hint="eastAsia" w:ascii="宋体" w:hAnsi="宋体" w:eastAsia="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元（大写），</w:t>
      </w:r>
      <w:r>
        <w:rPr>
          <w:rFonts w:hint="eastAsia" w:ascii="宋体" w:hAnsi="宋体" w:eastAsia="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 xml:space="preserve">（小写）的投标报价（或根据招标文件规定修正核实后确定的另一金额），承担并完成本工程的所有工作。 </w:t>
      </w:r>
    </w:p>
    <w:p w14:paraId="56B6175B">
      <w:pPr>
        <w:keepNext w:val="0"/>
        <w:keepLines w:val="0"/>
        <w:pageBreakBefore w:val="0"/>
        <w:widowControl/>
        <w:suppressLineNumbers w:val="0"/>
        <w:kinsoku/>
        <w:wordWrap/>
        <w:overflowPunct/>
        <w:topLinePunct w:val="0"/>
        <w:autoSpaceDE/>
        <w:autoSpaceDN/>
        <w:bidi w:val="0"/>
        <w:adjustRightInd/>
        <w:snapToGrid/>
        <w:spacing w:line="440" w:lineRule="exact"/>
        <w:ind w:firstLine="420" w:firstLineChars="200"/>
        <w:jc w:val="left"/>
        <w:textAlignment w:val="auto"/>
        <w:rPr>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2.在合同协议书正式签署生效之前，本报价函连同你方的中标通知书将构成我们双方之间共同遵守的文件，对双方具有约束力。 </w:t>
      </w:r>
    </w:p>
    <w:p w14:paraId="33F68CE7">
      <w:pPr>
        <w:keepNext w:val="0"/>
        <w:keepLines w:val="0"/>
        <w:pageBreakBefore w:val="0"/>
        <w:widowControl/>
        <w:suppressLineNumbers w:val="0"/>
        <w:kinsoku/>
        <w:wordWrap/>
        <w:overflowPunct/>
        <w:topLinePunct w:val="0"/>
        <w:autoSpaceDE/>
        <w:autoSpaceDN/>
        <w:bidi w:val="0"/>
        <w:adjustRightInd/>
        <w:snapToGrid/>
        <w:spacing w:line="440" w:lineRule="exact"/>
        <w:ind w:firstLine="420" w:firstLineChars="200"/>
        <w:jc w:val="left"/>
        <w:textAlignment w:val="auto"/>
        <w:rPr>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3. </w:t>
      </w:r>
      <w:r>
        <w:rPr>
          <w:rFonts w:hint="eastAsia" w:ascii="宋体" w:hAnsi="宋体" w:eastAsia="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 xml:space="preserve">（其他补充说明）。 </w:t>
      </w:r>
    </w:p>
    <w:p w14:paraId="190C4683">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kern w:val="0"/>
          <w:sz w:val="21"/>
          <w:szCs w:val="21"/>
          <w:highlight w:val="none"/>
          <w:lang w:val="en-US" w:eastAsia="zh-CN" w:bidi="ar"/>
        </w:rPr>
      </w:pPr>
    </w:p>
    <w:p w14:paraId="48EBBEBC">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kern w:val="0"/>
          <w:sz w:val="21"/>
          <w:szCs w:val="21"/>
          <w:highlight w:val="none"/>
          <w:lang w:val="en-US" w:eastAsia="zh-CN" w:bidi="ar"/>
        </w:rPr>
      </w:pPr>
    </w:p>
    <w:p w14:paraId="339C044C">
      <w:pPr>
        <w:keepNext w:val="0"/>
        <w:keepLines w:val="0"/>
        <w:pageBreakBefore w:val="0"/>
        <w:widowControl/>
        <w:suppressLineNumbers w:val="0"/>
        <w:kinsoku/>
        <w:wordWrap/>
        <w:overflowPunct/>
        <w:topLinePunct w:val="0"/>
        <w:autoSpaceDE/>
        <w:autoSpaceDN/>
        <w:bidi w:val="0"/>
        <w:adjustRightInd/>
        <w:snapToGrid/>
        <w:spacing w:line="600" w:lineRule="exact"/>
        <w:ind w:firstLine="3570" w:firstLineChars="1700"/>
        <w:jc w:val="left"/>
        <w:textAlignment w:val="auto"/>
        <w:rPr>
          <w:color w:val="auto"/>
          <w:sz w:val="21"/>
          <w:szCs w:val="21"/>
          <w:highlight w:val="none"/>
        </w:rPr>
      </w:pPr>
      <w:r>
        <w:rPr>
          <w:rFonts w:hint="eastAsia" w:ascii="宋体" w:hAnsi="宋体" w:eastAsia="宋体" w:cs="宋体"/>
          <w:color w:val="auto"/>
          <w:kern w:val="0"/>
          <w:sz w:val="21"/>
          <w:szCs w:val="21"/>
          <w:highlight w:val="none"/>
          <w:lang w:val="en-US" w:eastAsia="zh-CN" w:bidi="ar"/>
        </w:rPr>
        <w:t>投标人：</w:t>
      </w:r>
      <w:r>
        <w:rPr>
          <w:rFonts w:hint="eastAsia" w:ascii="宋体" w:hAnsi="宋体" w:eastAsia="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 xml:space="preserve"> （盖单位电子公章） </w:t>
      </w:r>
    </w:p>
    <w:p w14:paraId="6D5B3CC2">
      <w:pPr>
        <w:keepNext w:val="0"/>
        <w:keepLines w:val="0"/>
        <w:pageBreakBefore w:val="0"/>
        <w:widowControl/>
        <w:suppressLineNumbers w:val="0"/>
        <w:kinsoku/>
        <w:wordWrap/>
        <w:overflowPunct/>
        <w:topLinePunct w:val="0"/>
        <w:autoSpaceDE/>
        <w:autoSpaceDN/>
        <w:bidi w:val="0"/>
        <w:adjustRightInd/>
        <w:snapToGrid/>
        <w:spacing w:line="600" w:lineRule="exact"/>
        <w:ind w:firstLine="3570" w:firstLineChars="1700"/>
        <w:jc w:val="left"/>
        <w:textAlignment w:val="auto"/>
        <w:rPr>
          <w:color w:val="auto"/>
          <w:sz w:val="21"/>
          <w:szCs w:val="21"/>
          <w:highlight w:val="none"/>
        </w:rPr>
      </w:pPr>
      <w:r>
        <w:rPr>
          <w:rFonts w:hint="eastAsia" w:ascii="宋体" w:hAnsi="宋体" w:eastAsia="宋体" w:cs="宋体"/>
          <w:color w:val="auto"/>
          <w:kern w:val="0"/>
          <w:sz w:val="21"/>
          <w:szCs w:val="21"/>
          <w:highlight w:val="none"/>
          <w:lang w:val="en-US" w:eastAsia="zh-CN" w:bidi="ar"/>
        </w:rPr>
        <w:t>法定代表人：</w:t>
      </w:r>
      <w:r>
        <w:rPr>
          <w:rFonts w:hint="eastAsia" w:ascii="宋体" w:hAnsi="宋体" w:eastAsia="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 xml:space="preserve">（盖法定代表人电子章） </w:t>
      </w:r>
    </w:p>
    <w:p w14:paraId="46B2AF0D">
      <w:pPr>
        <w:keepNext w:val="0"/>
        <w:keepLines w:val="0"/>
        <w:pageBreakBefore w:val="0"/>
        <w:widowControl/>
        <w:suppressLineNumbers w:val="0"/>
        <w:kinsoku/>
        <w:wordWrap/>
        <w:overflowPunct/>
        <w:topLinePunct w:val="0"/>
        <w:autoSpaceDE/>
        <w:autoSpaceDN/>
        <w:bidi w:val="0"/>
        <w:adjustRightInd/>
        <w:snapToGrid/>
        <w:spacing w:line="600" w:lineRule="exact"/>
        <w:ind w:firstLine="3570" w:firstLineChars="1700"/>
        <w:jc w:val="left"/>
        <w:textAlignment w:val="auto"/>
        <w:rPr>
          <w:color w:val="auto"/>
          <w:sz w:val="21"/>
          <w:szCs w:val="21"/>
          <w:highlight w:val="none"/>
        </w:rPr>
      </w:pPr>
      <w:r>
        <w:rPr>
          <w:rFonts w:hint="eastAsia" w:ascii="宋体" w:hAnsi="宋体" w:eastAsia="宋体" w:cs="宋体"/>
          <w:color w:val="auto"/>
          <w:kern w:val="0"/>
          <w:sz w:val="21"/>
          <w:szCs w:val="21"/>
          <w:highlight w:val="none"/>
          <w:lang w:val="en-US" w:eastAsia="zh-CN" w:bidi="ar"/>
        </w:rPr>
        <w:t>日期：</w:t>
      </w:r>
      <w:r>
        <w:rPr>
          <w:rFonts w:hint="eastAsia" w:ascii="宋体" w:hAnsi="宋体" w:eastAsia="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年</w:t>
      </w:r>
      <w:r>
        <w:rPr>
          <w:rFonts w:hint="eastAsia" w:ascii="宋体" w:hAnsi="宋体" w:eastAsia="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月</w:t>
      </w:r>
      <w:r>
        <w:rPr>
          <w:rFonts w:hint="eastAsia" w:ascii="宋体" w:hAnsi="宋体" w:eastAsia="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日</w:t>
      </w:r>
    </w:p>
    <w:p w14:paraId="702280E8">
      <w:pPr>
        <w:pStyle w:val="9"/>
        <w:keepNext w:val="0"/>
        <w:keepLines w:val="0"/>
        <w:pageBreakBefore w:val="0"/>
        <w:widowControl w:val="0"/>
        <w:kinsoku/>
        <w:wordWrap/>
        <w:overflowPunct/>
        <w:topLinePunct w:val="0"/>
        <w:autoSpaceDE/>
        <w:autoSpaceDN/>
        <w:bidi w:val="0"/>
        <w:adjustRightInd/>
        <w:snapToGrid/>
        <w:spacing w:line="440" w:lineRule="exact"/>
        <w:ind w:firstLine="420" w:firstLineChars="200"/>
        <w:jc w:val="center"/>
        <w:textAlignment w:val="auto"/>
        <w:outlineLvl w:val="9"/>
        <w:rPr>
          <w:rFonts w:hint="eastAsia" w:eastAsia="黑体" w:cs="宋体"/>
          <w:color w:val="auto"/>
          <w:sz w:val="21"/>
          <w:szCs w:val="21"/>
          <w:highlight w:val="none"/>
        </w:rPr>
      </w:pPr>
    </w:p>
    <w:p w14:paraId="7795C4AD">
      <w:pPr>
        <w:pStyle w:val="9"/>
        <w:keepNext w:val="0"/>
        <w:keepLines w:val="0"/>
        <w:pageBreakBefore w:val="0"/>
        <w:widowControl w:val="0"/>
        <w:kinsoku/>
        <w:wordWrap/>
        <w:overflowPunct/>
        <w:topLinePunct w:val="0"/>
        <w:autoSpaceDE/>
        <w:autoSpaceDN/>
        <w:bidi w:val="0"/>
        <w:adjustRightInd/>
        <w:snapToGrid/>
        <w:spacing w:line="420" w:lineRule="exact"/>
        <w:ind w:firstLine="600" w:firstLineChars="200"/>
        <w:jc w:val="center"/>
        <w:textAlignment w:val="auto"/>
        <w:outlineLvl w:val="9"/>
        <w:rPr>
          <w:rFonts w:hint="eastAsia" w:eastAsia="黑体" w:cs="宋体"/>
          <w:color w:val="auto"/>
          <w:sz w:val="30"/>
          <w:szCs w:val="30"/>
          <w:highlight w:val="none"/>
        </w:rPr>
      </w:pPr>
    </w:p>
    <w:p w14:paraId="770AE952">
      <w:pPr>
        <w:pStyle w:val="9"/>
        <w:keepNext w:val="0"/>
        <w:keepLines w:val="0"/>
        <w:pageBreakBefore w:val="0"/>
        <w:widowControl w:val="0"/>
        <w:kinsoku/>
        <w:wordWrap/>
        <w:overflowPunct/>
        <w:topLinePunct w:val="0"/>
        <w:autoSpaceDE/>
        <w:autoSpaceDN/>
        <w:bidi w:val="0"/>
        <w:adjustRightInd/>
        <w:snapToGrid/>
        <w:spacing w:line="420" w:lineRule="exact"/>
        <w:ind w:firstLine="600" w:firstLineChars="200"/>
        <w:jc w:val="center"/>
        <w:textAlignment w:val="auto"/>
        <w:outlineLvl w:val="9"/>
        <w:rPr>
          <w:rFonts w:hint="eastAsia" w:eastAsia="黑体" w:cs="宋体"/>
          <w:color w:val="auto"/>
          <w:sz w:val="30"/>
          <w:szCs w:val="30"/>
          <w:highlight w:val="none"/>
        </w:rPr>
      </w:pPr>
    </w:p>
    <w:p w14:paraId="7B8D0DD0">
      <w:pPr>
        <w:pStyle w:val="9"/>
        <w:keepNext w:val="0"/>
        <w:keepLines w:val="0"/>
        <w:pageBreakBefore w:val="0"/>
        <w:widowControl w:val="0"/>
        <w:kinsoku/>
        <w:wordWrap/>
        <w:overflowPunct/>
        <w:topLinePunct w:val="0"/>
        <w:autoSpaceDE/>
        <w:autoSpaceDN/>
        <w:bidi w:val="0"/>
        <w:adjustRightInd/>
        <w:snapToGrid/>
        <w:spacing w:line="420" w:lineRule="exact"/>
        <w:ind w:firstLine="600" w:firstLineChars="200"/>
        <w:jc w:val="center"/>
        <w:textAlignment w:val="auto"/>
        <w:outlineLvl w:val="9"/>
        <w:rPr>
          <w:rFonts w:hint="eastAsia" w:eastAsia="黑体" w:cs="宋体"/>
          <w:color w:val="auto"/>
          <w:sz w:val="30"/>
          <w:szCs w:val="30"/>
          <w:highlight w:val="none"/>
        </w:rPr>
      </w:pPr>
    </w:p>
    <w:p w14:paraId="0125D8C8">
      <w:pPr>
        <w:pStyle w:val="9"/>
        <w:keepNext w:val="0"/>
        <w:keepLines w:val="0"/>
        <w:pageBreakBefore w:val="0"/>
        <w:widowControl w:val="0"/>
        <w:kinsoku/>
        <w:wordWrap/>
        <w:overflowPunct/>
        <w:topLinePunct w:val="0"/>
        <w:autoSpaceDE/>
        <w:autoSpaceDN/>
        <w:bidi w:val="0"/>
        <w:adjustRightInd/>
        <w:snapToGrid/>
        <w:spacing w:line="420" w:lineRule="exact"/>
        <w:ind w:firstLine="600" w:firstLineChars="200"/>
        <w:jc w:val="center"/>
        <w:textAlignment w:val="auto"/>
        <w:outlineLvl w:val="9"/>
        <w:rPr>
          <w:rFonts w:hint="eastAsia" w:eastAsia="黑体" w:cs="宋体"/>
          <w:color w:val="auto"/>
          <w:sz w:val="30"/>
          <w:szCs w:val="30"/>
          <w:highlight w:val="none"/>
        </w:rPr>
      </w:pPr>
      <w:r>
        <w:rPr>
          <w:rFonts w:hint="eastAsia" w:eastAsia="黑体" w:cs="宋体"/>
          <w:color w:val="auto"/>
          <w:sz w:val="30"/>
          <w:szCs w:val="30"/>
          <w:highlight w:val="none"/>
        </w:rPr>
        <w:br w:type="page"/>
      </w:r>
    </w:p>
    <w:p w14:paraId="104B28B8">
      <w:pPr>
        <w:pStyle w:val="9"/>
        <w:keepNext w:val="0"/>
        <w:keepLines w:val="0"/>
        <w:pageBreakBefore w:val="0"/>
        <w:widowControl w:val="0"/>
        <w:kinsoku/>
        <w:wordWrap/>
        <w:overflowPunct/>
        <w:topLinePunct w:val="0"/>
        <w:autoSpaceDE/>
        <w:autoSpaceDN/>
        <w:bidi w:val="0"/>
        <w:adjustRightInd/>
        <w:snapToGrid/>
        <w:spacing w:line="420" w:lineRule="exact"/>
        <w:ind w:firstLine="600" w:firstLineChars="200"/>
        <w:jc w:val="center"/>
        <w:textAlignment w:val="auto"/>
        <w:outlineLvl w:val="2"/>
        <w:rPr>
          <w:rFonts w:hint="eastAsia" w:eastAsia="黑体" w:cs="宋体"/>
          <w:color w:val="auto"/>
          <w:sz w:val="30"/>
          <w:szCs w:val="30"/>
          <w:highlight w:val="none"/>
        </w:rPr>
      </w:pPr>
      <w:bookmarkStart w:id="860" w:name="_Toc7924"/>
      <w:r>
        <w:rPr>
          <w:rFonts w:hint="eastAsia" w:eastAsia="黑体" w:cs="宋体"/>
          <w:color w:val="auto"/>
          <w:sz w:val="30"/>
          <w:szCs w:val="30"/>
          <w:highlight w:val="none"/>
          <w:lang w:val="en-US" w:eastAsia="zh-CN"/>
        </w:rPr>
        <w:t>二</w:t>
      </w:r>
      <w:r>
        <w:rPr>
          <w:rFonts w:hint="eastAsia" w:eastAsia="黑体" w:cs="宋体"/>
          <w:color w:val="auto"/>
          <w:sz w:val="30"/>
          <w:szCs w:val="30"/>
          <w:highlight w:val="none"/>
        </w:rPr>
        <w:t>、已标价工程量清单</w:t>
      </w:r>
      <w:bookmarkEnd w:id="860"/>
    </w:p>
    <w:p w14:paraId="790FDFA1">
      <w:pPr>
        <w:pStyle w:val="9"/>
        <w:topLinePunct/>
        <w:spacing w:line="440" w:lineRule="exact"/>
        <w:ind w:firstLine="420" w:firstLineChars="200"/>
        <w:rPr>
          <w:rFonts w:hint="eastAsia"/>
          <w:color w:val="auto"/>
          <w:szCs w:val="21"/>
          <w:highlight w:val="none"/>
        </w:rPr>
      </w:pPr>
    </w:p>
    <w:p w14:paraId="6C27BFA4">
      <w:pPr>
        <w:pStyle w:val="9"/>
        <w:topLinePunct/>
        <w:spacing w:line="440" w:lineRule="exact"/>
        <w:ind w:firstLine="420" w:firstLineChars="200"/>
        <w:rPr>
          <w:color w:val="auto"/>
          <w:highlight w:val="none"/>
        </w:rPr>
      </w:pPr>
      <w:r>
        <w:rPr>
          <w:rFonts w:hint="eastAsia"/>
          <w:color w:val="auto"/>
          <w:szCs w:val="21"/>
          <w:highlight w:val="none"/>
        </w:rPr>
        <w:t>投标人应按照第五章“工程量清单”的要求逐项填报工程量清单，包括工程量清单说明、投标报价说明、其他说明及工程量清单各项表格（</w:t>
      </w:r>
      <w:r>
        <w:rPr>
          <w:rFonts w:hint="eastAsia" w:ascii="宋体" w:hAnsi="宋体"/>
          <w:color w:val="auto"/>
          <w:highlight w:val="none"/>
        </w:rPr>
        <w:t>工程量清单</w:t>
      </w:r>
      <w:r>
        <w:rPr>
          <w:rFonts w:hint="eastAsia" w:ascii="宋体" w:hAnsi="宋体"/>
          <w:color w:val="auto"/>
          <w:szCs w:val="21"/>
          <w:highlight w:val="none"/>
        </w:rPr>
        <w:t>表</w:t>
      </w:r>
      <w:r>
        <w:rPr>
          <w:rFonts w:hint="eastAsia" w:ascii="宋体" w:hAnsi="宋体" w:eastAsia="宋体"/>
          <w:color w:val="auto"/>
          <w:szCs w:val="21"/>
          <w:highlight w:val="none"/>
        </w:rPr>
        <w:t>4</w:t>
      </w:r>
      <w:r>
        <w:rPr>
          <w:rFonts w:hint="eastAsia" w:ascii="宋体" w:hAnsi="宋体"/>
          <w:color w:val="auto"/>
          <w:szCs w:val="21"/>
          <w:highlight w:val="none"/>
        </w:rPr>
        <w:t>.1、表</w:t>
      </w:r>
      <w:r>
        <w:rPr>
          <w:rFonts w:hint="eastAsia" w:ascii="宋体" w:hAnsi="宋体" w:eastAsia="宋体"/>
          <w:color w:val="auto"/>
          <w:szCs w:val="21"/>
          <w:highlight w:val="none"/>
        </w:rPr>
        <w:t>4</w:t>
      </w:r>
      <w:r>
        <w:rPr>
          <w:rFonts w:hint="eastAsia" w:ascii="宋体" w:hAnsi="宋体"/>
          <w:color w:val="auto"/>
          <w:szCs w:val="21"/>
          <w:highlight w:val="none"/>
        </w:rPr>
        <w:t>.</w:t>
      </w:r>
      <w:r>
        <w:rPr>
          <w:rFonts w:hint="eastAsia" w:ascii="宋体" w:hAnsi="宋体" w:eastAsia="宋体"/>
          <w:color w:val="auto"/>
          <w:szCs w:val="21"/>
          <w:highlight w:val="none"/>
        </w:rPr>
        <w:t>2</w:t>
      </w:r>
      <w:r>
        <w:rPr>
          <w:rFonts w:hint="eastAsia" w:ascii="宋体" w:hAnsi="宋体"/>
          <w:color w:val="auto"/>
          <w:szCs w:val="21"/>
          <w:highlight w:val="none"/>
        </w:rPr>
        <w:t>、表</w:t>
      </w:r>
      <w:r>
        <w:rPr>
          <w:rFonts w:hint="eastAsia" w:ascii="宋体" w:hAnsi="宋体" w:eastAsia="宋体"/>
          <w:color w:val="auto"/>
          <w:szCs w:val="21"/>
          <w:highlight w:val="none"/>
        </w:rPr>
        <w:t>4.3</w:t>
      </w:r>
      <w:r>
        <w:rPr>
          <w:rFonts w:hint="eastAsia"/>
          <w:color w:val="auto"/>
          <w:szCs w:val="21"/>
          <w:highlight w:val="none"/>
        </w:rPr>
        <w:t>）。</w:t>
      </w:r>
    </w:p>
    <w:p w14:paraId="20725CA1">
      <w:pPr>
        <w:pStyle w:val="37"/>
        <w:rPr>
          <w:rFonts w:hint="eastAsia"/>
          <w:color w:val="auto"/>
          <w:highlight w:val="none"/>
          <w:lang w:val="en-US" w:eastAsia="zh-CN"/>
        </w:rPr>
      </w:pPr>
    </w:p>
    <w:bookmarkEnd w:id="861"/>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Narrow">
    <w:altName w:val="Arial"/>
    <w:panose1 w:val="020B0606020202030204"/>
    <w:charset w:val="00"/>
    <w:family w:val="auto"/>
    <w:pitch w:val="default"/>
    <w:sig w:usb0="00000000" w:usb1="00000000" w:usb2="00000000" w:usb3="00000000" w:csb0="2000009F" w:csb1="DFD70000"/>
  </w:font>
  <w:font w:name="华文中宋">
    <w:altName w:val="宋体"/>
    <w:panose1 w:val="02010600040101010101"/>
    <w:charset w:val="86"/>
    <w:family w:val="auto"/>
    <w:pitch w:val="default"/>
    <w:sig w:usb0="00000000" w:usb1="00000000" w:usb2="00000000" w:usb3="00000000" w:csb0="0004009F" w:csb1="DFD70000"/>
  </w:font>
  <w:font w:name="Wingdings 2">
    <w:altName w:val="Wingdings"/>
    <w:panose1 w:val="05020102010507070707"/>
    <w:charset w:val="00"/>
    <w:family w:val="auto"/>
    <w:pitch w:val="default"/>
    <w:sig w:usb0="00000000" w:usb1="00000000" w:usb2="00000000" w:usb3="00000000" w:csb0="80000000" w:csb1="00000000"/>
  </w:font>
  <w:font w:name="Segoe UI Emoji">
    <w:panose1 w:val="020B0502040204020203"/>
    <w:charset w:val="00"/>
    <w:family w:val="swiss"/>
    <w:pitch w:val="default"/>
    <w:sig w:usb0="00000001" w:usb1="02000000" w:usb2="08000000" w:usb3="00000000" w:csb0="00000001" w:csb1="00000000"/>
  </w:font>
  <w:font w:name="Segoe UI Symbol">
    <w:panose1 w:val="020B0502040204020203"/>
    <w:charset w:val="00"/>
    <w:family w:val="swiss"/>
    <w:pitch w:val="default"/>
    <w:sig w:usb0="800001E3" w:usb1="1200FFEF" w:usb2="00040000" w:usb3="04000000" w:csb0="00000001" w:csb1="40000000"/>
  </w:font>
  <w:font w:name="隶书">
    <w:altName w:val="微软雅黑"/>
    <w:panose1 w:val="0201050906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KSOF4F9C2767">
    <w:panose1 w:val="020B0503020204020204"/>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3D47F291">
    <w:panose1 w:val="020B0604020202020204"/>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4EF24">
    <w:pPr>
      <w:pStyle w:val="12"/>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FEB49C7">
                          <w:pPr>
                            <w:pStyle w:val="12"/>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CQBcUK3gEAAL8DAAAOAAAAAAAA&#10;AAEAIAAAAB4BAABkcnMvZTJvRG9jLnhtbFBLBQYAAAAABgAGAFkBAABuBQAAAAA=&#10;">
              <v:fill on="f" focussize="0,0"/>
              <v:stroke on="f"/>
              <v:imagedata o:title=""/>
              <o:lock v:ext="edit" aspectratio="f"/>
              <v:textbox inset="0mm,0mm,0mm,0mm" style="mso-fit-shape-to-text:t;">
                <w:txbxContent>
                  <w:p w14:paraId="4FEB49C7">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AB30CF">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192FAD2">
                          <w:pPr>
                            <w:pStyle w:val="12"/>
                          </w:pPr>
                          <w:r>
                            <w:fldChar w:fldCharType="begin"/>
                          </w:r>
                          <w:r>
                            <w:instrText xml:space="preserve"> PAGE  \* MERGEFORMAT </w:instrText>
                          </w:r>
                          <w:r>
                            <w:fldChar w:fldCharType="separate"/>
                          </w:r>
                          <w:r>
                            <w:t>2</w:t>
                          </w:r>
                          <w:r>
                            <w:fldChar w:fldCharType="end"/>
                          </w:r>
                        </w:p>
                      </w:txbxContent>
                    </wps:txbx>
                    <wps:bodyPr vert="horz" wrap="none" lIns="0" tIns="0" rIns="0" bIns="0" anchor="t" anchorCtr="0" upright="0">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AX495t3gEAAL8DAAAOAAAAAAAA&#10;AAEAIAAAAB4BAABkcnMvZTJvRG9jLnhtbFBLBQYAAAAABgAGAFkBAABuBQAAAAA=&#10;">
              <v:fill on="f" focussize="0,0"/>
              <v:stroke on="f"/>
              <v:imagedata o:title=""/>
              <o:lock v:ext="edit" aspectratio="f"/>
              <v:textbox inset="0mm,0mm,0mm,0mm" style="mso-fit-shape-to-text:t;">
                <w:txbxContent>
                  <w:p w14:paraId="7192FAD2">
                    <w:pPr>
                      <w:pStyle w:val="1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78C1B003">
      <w:pPr>
        <w:pStyle w:val="9"/>
        <w:spacing w:line="300" w:lineRule="exact"/>
        <w:ind w:left="180" w:hanging="180" w:hangingChars="100"/>
        <w:rPr>
          <w:rFonts w:ascii="宋体" w:hAnsi="宋体"/>
          <w:sz w:val="18"/>
          <w:szCs w:val="18"/>
        </w:rPr>
      </w:pPr>
      <w:r>
        <w:rPr>
          <w:rFonts w:hint="eastAsia" w:ascii="宋体" w:hAnsi="宋体"/>
          <w:sz w:val="18"/>
          <w:szCs w:val="18"/>
        </w:rPr>
        <w:footnoteRef/>
      </w:r>
      <w:r>
        <w:rPr>
          <w:rFonts w:hint="eastAsia" w:ascii="宋体" w:hAnsi="宋体"/>
          <w:sz w:val="18"/>
          <w:szCs w:val="18"/>
          <w:highlight w:val="white"/>
        </w:rPr>
        <w:t>正文</w:t>
      </w:r>
      <w:r>
        <w:rPr>
          <w:rFonts w:ascii="宋体" w:hAnsi="宋体"/>
          <w:sz w:val="18"/>
          <w:szCs w:val="18"/>
          <w:highlight w:val="white"/>
        </w:rPr>
        <w:t>内容不得修改</w:t>
      </w:r>
      <w:r>
        <w:rPr>
          <w:rFonts w:hint="eastAsia" w:ascii="宋体" w:hAnsi="宋体"/>
          <w:sz w:val="18"/>
          <w:szCs w:val="18"/>
          <w:highlight w:val="white"/>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CA180DE"/>
    <w:multiLevelType w:val="singleLevel"/>
    <w:tmpl w:val="2CA180DE"/>
    <w:lvl w:ilvl="0" w:tentative="0">
      <w:start w:val="5"/>
      <w:numFmt w:val="decimal"/>
      <w:suff w:val="space"/>
      <w:lvlText w:val="%1."/>
      <w:lvlJc w:val="left"/>
    </w:lvl>
  </w:abstractNum>
  <w:abstractNum w:abstractNumId="1">
    <w:nsid w:val="7C791004"/>
    <w:multiLevelType w:val="singleLevel"/>
    <w:tmpl w:val="7C791004"/>
    <w:lvl w:ilvl="0" w:tentative="0">
      <w:start w:val="6"/>
      <w:numFmt w:val="decimal"/>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hyphenationZone w:val="360"/>
  <w:drawingGridVerticalSpacing w:val="159"/>
  <w:displayHorizontalDrawingGridEvery w:val="1"/>
  <w:displayVerticalDrawingGridEvery w:val="1"/>
  <w:noPunctuationKerning w:val="1"/>
  <w:characterSpacingControl w:val="compressPunctuation"/>
  <w:hdrShapeDefaults>
    <o:shapelayout v:ext="edit">
      <o:idmap v:ext="edit" data="2"/>
    </o:shapelayout>
  </w:hdrShapeDefaults>
  <w:footnotePr>
    <w:footnote w:id="2"/>
    <w:footnote w:id="3"/>
  </w:foot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U3OTRkMTIzMjc0YTVmNjU3MjAwZTBhMWU3ODdiMzMifQ=="/>
  </w:docVars>
  <w:rsids>
    <w:rsidRoot w:val="00787D23"/>
    <w:rsid w:val="00106339"/>
    <w:rsid w:val="00115C63"/>
    <w:rsid w:val="00162121"/>
    <w:rsid w:val="001D7FC0"/>
    <w:rsid w:val="002B06D1"/>
    <w:rsid w:val="00633181"/>
    <w:rsid w:val="00822FE0"/>
    <w:rsid w:val="00FF02DE"/>
    <w:rsid w:val="010243F2"/>
    <w:rsid w:val="011D79E0"/>
    <w:rsid w:val="0147153B"/>
    <w:rsid w:val="01861AC5"/>
    <w:rsid w:val="02186A33"/>
    <w:rsid w:val="024937CF"/>
    <w:rsid w:val="02711CBD"/>
    <w:rsid w:val="02975ACD"/>
    <w:rsid w:val="02A67B13"/>
    <w:rsid w:val="02CA2B68"/>
    <w:rsid w:val="02CB1CF7"/>
    <w:rsid w:val="02DC705F"/>
    <w:rsid w:val="0345799F"/>
    <w:rsid w:val="03641C37"/>
    <w:rsid w:val="036B33ED"/>
    <w:rsid w:val="03AF77E7"/>
    <w:rsid w:val="03C50E3C"/>
    <w:rsid w:val="03DF6104"/>
    <w:rsid w:val="03F02756"/>
    <w:rsid w:val="04AC0746"/>
    <w:rsid w:val="04BE0266"/>
    <w:rsid w:val="04D232E0"/>
    <w:rsid w:val="04D37589"/>
    <w:rsid w:val="04F16E23"/>
    <w:rsid w:val="050E58B1"/>
    <w:rsid w:val="053B5D86"/>
    <w:rsid w:val="057E0E8C"/>
    <w:rsid w:val="058018FE"/>
    <w:rsid w:val="05C70A82"/>
    <w:rsid w:val="06192760"/>
    <w:rsid w:val="061D422C"/>
    <w:rsid w:val="062956B3"/>
    <w:rsid w:val="067D155B"/>
    <w:rsid w:val="06A72421"/>
    <w:rsid w:val="06AF763A"/>
    <w:rsid w:val="06DD57D3"/>
    <w:rsid w:val="07131CBB"/>
    <w:rsid w:val="0717561C"/>
    <w:rsid w:val="0797275A"/>
    <w:rsid w:val="07DE24CD"/>
    <w:rsid w:val="0823744A"/>
    <w:rsid w:val="088421CE"/>
    <w:rsid w:val="089E31D2"/>
    <w:rsid w:val="08B374B6"/>
    <w:rsid w:val="08BD2ED7"/>
    <w:rsid w:val="08CB73FA"/>
    <w:rsid w:val="090132AC"/>
    <w:rsid w:val="094D40F3"/>
    <w:rsid w:val="09727371"/>
    <w:rsid w:val="099D3B04"/>
    <w:rsid w:val="09A61B34"/>
    <w:rsid w:val="0A1F7B28"/>
    <w:rsid w:val="0A6E734C"/>
    <w:rsid w:val="0A70240E"/>
    <w:rsid w:val="0A7D4207"/>
    <w:rsid w:val="0B91599D"/>
    <w:rsid w:val="0C02298B"/>
    <w:rsid w:val="0C0238CE"/>
    <w:rsid w:val="0C2F4286"/>
    <w:rsid w:val="0C3437DB"/>
    <w:rsid w:val="0C7B29E0"/>
    <w:rsid w:val="0C845CBD"/>
    <w:rsid w:val="0CE46C18"/>
    <w:rsid w:val="0D081C70"/>
    <w:rsid w:val="0D48083B"/>
    <w:rsid w:val="0D522B4B"/>
    <w:rsid w:val="0D645222"/>
    <w:rsid w:val="0D9353D1"/>
    <w:rsid w:val="0DB516E5"/>
    <w:rsid w:val="0DB60715"/>
    <w:rsid w:val="0DD02CCD"/>
    <w:rsid w:val="0DDC300B"/>
    <w:rsid w:val="0DF933C9"/>
    <w:rsid w:val="0E0B57A4"/>
    <w:rsid w:val="0E842727"/>
    <w:rsid w:val="0EB05BD3"/>
    <w:rsid w:val="0EB21FBD"/>
    <w:rsid w:val="0ECC2681"/>
    <w:rsid w:val="0FD11834"/>
    <w:rsid w:val="103779DB"/>
    <w:rsid w:val="103F4097"/>
    <w:rsid w:val="10670496"/>
    <w:rsid w:val="10746B2E"/>
    <w:rsid w:val="107B7E97"/>
    <w:rsid w:val="1084291B"/>
    <w:rsid w:val="10E8616A"/>
    <w:rsid w:val="113969A3"/>
    <w:rsid w:val="11571EBF"/>
    <w:rsid w:val="115E22D4"/>
    <w:rsid w:val="1169184C"/>
    <w:rsid w:val="11934D0B"/>
    <w:rsid w:val="11B92EF1"/>
    <w:rsid w:val="11ED331B"/>
    <w:rsid w:val="11FE4527"/>
    <w:rsid w:val="121E0761"/>
    <w:rsid w:val="124468CA"/>
    <w:rsid w:val="128B389F"/>
    <w:rsid w:val="1299658B"/>
    <w:rsid w:val="12C81725"/>
    <w:rsid w:val="12E03B8C"/>
    <w:rsid w:val="12F62DC0"/>
    <w:rsid w:val="12FC2296"/>
    <w:rsid w:val="133337CA"/>
    <w:rsid w:val="13DA4490"/>
    <w:rsid w:val="13F94F14"/>
    <w:rsid w:val="143D63D0"/>
    <w:rsid w:val="144D6A10"/>
    <w:rsid w:val="146636C7"/>
    <w:rsid w:val="14DD5D33"/>
    <w:rsid w:val="14F53AF7"/>
    <w:rsid w:val="15342AB5"/>
    <w:rsid w:val="15670101"/>
    <w:rsid w:val="1592138F"/>
    <w:rsid w:val="1598229B"/>
    <w:rsid w:val="15B605A3"/>
    <w:rsid w:val="15EC02EE"/>
    <w:rsid w:val="167B361E"/>
    <w:rsid w:val="16887738"/>
    <w:rsid w:val="16962AD5"/>
    <w:rsid w:val="16EC3E84"/>
    <w:rsid w:val="176704B8"/>
    <w:rsid w:val="176A5B2B"/>
    <w:rsid w:val="176E5998"/>
    <w:rsid w:val="17773371"/>
    <w:rsid w:val="17B80438"/>
    <w:rsid w:val="17D87C87"/>
    <w:rsid w:val="17DA7F45"/>
    <w:rsid w:val="17F11533"/>
    <w:rsid w:val="180F751F"/>
    <w:rsid w:val="18F460C2"/>
    <w:rsid w:val="191F35C3"/>
    <w:rsid w:val="193F50CC"/>
    <w:rsid w:val="194E20FE"/>
    <w:rsid w:val="19510D51"/>
    <w:rsid w:val="19A31984"/>
    <w:rsid w:val="19E42037"/>
    <w:rsid w:val="19F361D9"/>
    <w:rsid w:val="1A23586B"/>
    <w:rsid w:val="1A4D2EDE"/>
    <w:rsid w:val="1AE7674F"/>
    <w:rsid w:val="1AF6519A"/>
    <w:rsid w:val="1B20231B"/>
    <w:rsid w:val="1B323FFD"/>
    <w:rsid w:val="1BBC1D42"/>
    <w:rsid w:val="1BDF4704"/>
    <w:rsid w:val="1BFA7F25"/>
    <w:rsid w:val="1C337001"/>
    <w:rsid w:val="1C8E56D9"/>
    <w:rsid w:val="1C97204E"/>
    <w:rsid w:val="1CAE3B1A"/>
    <w:rsid w:val="1CD36343"/>
    <w:rsid w:val="1CE22AFD"/>
    <w:rsid w:val="1D1F1D81"/>
    <w:rsid w:val="1D3F1C8A"/>
    <w:rsid w:val="1D880AB9"/>
    <w:rsid w:val="1DD91DE8"/>
    <w:rsid w:val="1DE65826"/>
    <w:rsid w:val="1DF0373C"/>
    <w:rsid w:val="1E245FBC"/>
    <w:rsid w:val="1E4E17AD"/>
    <w:rsid w:val="1EC90B6F"/>
    <w:rsid w:val="1ECB6976"/>
    <w:rsid w:val="1F5C47CB"/>
    <w:rsid w:val="1F5E1C97"/>
    <w:rsid w:val="1F612A89"/>
    <w:rsid w:val="1FC42A5D"/>
    <w:rsid w:val="1FE610C0"/>
    <w:rsid w:val="208D3594"/>
    <w:rsid w:val="20D676F5"/>
    <w:rsid w:val="20FB3357"/>
    <w:rsid w:val="21170549"/>
    <w:rsid w:val="212912B4"/>
    <w:rsid w:val="2141028B"/>
    <w:rsid w:val="214E3CA7"/>
    <w:rsid w:val="21E44C9D"/>
    <w:rsid w:val="21E464DA"/>
    <w:rsid w:val="225B2C40"/>
    <w:rsid w:val="227B74AD"/>
    <w:rsid w:val="229E7788"/>
    <w:rsid w:val="22B631DC"/>
    <w:rsid w:val="22CD0962"/>
    <w:rsid w:val="22D578BE"/>
    <w:rsid w:val="234F53AB"/>
    <w:rsid w:val="235A7E62"/>
    <w:rsid w:val="235D5976"/>
    <w:rsid w:val="23EB6532"/>
    <w:rsid w:val="24374FE7"/>
    <w:rsid w:val="246D070B"/>
    <w:rsid w:val="24A34E2E"/>
    <w:rsid w:val="24BF29B1"/>
    <w:rsid w:val="254832FF"/>
    <w:rsid w:val="25572EF3"/>
    <w:rsid w:val="256A65DA"/>
    <w:rsid w:val="259F3F09"/>
    <w:rsid w:val="25D810F3"/>
    <w:rsid w:val="25FB0AD6"/>
    <w:rsid w:val="26366DC4"/>
    <w:rsid w:val="2648646B"/>
    <w:rsid w:val="268A26A6"/>
    <w:rsid w:val="26BA3C71"/>
    <w:rsid w:val="26E64DC6"/>
    <w:rsid w:val="26F80FC8"/>
    <w:rsid w:val="26FC3140"/>
    <w:rsid w:val="270071AF"/>
    <w:rsid w:val="272E1AF7"/>
    <w:rsid w:val="272E51CD"/>
    <w:rsid w:val="274B5E99"/>
    <w:rsid w:val="277976BC"/>
    <w:rsid w:val="27A921A5"/>
    <w:rsid w:val="28162D76"/>
    <w:rsid w:val="284C6749"/>
    <w:rsid w:val="2859310E"/>
    <w:rsid w:val="286647A7"/>
    <w:rsid w:val="286E5C05"/>
    <w:rsid w:val="289335D2"/>
    <w:rsid w:val="28C039A8"/>
    <w:rsid w:val="28F10528"/>
    <w:rsid w:val="291E22D1"/>
    <w:rsid w:val="29231FDE"/>
    <w:rsid w:val="29295B4E"/>
    <w:rsid w:val="29666809"/>
    <w:rsid w:val="2A097F04"/>
    <w:rsid w:val="2A1079BE"/>
    <w:rsid w:val="2A5204D0"/>
    <w:rsid w:val="2A6A2B2D"/>
    <w:rsid w:val="2B011A84"/>
    <w:rsid w:val="2B0E0A96"/>
    <w:rsid w:val="2B110340"/>
    <w:rsid w:val="2B27711F"/>
    <w:rsid w:val="2BA8390B"/>
    <w:rsid w:val="2BAF55F3"/>
    <w:rsid w:val="2C012EFD"/>
    <w:rsid w:val="2C0B04D0"/>
    <w:rsid w:val="2C1D61D8"/>
    <w:rsid w:val="2C3A1B18"/>
    <w:rsid w:val="2C6D2216"/>
    <w:rsid w:val="2C6E2570"/>
    <w:rsid w:val="2C872DD5"/>
    <w:rsid w:val="2CEE5E6B"/>
    <w:rsid w:val="2D3359E2"/>
    <w:rsid w:val="2D547E2A"/>
    <w:rsid w:val="2D7072B4"/>
    <w:rsid w:val="2D9171BC"/>
    <w:rsid w:val="2E0C6446"/>
    <w:rsid w:val="2E19750B"/>
    <w:rsid w:val="2ECF4F61"/>
    <w:rsid w:val="2EDA1C5B"/>
    <w:rsid w:val="2EEE6784"/>
    <w:rsid w:val="2F116070"/>
    <w:rsid w:val="2F2148C9"/>
    <w:rsid w:val="2F464330"/>
    <w:rsid w:val="2F9832A9"/>
    <w:rsid w:val="2F9B6BA2"/>
    <w:rsid w:val="2FB40738"/>
    <w:rsid w:val="2FCD67FF"/>
    <w:rsid w:val="30157269"/>
    <w:rsid w:val="302018B3"/>
    <w:rsid w:val="302A0225"/>
    <w:rsid w:val="302C0E8F"/>
    <w:rsid w:val="304D5D95"/>
    <w:rsid w:val="30500936"/>
    <w:rsid w:val="30961DDE"/>
    <w:rsid w:val="312B6A7A"/>
    <w:rsid w:val="314C5755"/>
    <w:rsid w:val="31541953"/>
    <w:rsid w:val="317D4C21"/>
    <w:rsid w:val="31CD2861"/>
    <w:rsid w:val="31E67543"/>
    <w:rsid w:val="31F67677"/>
    <w:rsid w:val="31F84007"/>
    <w:rsid w:val="32150C5C"/>
    <w:rsid w:val="323870B4"/>
    <w:rsid w:val="325521B1"/>
    <w:rsid w:val="32853BFE"/>
    <w:rsid w:val="3290431A"/>
    <w:rsid w:val="32B214F0"/>
    <w:rsid w:val="32BC0DC1"/>
    <w:rsid w:val="3304354E"/>
    <w:rsid w:val="33704CF3"/>
    <w:rsid w:val="33717577"/>
    <w:rsid w:val="34217F8B"/>
    <w:rsid w:val="346A6DD0"/>
    <w:rsid w:val="347A52F6"/>
    <w:rsid w:val="34BF3AB1"/>
    <w:rsid w:val="34E56399"/>
    <w:rsid w:val="35313589"/>
    <w:rsid w:val="35512F16"/>
    <w:rsid w:val="35B474AB"/>
    <w:rsid w:val="35CF507F"/>
    <w:rsid w:val="36095FC9"/>
    <w:rsid w:val="36733BBB"/>
    <w:rsid w:val="3676374D"/>
    <w:rsid w:val="368C5949"/>
    <w:rsid w:val="369E42B3"/>
    <w:rsid w:val="36AC716F"/>
    <w:rsid w:val="36E5348A"/>
    <w:rsid w:val="37742466"/>
    <w:rsid w:val="37E31307"/>
    <w:rsid w:val="37E86969"/>
    <w:rsid w:val="380B25BB"/>
    <w:rsid w:val="38100336"/>
    <w:rsid w:val="38596EC7"/>
    <w:rsid w:val="389425D6"/>
    <w:rsid w:val="389E0012"/>
    <w:rsid w:val="38F6256F"/>
    <w:rsid w:val="390073EF"/>
    <w:rsid w:val="39592B25"/>
    <w:rsid w:val="396A6F12"/>
    <w:rsid w:val="39CA71D2"/>
    <w:rsid w:val="39F978E8"/>
    <w:rsid w:val="3A2E5908"/>
    <w:rsid w:val="3A3E2D0D"/>
    <w:rsid w:val="3A8A7B50"/>
    <w:rsid w:val="3A9A78FC"/>
    <w:rsid w:val="3AC95F5F"/>
    <w:rsid w:val="3AE50EA1"/>
    <w:rsid w:val="3AE7516E"/>
    <w:rsid w:val="3AF541D5"/>
    <w:rsid w:val="3B043AB9"/>
    <w:rsid w:val="3B54198D"/>
    <w:rsid w:val="3B5A698D"/>
    <w:rsid w:val="3B8D408E"/>
    <w:rsid w:val="3B914B85"/>
    <w:rsid w:val="3C4C699F"/>
    <w:rsid w:val="3C6321AC"/>
    <w:rsid w:val="3D2B592D"/>
    <w:rsid w:val="3D43654E"/>
    <w:rsid w:val="3DBB366C"/>
    <w:rsid w:val="3E224DF1"/>
    <w:rsid w:val="3E970918"/>
    <w:rsid w:val="3EEE6D88"/>
    <w:rsid w:val="3EF535AA"/>
    <w:rsid w:val="3F174361"/>
    <w:rsid w:val="3F1D583F"/>
    <w:rsid w:val="3F1F4243"/>
    <w:rsid w:val="3F48031B"/>
    <w:rsid w:val="3F745B81"/>
    <w:rsid w:val="3F77084E"/>
    <w:rsid w:val="3FA05727"/>
    <w:rsid w:val="3FB61FB5"/>
    <w:rsid w:val="3FBF4E2E"/>
    <w:rsid w:val="401E32EE"/>
    <w:rsid w:val="407A208B"/>
    <w:rsid w:val="40A73FAD"/>
    <w:rsid w:val="40AD095C"/>
    <w:rsid w:val="40BA766D"/>
    <w:rsid w:val="41122646"/>
    <w:rsid w:val="413C328A"/>
    <w:rsid w:val="41417ADC"/>
    <w:rsid w:val="414666BF"/>
    <w:rsid w:val="415A1F89"/>
    <w:rsid w:val="41617F37"/>
    <w:rsid w:val="4186746A"/>
    <w:rsid w:val="41893F44"/>
    <w:rsid w:val="41F51F35"/>
    <w:rsid w:val="41F63994"/>
    <w:rsid w:val="41FF32C3"/>
    <w:rsid w:val="420B1DE6"/>
    <w:rsid w:val="42226BBC"/>
    <w:rsid w:val="4223390C"/>
    <w:rsid w:val="4223546C"/>
    <w:rsid w:val="427A6822"/>
    <w:rsid w:val="428F2EE1"/>
    <w:rsid w:val="42A52E4C"/>
    <w:rsid w:val="42E04348"/>
    <w:rsid w:val="42E41B10"/>
    <w:rsid w:val="43342EEC"/>
    <w:rsid w:val="43592F3B"/>
    <w:rsid w:val="439B3F9B"/>
    <w:rsid w:val="43A65657"/>
    <w:rsid w:val="43C3096A"/>
    <w:rsid w:val="43C42339"/>
    <w:rsid w:val="43CA75C8"/>
    <w:rsid w:val="442F366C"/>
    <w:rsid w:val="4471138A"/>
    <w:rsid w:val="448909AD"/>
    <w:rsid w:val="44945BA5"/>
    <w:rsid w:val="44A556E4"/>
    <w:rsid w:val="44FA19ED"/>
    <w:rsid w:val="452A6588"/>
    <w:rsid w:val="452B46FC"/>
    <w:rsid w:val="455E7649"/>
    <w:rsid w:val="457A1CD2"/>
    <w:rsid w:val="45AA7EB0"/>
    <w:rsid w:val="45DF5FF9"/>
    <w:rsid w:val="464452B2"/>
    <w:rsid w:val="4672273C"/>
    <w:rsid w:val="468C503A"/>
    <w:rsid w:val="46BD42AB"/>
    <w:rsid w:val="473C166C"/>
    <w:rsid w:val="476F19C0"/>
    <w:rsid w:val="478F19C1"/>
    <w:rsid w:val="479037A9"/>
    <w:rsid w:val="47B17CC7"/>
    <w:rsid w:val="47F47092"/>
    <w:rsid w:val="486214B1"/>
    <w:rsid w:val="48B11577"/>
    <w:rsid w:val="48F30C2D"/>
    <w:rsid w:val="490B5F77"/>
    <w:rsid w:val="493E3E51"/>
    <w:rsid w:val="49ED2917"/>
    <w:rsid w:val="4A0E3D05"/>
    <w:rsid w:val="4A387DC2"/>
    <w:rsid w:val="4A5060FC"/>
    <w:rsid w:val="4AE504A8"/>
    <w:rsid w:val="4AE67488"/>
    <w:rsid w:val="4B2A7ABD"/>
    <w:rsid w:val="4B6F5445"/>
    <w:rsid w:val="4BFA2E97"/>
    <w:rsid w:val="4C347693"/>
    <w:rsid w:val="4C685E77"/>
    <w:rsid w:val="4CBC7038"/>
    <w:rsid w:val="4CD241FD"/>
    <w:rsid w:val="4CF37B37"/>
    <w:rsid w:val="4D07114B"/>
    <w:rsid w:val="4D1809DA"/>
    <w:rsid w:val="4D3670DF"/>
    <w:rsid w:val="4D4F7233"/>
    <w:rsid w:val="4D5C1497"/>
    <w:rsid w:val="4DBC600B"/>
    <w:rsid w:val="4DD67B19"/>
    <w:rsid w:val="4DEA7C86"/>
    <w:rsid w:val="4DF00795"/>
    <w:rsid w:val="4E5450C2"/>
    <w:rsid w:val="4E6D77B0"/>
    <w:rsid w:val="4EDD03B5"/>
    <w:rsid w:val="4F6501BC"/>
    <w:rsid w:val="4F722CCD"/>
    <w:rsid w:val="4FC16957"/>
    <w:rsid w:val="4FE54E2F"/>
    <w:rsid w:val="503C40F6"/>
    <w:rsid w:val="506D1DE3"/>
    <w:rsid w:val="509E0CAC"/>
    <w:rsid w:val="50BA60CD"/>
    <w:rsid w:val="51700675"/>
    <w:rsid w:val="51812A8A"/>
    <w:rsid w:val="518351FA"/>
    <w:rsid w:val="51DF61F2"/>
    <w:rsid w:val="51E67581"/>
    <w:rsid w:val="51FA7872"/>
    <w:rsid w:val="5205184A"/>
    <w:rsid w:val="5208064F"/>
    <w:rsid w:val="522212B5"/>
    <w:rsid w:val="52373D7F"/>
    <w:rsid w:val="52727FED"/>
    <w:rsid w:val="52B61B2C"/>
    <w:rsid w:val="52DC721D"/>
    <w:rsid w:val="52E664E7"/>
    <w:rsid w:val="52F14C18"/>
    <w:rsid w:val="531C18BD"/>
    <w:rsid w:val="53567105"/>
    <w:rsid w:val="53802749"/>
    <w:rsid w:val="54062197"/>
    <w:rsid w:val="5430402B"/>
    <w:rsid w:val="545207AB"/>
    <w:rsid w:val="54802A0E"/>
    <w:rsid w:val="549518D3"/>
    <w:rsid w:val="55597234"/>
    <w:rsid w:val="555F4498"/>
    <w:rsid w:val="559F06D1"/>
    <w:rsid w:val="55A626B7"/>
    <w:rsid w:val="55E71514"/>
    <w:rsid w:val="55E71B19"/>
    <w:rsid w:val="56423D62"/>
    <w:rsid w:val="56593E18"/>
    <w:rsid w:val="5660454B"/>
    <w:rsid w:val="56CC6524"/>
    <w:rsid w:val="56E62BAC"/>
    <w:rsid w:val="570F6B2B"/>
    <w:rsid w:val="57AF535E"/>
    <w:rsid w:val="57BF1B0B"/>
    <w:rsid w:val="57EA476C"/>
    <w:rsid w:val="58001A27"/>
    <w:rsid w:val="5806097D"/>
    <w:rsid w:val="5875165E"/>
    <w:rsid w:val="587F072F"/>
    <w:rsid w:val="592A362F"/>
    <w:rsid w:val="597B37A0"/>
    <w:rsid w:val="59884E22"/>
    <w:rsid w:val="59916AC5"/>
    <w:rsid w:val="59996400"/>
    <w:rsid w:val="599D5785"/>
    <w:rsid w:val="59C37B88"/>
    <w:rsid w:val="59C575D2"/>
    <w:rsid w:val="5A3C0C98"/>
    <w:rsid w:val="5A971146"/>
    <w:rsid w:val="5A9A62CB"/>
    <w:rsid w:val="5AA36965"/>
    <w:rsid w:val="5ACE2385"/>
    <w:rsid w:val="5B294982"/>
    <w:rsid w:val="5B9F39FA"/>
    <w:rsid w:val="5C4F3C4A"/>
    <w:rsid w:val="5D347E9D"/>
    <w:rsid w:val="5D806455"/>
    <w:rsid w:val="5DA76630"/>
    <w:rsid w:val="5E3F33CF"/>
    <w:rsid w:val="5E71747E"/>
    <w:rsid w:val="5E820230"/>
    <w:rsid w:val="5E9B5A92"/>
    <w:rsid w:val="5EED1C89"/>
    <w:rsid w:val="5F320D4B"/>
    <w:rsid w:val="5F45710A"/>
    <w:rsid w:val="5F471EAD"/>
    <w:rsid w:val="5F49081E"/>
    <w:rsid w:val="5F7E3C52"/>
    <w:rsid w:val="5F8E5AC6"/>
    <w:rsid w:val="5F94738F"/>
    <w:rsid w:val="5FB81560"/>
    <w:rsid w:val="5FC6342F"/>
    <w:rsid w:val="603B2467"/>
    <w:rsid w:val="605D5263"/>
    <w:rsid w:val="606B54EC"/>
    <w:rsid w:val="60B1007A"/>
    <w:rsid w:val="60C26576"/>
    <w:rsid w:val="60E05B3D"/>
    <w:rsid w:val="60F17CF0"/>
    <w:rsid w:val="614F54DD"/>
    <w:rsid w:val="62200FA7"/>
    <w:rsid w:val="62A1135C"/>
    <w:rsid w:val="62A220A1"/>
    <w:rsid w:val="62C76E07"/>
    <w:rsid w:val="62CD3BB8"/>
    <w:rsid w:val="62F84755"/>
    <w:rsid w:val="630F445E"/>
    <w:rsid w:val="6375392B"/>
    <w:rsid w:val="63B92B76"/>
    <w:rsid w:val="63D341AA"/>
    <w:rsid w:val="641136AC"/>
    <w:rsid w:val="647030B0"/>
    <w:rsid w:val="64715DE8"/>
    <w:rsid w:val="649E018F"/>
    <w:rsid w:val="64E275B7"/>
    <w:rsid w:val="651C1F29"/>
    <w:rsid w:val="65AE7F5E"/>
    <w:rsid w:val="65B62403"/>
    <w:rsid w:val="65C2710A"/>
    <w:rsid w:val="65D908D0"/>
    <w:rsid w:val="665A2CA8"/>
    <w:rsid w:val="666C0620"/>
    <w:rsid w:val="667A19FC"/>
    <w:rsid w:val="6683763C"/>
    <w:rsid w:val="66893D8F"/>
    <w:rsid w:val="66AF4C73"/>
    <w:rsid w:val="66EA4843"/>
    <w:rsid w:val="67096B22"/>
    <w:rsid w:val="671D1694"/>
    <w:rsid w:val="673276A1"/>
    <w:rsid w:val="67430B7A"/>
    <w:rsid w:val="67684380"/>
    <w:rsid w:val="67717495"/>
    <w:rsid w:val="67B85DDC"/>
    <w:rsid w:val="67D068B1"/>
    <w:rsid w:val="687C5CBB"/>
    <w:rsid w:val="689C5CAA"/>
    <w:rsid w:val="68C869CA"/>
    <w:rsid w:val="690A44B6"/>
    <w:rsid w:val="692E632C"/>
    <w:rsid w:val="693D1A53"/>
    <w:rsid w:val="69B55E34"/>
    <w:rsid w:val="6A222CC8"/>
    <w:rsid w:val="6A2D624C"/>
    <w:rsid w:val="6A3136BE"/>
    <w:rsid w:val="6A343C96"/>
    <w:rsid w:val="6A892D47"/>
    <w:rsid w:val="6AEE3135"/>
    <w:rsid w:val="6B2F292D"/>
    <w:rsid w:val="6B4578DB"/>
    <w:rsid w:val="6B696AF6"/>
    <w:rsid w:val="6B762BE3"/>
    <w:rsid w:val="6B7E6AB8"/>
    <w:rsid w:val="6BCA3618"/>
    <w:rsid w:val="6BD476EE"/>
    <w:rsid w:val="6C027C40"/>
    <w:rsid w:val="6CB877BB"/>
    <w:rsid w:val="6CD9146E"/>
    <w:rsid w:val="6CEC490E"/>
    <w:rsid w:val="6CF56451"/>
    <w:rsid w:val="6D2B408E"/>
    <w:rsid w:val="6D40061E"/>
    <w:rsid w:val="6D40230D"/>
    <w:rsid w:val="6D9E6D2C"/>
    <w:rsid w:val="6DA803FD"/>
    <w:rsid w:val="6DC0166A"/>
    <w:rsid w:val="6DD8026E"/>
    <w:rsid w:val="6E4124D9"/>
    <w:rsid w:val="6E873A42"/>
    <w:rsid w:val="6EB57086"/>
    <w:rsid w:val="6EE4021E"/>
    <w:rsid w:val="6F046E40"/>
    <w:rsid w:val="6F3A3986"/>
    <w:rsid w:val="6F416D8D"/>
    <w:rsid w:val="6F980B27"/>
    <w:rsid w:val="6F9A769F"/>
    <w:rsid w:val="6FA00AF2"/>
    <w:rsid w:val="6FAB7B91"/>
    <w:rsid w:val="6FD22927"/>
    <w:rsid w:val="6FF51B3B"/>
    <w:rsid w:val="6FF83AAE"/>
    <w:rsid w:val="701D4E16"/>
    <w:rsid w:val="702E0EDE"/>
    <w:rsid w:val="70633683"/>
    <w:rsid w:val="70722A8E"/>
    <w:rsid w:val="707F2C23"/>
    <w:rsid w:val="708416EA"/>
    <w:rsid w:val="709C00EB"/>
    <w:rsid w:val="70B95C57"/>
    <w:rsid w:val="70D02E48"/>
    <w:rsid w:val="70DA42FD"/>
    <w:rsid w:val="713B43D1"/>
    <w:rsid w:val="713C6D66"/>
    <w:rsid w:val="71403CBB"/>
    <w:rsid w:val="71EC5A71"/>
    <w:rsid w:val="722417A6"/>
    <w:rsid w:val="723A210D"/>
    <w:rsid w:val="72435ED2"/>
    <w:rsid w:val="72442376"/>
    <w:rsid w:val="72970386"/>
    <w:rsid w:val="72BE7F8F"/>
    <w:rsid w:val="730E028E"/>
    <w:rsid w:val="73551307"/>
    <w:rsid w:val="73722D24"/>
    <w:rsid w:val="73EE1DB5"/>
    <w:rsid w:val="741F2C31"/>
    <w:rsid w:val="742278BE"/>
    <w:rsid w:val="743A4A33"/>
    <w:rsid w:val="744405CF"/>
    <w:rsid w:val="747800B5"/>
    <w:rsid w:val="747F4FE2"/>
    <w:rsid w:val="74B66A6D"/>
    <w:rsid w:val="74E57CB5"/>
    <w:rsid w:val="74F0792C"/>
    <w:rsid w:val="75482A22"/>
    <w:rsid w:val="756B0543"/>
    <w:rsid w:val="75A4714C"/>
    <w:rsid w:val="75C80E76"/>
    <w:rsid w:val="75F63689"/>
    <w:rsid w:val="75F64CF1"/>
    <w:rsid w:val="763B7EA7"/>
    <w:rsid w:val="763E59D5"/>
    <w:rsid w:val="764D6D31"/>
    <w:rsid w:val="764F04F9"/>
    <w:rsid w:val="769E5DCD"/>
    <w:rsid w:val="76AD7DBE"/>
    <w:rsid w:val="76D8308D"/>
    <w:rsid w:val="76FA43B9"/>
    <w:rsid w:val="77090716"/>
    <w:rsid w:val="772E01FD"/>
    <w:rsid w:val="77411D2A"/>
    <w:rsid w:val="774E3575"/>
    <w:rsid w:val="77725176"/>
    <w:rsid w:val="77A311CE"/>
    <w:rsid w:val="78105116"/>
    <w:rsid w:val="78C81DFD"/>
    <w:rsid w:val="78F103FE"/>
    <w:rsid w:val="79045DB7"/>
    <w:rsid w:val="79285D3F"/>
    <w:rsid w:val="79524C5E"/>
    <w:rsid w:val="796E11E0"/>
    <w:rsid w:val="797473B6"/>
    <w:rsid w:val="79CB38FC"/>
    <w:rsid w:val="7A070AFC"/>
    <w:rsid w:val="7A322426"/>
    <w:rsid w:val="7A4D5B40"/>
    <w:rsid w:val="7A507140"/>
    <w:rsid w:val="7A9521D2"/>
    <w:rsid w:val="7AB13F57"/>
    <w:rsid w:val="7B0C1557"/>
    <w:rsid w:val="7B10357C"/>
    <w:rsid w:val="7B7456D8"/>
    <w:rsid w:val="7B791FBE"/>
    <w:rsid w:val="7B876FD6"/>
    <w:rsid w:val="7BF32CA4"/>
    <w:rsid w:val="7C080521"/>
    <w:rsid w:val="7C20057A"/>
    <w:rsid w:val="7C384685"/>
    <w:rsid w:val="7C4500FD"/>
    <w:rsid w:val="7C792973"/>
    <w:rsid w:val="7C7D04B4"/>
    <w:rsid w:val="7C7E26C3"/>
    <w:rsid w:val="7CA10545"/>
    <w:rsid w:val="7CB95ACA"/>
    <w:rsid w:val="7D424CD4"/>
    <w:rsid w:val="7DA837E0"/>
    <w:rsid w:val="7DF51186"/>
    <w:rsid w:val="7DF804B8"/>
    <w:rsid w:val="7E3651E9"/>
    <w:rsid w:val="7E40076A"/>
    <w:rsid w:val="7E4C0A1D"/>
    <w:rsid w:val="7E676FEC"/>
    <w:rsid w:val="7F496698"/>
    <w:rsid w:val="7FB0104A"/>
    <w:rsid w:val="7FE05EA8"/>
    <w:rsid w:val="7FE6189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uiPriority="39" w:name="toc 4"/>
    <w:lsdException w:uiPriority="39" w:name="toc 5"/>
    <w:lsdException w:qFormat="1" w:unhideWhenUsed="0" w:uiPriority="39" w:semiHidden="0" w:name="toc 6"/>
    <w:lsdException w:uiPriority="39" w:name="toc 7"/>
    <w:lsdException w:uiPriority="39" w:name="toc 8"/>
    <w:lsdException w:uiPriority="39" w:name="toc 9"/>
    <w:lsdException w:qFormat="1" w:unhideWhenUsed="0" w:uiPriority="0" w:semiHidden="0" w:name="Normal Indent"/>
    <w:lsdException w:qFormat="1" w:unhideWhenUsed="0" w:uiPriority="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link w:val="29"/>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30"/>
    <w:qFormat/>
    <w:uiPriority w:val="9"/>
    <w:pPr>
      <w:keepNext/>
      <w:keepLines/>
      <w:spacing w:before="260" w:after="260" w:line="416" w:lineRule="auto"/>
      <w:outlineLvl w:val="1"/>
    </w:pPr>
    <w:rPr>
      <w:rFonts w:ascii="Calibri Light" w:hAnsi="Calibri Light" w:eastAsia="宋体" w:cs="Times New Roman"/>
      <w:b/>
      <w:bCs/>
      <w:sz w:val="32"/>
      <w:szCs w:val="32"/>
    </w:rPr>
  </w:style>
  <w:style w:type="paragraph" w:styleId="5">
    <w:name w:val="heading 3"/>
    <w:basedOn w:val="1"/>
    <w:next w:val="1"/>
    <w:link w:val="31"/>
    <w:qFormat/>
    <w:uiPriority w:val="9"/>
    <w:pPr>
      <w:keepNext/>
      <w:keepLines/>
      <w:spacing w:before="260" w:after="260" w:line="416" w:lineRule="auto"/>
      <w:outlineLvl w:val="2"/>
    </w:pPr>
    <w:rPr>
      <w:b/>
      <w:bCs/>
      <w:sz w:val="32"/>
      <w:szCs w:val="32"/>
    </w:rPr>
  </w:style>
  <w:style w:type="character" w:default="1" w:styleId="25">
    <w:name w:val="Default Paragraph Font"/>
    <w:unhideWhenUsed/>
    <w:qFormat/>
    <w:uiPriority w:val="1"/>
  </w:style>
  <w:style w:type="table" w:default="1" w:styleId="23">
    <w:name w:val="Normal Table"/>
    <w:unhideWhenUsed/>
    <w:qFormat/>
    <w:uiPriority w:val="99"/>
    <w:tblPr>
      <w:tblCellMar>
        <w:top w:w="0" w:type="dxa"/>
        <w:left w:w="108" w:type="dxa"/>
        <w:bottom w:w="0" w:type="dxa"/>
        <w:right w:w="108" w:type="dxa"/>
      </w:tblCellMar>
    </w:tblPr>
  </w:style>
  <w:style w:type="paragraph" w:styleId="2">
    <w:name w:val="Body Text"/>
    <w:basedOn w:val="1"/>
    <w:qFormat/>
    <w:uiPriority w:val="0"/>
    <w:pPr>
      <w:framePr w:hSpace="180" w:wrap="around" w:vAnchor="page" w:hAnchor="margin" w:y="3702"/>
      <w:spacing w:before="50" w:beforeLines="50" w:after="50" w:afterLines="50"/>
    </w:pPr>
    <w:rPr>
      <w:rFonts w:ascii="宋体" w:hAnsi="宋体"/>
      <w:szCs w:val="21"/>
    </w:rPr>
  </w:style>
  <w:style w:type="paragraph" w:styleId="6">
    <w:name w:val="Normal Indent"/>
    <w:basedOn w:val="1"/>
    <w:next w:val="7"/>
    <w:qFormat/>
    <w:uiPriority w:val="0"/>
    <w:pPr>
      <w:ind w:firstLine="420" w:firstLineChars="200"/>
    </w:pPr>
    <w:rPr>
      <w:rFonts w:ascii="Tahoma" w:hAnsi="Tahoma"/>
      <w:szCs w:val="20"/>
    </w:rPr>
  </w:style>
  <w:style w:type="paragraph" w:styleId="7">
    <w:name w:val="Body Text Indent"/>
    <w:basedOn w:val="1"/>
    <w:next w:val="6"/>
    <w:qFormat/>
    <w:uiPriority w:val="0"/>
    <w:pPr>
      <w:spacing w:after="120" w:afterLines="0"/>
      <w:ind w:left="420" w:leftChars="200"/>
    </w:pPr>
  </w:style>
  <w:style w:type="paragraph" w:styleId="8">
    <w:name w:val="toc 3"/>
    <w:basedOn w:val="9"/>
    <w:next w:val="9"/>
    <w:qFormat/>
    <w:uiPriority w:val="39"/>
    <w:pPr>
      <w:ind w:left="840" w:leftChars="400"/>
    </w:pPr>
    <w:rPr>
      <w:rFonts w:ascii="Times New Roman" w:hAnsi="Times New Roman"/>
    </w:rPr>
  </w:style>
  <w:style w:type="paragraph" w:customStyle="1" w:styleId="9">
    <w:name w:val="正文_0"/>
    <w:basedOn w:val="10"/>
    <w:next w:val="11"/>
    <w:qFormat/>
    <w:uiPriority w:val="0"/>
    <w:pPr>
      <w:widowControl w:val="0"/>
      <w:jc w:val="both"/>
    </w:pPr>
    <w:rPr>
      <w:rFonts w:ascii="Times New Roman" w:hAnsi="Times New Roman"/>
      <w:kern w:val="2"/>
      <w:sz w:val="21"/>
      <w:szCs w:val="22"/>
      <w:lang w:val="en-US" w:eastAsia="zh-CN" w:bidi="ar-SA"/>
    </w:rPr>
  </w:style>
  <w:style w:type="paragraph" w:customStyle="1" w:styleId="10">
    <w:name w:val="Normal"/>
    <w:qFormat/>
    <w:uiPriority w:val="0"/>
    <w:rPr>
      <w:rFonts w:ascii="Times New Roman" w:hAnsi="Times New Roman" w:eastAsia="Times New Roman" w:cs="Times New Roman"/>
      <w:sz w:val="24"/>
      <w:szCs w:val="24"/>
      <w:lang w:bidi="ar-SA"/>
    </w:rPr>
  </w:style>
  <w:style w:type="paragraph" w:customStyle="1" w:styleId="11">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styleId="12">
    <w:name w:val="footer"/>
    <w:basedOn w:val="1"/>
    <w:link w:val="32"/>
    <w:unhideWhenUsed/>
    <w:qFormat/>
    <w:uiPriority w:val="99"/>
    <w:pPr>
      <w:tabs>
        <w:tab w:val="center" w:pos="4153"/>
        <w:tab w:val="right" w:pos="8306"/>
      </w:tabs>
      <w:snapToGrid w:val="0"/>
      <w:jc w:val="left"/>
    </w:pPr>
    <w:rPr>
      <w:sz w:val="18"/>
      <w:szCs w:val="18"/>
    </w:rPr>
  </w:style>
  <w:style w:type="paragraph" w:styleId="13">
    <w:name w:val="header"/>
    <w:basedOn w:val="1"/>
    <w:link w:val="33"/>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9"/>
    <w:next w:val="9"/>
    <w:qFormat/>
    <w:uiPriority w:val="39"/>
    <w:pPr>
      <w:tabs>
        <w:tab w:val="right" w:leader="dot" w:pos="9174"/>
      </w:tabs>
      <w:jc w:val="center"/>
    </w:pPr>
    <w:rPr>
      <w:rFonts w:ascii="Times New Roman" w:hAnsi="Times New Roman"/>
    </w:rPr>
  </w:style>
  <w:style w:type="paragraph" w:styleId="15">
    <w:name w:val="footnote text"/>
    <w:basedOn w:val="1"/>
    <w:semiHidden/>
    <w:qFormat/>
    <w:uiPriority w:val="0"/>
    <w:pPr>
      <w:snapToGrid w:val="0"/>
      <w:jc w:val="left"/>
    </w:pPr>
    <w:rPr>
      <w:rFonts w:ascii="Times New Roman" w:hAnsi="Times New Roman"/>
      <w:sz w:val="18"/>
      <w:szCs w:val="18"/>
    </w:rPr>
  </w:style>
  <w:style w:type="paragraph" w:styleId="16">
    <w:name w:val="toc 6"/>
    <w:basedOn w:val="9"/>
    <w:next w:val="9"/>
    <w:qFormat/>
    <w:uiPriority w:val="39"/>
    <w:pPr>
      <w:ind w:left="2100" w:leftChars="1000"/>
    </w:pPr>
  </w:style>
  <w:style w:type="paragraph" w:styleId="17">
    <w:name w:val="toc 2"/>
    <w:basedOn w:val="9"/>
    <w:next w:val="9"/>
    <w:qFormat/>
    <w:uiPriority w:val="39"/>
    <w:pPr>
      <w:ind w:left="420" w:leftChars="200"/>
    </w:pPr>
    <w:rPr>
      <w:rFonts w:ascii="Times New Roman" w:hAnsi="Times New Roman"/>
    </w:rPr>
  </w:style>
  <w:style w:type="paragraph" w:styleId="18">
    <w:name w:val="Normal (Web)"/>
    <w:basedOn w:val="9"/>
    <w:qFormat/>
    <w:uiPriority w:val="0"/>
    <w:pPr>
      <w:widowControl/>
      <w:spacing w:before="100" w:beforeAutospacing="1" w:after="100" w:afterAutospacing="1"/>
      <w:jc w:val="left"/>
    </w:pPr>
    <w:rPr>
      <w:rFonts w:ascii="宋体" w:hAnsi="Times New Roman" w:cs="宋体"/>
      <w:color w:val="000000"/>
      <w:kern w:val="0"/>
      <w:sz w:val="24"/>
      <w:szCs w:val="21"/>
    </w:rPr>
  </w:style>
  <w:style w:type="paragraph" w:styleId="19">
    <w:name w:val="Title"/>
    <w:next w:val="1"/>
    <w:qFormat/>
    <w:uiPriority w:val="0"/>
    <w:pPr>
      <w:widowControl w:val="0"/>
      <w:autoSpaceDE w:val="0"/>
      <w:autoSpaceDN w:val="0"/>
      <w:adjustRightInd w:val="0"/>
      <w:spacing w:before="240" w:after="60" w:line="420" w:lineRule="atLeast"/>
      <w:jc w:val="center"/>
      <w:textAlignment w:val="baseline"/>
      <w:outlineLvl w:val="0"/>
    </w:pPr>
    <w:rPr>
      <w:rFonts w:ascii="Arial" w:hAnsi="Arial" w:eastAsia="宋体" w:cs="Times New Roman"/>
      <w:b/>
      <w:kern w:val="0"/>
      <w:sz w:val="32"/>
      <w:szCs w:val="20"/>
      <w:lang w:val="en-US" w:eastAsia="zh-CN" w:bidi="ar-SA"/>
    </w:rPr>
  </w:style>
  <w:style w:type="paragraph" w:styleId="20">
    <w:name w:val="Body Text First Indent"/>
    <w:basedOn w:val="1"/>
    <w:next w:val="16"/>
    <w:qFormat/>
    <w:uiPriority w:val="0"/>
    <w:pPr>
      <w:tabs>
        <w:tab w:val="left" w:pos="482"/>
        <w:tab w:val="left" w:pos="2183"/>
        <w:tab w:val="left" w:pos="3884"/>
        <w:tab w:val="left" w:pos="5585"/>
      </w:tabs>
      <w:adjustRightInd w:val="0"/>
      <w:spacing w:after="0"/>
      <w:ind w:firstLine="482"/>
      <w:textAlignment w:val="baseline"/>
    </w:pPr>
    <w:rPr>
      <w:rFonts w:ascii="Times New Roman" w:hAnsi="Times New Roman"/>
      <w:kern w:val="0"/>
      <w:sz w:val="24"/>
      <w:szCs w:val="20"/>
    </w:rPr>
  </w:style>
  <w:style w:type="paragraph" w:styleId="21">
    <w:name w:val="Body Text First Indent 2"/>
    <w:basedOn w:val="7"/>
    <w:next w:val="22"/>
    <w:qFormat/>
    <w:uiPriority w:val="0"/>
    <w:pPr>
      <w:ind w:firstLine="420" w:firstLineChars="200"/>
    </w:pPr>
  </w:style>
  <w:style w:type="paragraph" w:customStyle="1" w:styleId="22">
    <w:name w:val="xl53"/>
    <w:basedOn w:val="1"/>
    <w:next w:val="1"/>
    <w:qFormat/>
    <w:uiPriority w:val="0"/>
    <w:pPr>
      <w:widowControl/>
      <w:pBdr>
        <w:top w:val="single" w:color="auto" w:sz="8" w:space="0"/>
        <w:left w:val="single" w:color="auto" w:sz="8" w:space="0"/>
        <w:bottom w:val="single" w:color="auto" w:sz="8" w:space="0"/>
        <w:right w:val="single" w:color="auto" w:sz="8" w:space="0"/>
      </w:pBdr>
      <w:spacing w:before="100" w:beforeLines="0" w:beforeAutospacing="1" w:after="100" w:afterLines="0" w:afterAutospacing="1"/>
      <w:jc w:val="left"/>
    </w:pPr>
    <w:rPr>
      <w:rFonts w:ascii="宋体" w:hAnsi="宋体" w:cs="宋体"/>
      <w:kern w:val="0"/>
      <w:sz w:val="18"/>
      <w:szCs w:val="18"/>
    </w:rPr>
  </w:style>
  <w:style w:type="table" w:styleId="24">
    <w:name w:val="Table Grid"/>
    <w:basedOn w:val="23"/>
    <w:qFormat/>
    <w:uiPriority w:val="0"/>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qFormat/>
    <w:uiPriority w:val="0"/>
    <w:rPr>
      <w:b/>
    </w:rPr>
  </w:style>
  <w:style w:type="character" w:styleId="27">
    <w:name w:val="Hyperlink"/>
    <w:qFormat/>
    <w:uiPriority w:val="0"/>
    <w:rPr>
      <w:rFonts w:ascii="Times New Roman" w:hAnsi="Times New Roman"/>
      <w:color w:val="0000FF"/>
      <w:u w:val="single"/>
    </w:rPr>
  </w:style>
  <w:style w:type="character" w:styleId="28">
    <w:name w:val="footnote reference"/>
    <w:semiHidden/>
    <w:qFormat/>
    <w:uiPriority w:val="0"/>
    <w:rPr>
      <w:rFonts w:ascii="Times New Roman" w:hAnsi="Times New Roman"/>
      <w:vertAlign w:val="superscript"/>
    </w:rPr>
  </w:style>
  <w:style w:type="character" w:customStyle="1" w:styleId="29">
    <w:name w:val="标题 1 Char"/>
    <w:link w:val="3"/>
    <w:qFormat/>
    <w:uiPriority w:val="9"/>
    <w:rPr>
      <w:b/>
      <w:bCs/>
      <w:kern w:val="44"/>
      <w:sz w:val="44"/>
      <w:szCs w:val="44"/>
    </w:rPr>
  </w:style>
  <w:style w:type="character" w:customStyle="1" w:styleId="30">
    <w:name w:val="标题 2 Char"/>
    <w:link w:val="4"/>
    <w:qFormat/>
    <w:uiPriority w:val="9"/>
    <w:rPr>
      <w:rFonts w:ascii="Calibri Light" w:hAnsi="Calibri Light" w:eastAsia="宋体" w:cs="Times New Roman"/>
      <w:b/>
      <w:bCs/>
      <w:sz w:val="32"/>
      <w:szCs w:val="32"/>
    </w:rPr>
  </w:style>
  <w:style w:type="character" w:customStyle="1" w:styleId="31">
    <w:name w:val="标题 3 Char"/>
    <w:link w:val="5"/>
    <w:qFormat/>
    <w:uiPriority w:val="9"/>
    <w:rPr>
      <w:b/>
      <w:bCs/>
      <w:sz w:val="32"/>
      <w:szCs w:val="32"/>
    </w:rPr>
  </w:style>
  <w:style w:type="character" w:customStyle="1" w:styleId="32">
    <w:name w:val="页脚 Char"/>
    <w:link w:val="12"/>
    <w:qFormat/>
    <w:uiPriority w:val="99"/>
    <w:rPr>
      <w:sz w:val="18"/>
      <w:szCs w:val="18"/>
    </w:rPr>
  </w:style>
  <w:style w:type="character" w:customStyle="1" w:styleId="33">
    <w:name w:val="页眉 Char"/>
    <w:link w:val="13"/>
    <w:qFormat/>
    <w:uiPriority w:val="99"/>
    <w:rPr>
      <w:sz w:val="18"/>
      <w:szCs w:val="18"/>
    </w:rPr>
  </w:style>
  <w:style w:type="paragraph" w:customStyle="1" w:styleId="34">
    <w:name w:val="正文1"/>
    <w:basedOn w:val="35"/>
    <w:next w:val="9"/>
    <w:qFormat/>
    <w:uiPriority w:val="0"/>
    <w:pPr>
      <w:jc w:val="left"/>
    </w:pPr>
    <w:rPr>
      <w:rFonts w:ascii="Times New Roman" w:hAnsi="Times New Roman"/>
      <w:kern w:val="0"/>
      <w:sz w:val="24"/>
      <w:szCs w:val="24"/>
    </w:rPr>
  </w:style>
  <w:style w:type="paragraph" w:customStyle="1" w:styleId="35">
    <w:name w:val="正文2"/>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6">
    <w:name w:val="Heading1"/>
    <w:basedOn w:val="1"/>
    <w:next w:val="1"/>
    <w:qFormat/>
    <w:uiPriority w:val="0"/>
    <w:pPr>
      <w:keepNext/>
      <w:keepLines/>
      <w:spacing w:before="340" w:after="330" w:line="576" w:lineRule="auto"/>
      <w:textAlignment w:val="baseline"/>
    </w:pPr>
    <w:rPr>
      <w:b/>
      <w:bCs/>
      <w:kern w:val="44"/>
      <w:sz w:val="44"/>
      <w:szCs w:val="44"/>
    </w:rPr>
  </w:style>
  <w:style w:type="paragraph" w:customStyle="1" w:styleId="37">
    <w:name w:val="样式 首行缩进:  2 字符"/>
    <w:basedOn w:val="1"/>
    <w:qFormat/>
    <w:uiPriority w:val="0"/>
    <w:pPr>
      <w:spacing w:line="480" w:lineRule="exact"/>
      <w:ind w:firstLine="200" w:firstLineChars="200"/>
      <w:jc w:val="left"/>
    </w:pPr>
    <w:rPr>
      <w:rFonts w:cs="宋体"/>
      <w:sz w:val="24"/>
      <w:szCs w:val="20"/>
    </w:rPr>
  </w:style>
  <w:style w:type="paragraph" w:styleId="38">
    <w:name w:val="List Paragraph"/>
    <w:basedOn w:val="1"/>
    <w:qFormat/>
    <w:uiPriority w:val="34"/>
    <w:pPr>
      <w:ind w:firstLine="420" w:firstLineChars="200"/>
    </w:pPr>
  </w:style>
  <w:style w:type="paragraph" w:customStyle="1" w:styleId="39">
    <w:name w:val="_Style 37"/>
    <w:basedOn w:val="40"/>
    <w:next w:val="9"/>
    <w:qFormat/>
    <w:uiPriority w:val="39"/>
    <w:pPr>
      <w:widowControl/>
      <w:spacing w:before="240" w:line="259" w:lineRule="auto"/>
      <w:jc w:val="left"/>
      <w:outlineLvl w:val="9"/>
    </w:pPr>
    <w:rPr>
      <w:rFonts w:ascii="Calibri Light" w:hAnsi="Calibri Light" w:eastAsia="宋体" w:cs="Times New Roman"/>
      <w:b w:val="0"/>
      <w:bCs w:val="0"/>
      <w:color w:val="2E74B5"/>
      <w:kern w:val="0"/>
      <w:szCs w:val="32"/>
    </w:rPr>
  </w:style>
  <w:style w:type="paragraph" w:customStyle="1" w:styleId="40">
    <w:name w:val="标题 1_0"/>
    <w:basedOn w:val="9"/>
    <w:next w:val="9"/>
    <w:qFormat/>
    <w:uiPriority w:val="0"/>
    <w:pPr>
      <w:keepNext/>
      <w:keepLines/>
      <w:spacing w:line="360" w:lineRule="auto"/>
      <w:outlineLvl w:val="0"/>
    </w:pPr>
    <w:rPr>
      <w:rFonts w:ascii="Times New Roman" w:hAnsi="Times New Roman"/>
      <w:b/>
      <w:bCs/>
      <w:kern w:val="44"/>
      <w:sz w:val="32"/>
      <w:szCs w:val="44"/>
    </w:rPr>
  </w:style>
  <w:style w:type="paragraph" w:customStyle="1" w:styleId="41">
    <w:name w:val="标题 2_0"/>
    <w:basedOn w:val="9"/>
    <w:next w:val="9"/>
    <w:qFormat/>
    <w:uiPriority w:val="0"/>
    <w:pPr>
      <w:keepNext/>
      <w:keepLines/>
      <w:spacing w:before="260" w:after="260" w:line="416" w:lineRule="auto"/>
      <w:outlineLvl w:val="1"/>
    </w:pPr>
    <w:rPr>
      <w:rFonts w:ascii="Arial" w:hAnsi="Arial" w:eastAsia="黑体"/>
      <w:b/>
      <w:bCs/>
      <w:sz w:val="32"/>
      <w:szCs w:val="32"/>
    </w:rPr>
  </w:style>
  <w:style w:type="paragraph" w:customStyle="1" w:styleId="42">
    <w:name w:val="标题 3_0"/>
    <w:basedOn w:val="43"/>
    <w:next w:val="43"/>
    <w:link w:val="47"/>
    <w:qFormat/>
    <w:uiPriority w:val="0"/>
    <w:pPr>
      <w:keepNext/>
      <w:keepLines/>
      <w:spacing w:line="360" w:lineRule="auto"/>
      <w:outlineLvl w:val="2"/>
    </w:pPr>
    <w:rPr>
      <w:rFonts w:ascii="Times New Roman" w:hAnsi="Times New Roman"/>
      <w:b/>
      <w:bCs/>
      <w:sz w:val="24"/>
      <w:szCs w:val="32"/>
    </w:rPr>
  </w:style>
  <w:style w:type="paragraph" w:customStyle="1" w:styleId="43">
    <w:name w:val="正文_0_0_0"/>
    <w:basedOn w:val="44"/>
    <w:qFormat/>
    <w:uiPriority w:val="0"/>
    <w:pPr>
      <w:widowControl w:val="0"/>
      <w:jc w:val="both"/>
    </w:pPr>
    <w:rPr>
      <w:rFonts w:ascii="Times New Roman" w:hAnsi="Times New Roman" w:cs="Calibri"/>
      <w:kern w:val="2"/>
      <w:sz w:val="21"/>
      <w:szCs w:val="21"/>
      <w:lang w:val="en-US" w:eastAsia="zh-CN" w:bidi="ar-SA"/>
    </w:rPr>
  </w:style>
  <w:style w:type="paragraph" w:customStyle="1" w:styleId="44">
    <w:name w:val="正文_0_0"/>
    <w:basedOn w:val="34"/>
    <w:next w:val="45"/>
    <w:qFormat/>
    <w:uiPriority w:val="0"/>
    <w:pPr>
      <w:widowControl w:val="0"/>
      <w:jc w:val="both"/>
    </w:pPr>
    <w:rPr>
      <w:rFonts w:ascii="Times New Roman" w:hAnsi="Times New Roman" w:cs="Calibri"/>
      <w:kern w:val="2"/>
      <w:sz w:val="21"/>
      <w:szCs w:val="21"/>
      <w:lang w:val="en-US" w:eastAsia="zh-CN" w:bidi="ar-SA"/>
    </w:rPr>
  </w:style>
  <w:style w:type="paragraph" w:customStyle="1" w:styleId="45">
    <w:name w:val="正文首行缩进_0"/>
    <w:basedOn w:val="46"/>
    <w:qFormat/>
    <w:uiPriority w:val="0"/>
    <w:pPr>
      <w:framePr w:wrap="around"/>
      <w:spacing w:beforeLines="0"/>
      <w:ind w:firstLine="420" w:firstLineChars="100"/>
    </w:pPr>
    <w:rPr>
      <w:rFonts w:ascii="Calibri" w:hAnsi="Calibri"/>
      <w:snapToGrid w:val="0"/>
      <w:kern w:val="0"/>
      <w:szCs w:val="20"/>
    </w:rPr>
  </w:style>
  <w:style w:type="paragraph" w:customStyle="1" w:styleId="46">
    <w:name w:val="正文文本_0"/>
    <w:basedOn w:val="43"/>
    <w:next w:val="9"/>
    <w:qFormat/>
    <w:uiPriority w:val="0"/>
    <w:pPr>
      <w:framePr w:hSpace="180" w:wrap="around" w:vAnchor="page" w:hAnchor="margin" w:y="3702"/>
      <w:spacing w:beforeLines="50" w:afterLines="50"/>
    </w:pPr>
    <w:rPr>
      <w:rFonts w:ascii="宋体" w:hAnsi="Times New Roman"/>
    </w:rPr>
  </w:style>
  <w:style w:type="character" w:customStyle="1" w:styleId="47">
    <w:name w:val="标题 3 字符"/>
    <w:link w:val="42"/>
    <w:qFormat/>
    <w:uiPriority w:val="0"/>
    <w:rPr>
      <w:b/>
      <w:kern w:val="2"/>
      <w:sz w:val="32"/>
      <w:szCs w:val="32"/>
    </w:rPr>
  </w:style>
  <w:style w:type="paragraph" w:customStyle="1" w:styleId="48">
    <w:name w:val="Normal_0"/>
    <w:qFormat/>
    <w:uiPriority w:val="0"/>
    <w:rPr>
      <w:rFonts w:ascii="黑体" w:hAnsi="黑体" w:eastAsia="黑体" w:cs="Times New Roman"/>
      <w:b/>
      <w:sz w:val="32"/>
      <w:szCs w:val="24"/>
      <w:lang w:bidi="ar-SA"/>
    </w:rPr>
  </w:style>
  <w:style w:type="paragraph" w:customStyle="1" w:styleId="49">
    <w:name w:val="正文_0_1"/>
    <w:basedOn w:val="34"/>
    <w:qFormat/>
    <w:uiPriority w:val="0"/>
    <w:pPr>
      <w:widowControl w:val="0"/>
      <w:jc w:val="both"/>
    </w:pPr>
    <w:rPr>
      <w:rFonts w:ascii="Times New Roman" w:hAnsi="Times New Roman"/>
      <w:kern w:val="2"/>
      <w:sz w:val="21"/>
      <w:szCs w:val="22"/>
      <w:lang w:val="en-US" w:eastAsia="zh-CN" w:bidi="ar-SA"/>
    </w:rPr>
  </w:style>
  <w:style w:type="paragraph" w:customStyle="1" w:styleId="50">
    <w:name w:val="标题 3_0_0"/>
    <w:basedOn w:val="44"/>
    <w:next w:val="44"/>
    <w:qFormat/>
    <w:uiPriority w:val="0"/>
    <w:pPr>
      <w:keepNext/>
      <w:keepLines/>
      <w:spacing w:line="360" w:lineRule="auto"/>
      <w:outlineLvl w:val="2"/>
    </w:pPr>
    <w:rPr>
      <w:rFonts w:ascii="Times New Roman" w:hAnsi="Times New Roman" w:cs="Times New Roman"/>
      <w:b/>
      <w:bCs/>
      <w:sz w:val="24"/>
      <w:szCs w:val="32"/>
    </w:rPr>
  </w:style>
  <w:style w:type="paragraph" w:customStyle="1" w:styleId="51">
    <w:name w:val="样式 标题 3 + (中文) 黑体 小四 非加粗 段前: 7.8 磅 段后: 0 磅 行距: 固定值 20 磅"/>
    <w:basedOn w:val="42"/>
    <w:qFormat/>
    <w:uiPriority w:val="0"/>
    <w:pPr>
      <w:spacing w:line="400" w:lineRule="exact"/>
    </w:pPr>
    <w:rPr>
      <w:rFonts w:ascii="Times New Roman" w:hAnsi="Times New Roman" w:eastAsia="黑体" w:cs="宋体"/>
      <w:b w:val="0"/>
      <w:bCs w:val="0"/>
      <w:szCs w:val="20"/>
    </w:rPr>
  </w:style>
  <w:style w:type="paragraph" w:customStyle="1" w:styleId="52">
    <w:name w:val="样式 标题 2 + Times New Roman 四号 非加粗 段前: 5 磅 段后: 0 磅 行距: 固定值 20..."/>
    <w:basedOn w:val="41"/>
    <w:qFormat/>
    <w:uiPriority w:val="0"/>
    <w:pPr>
      <w:spacing w:before="100" w:after="0" w:line="400" w:lineRule="exact"/>
    </w:pPr>
    <w:rPr>
      <w:rFonts w:ascii="Times New Roman" w:hAnsi="Times New Roman" w:cs="宋体"/>
      <w:b w:val="0"/>
      <w:bCs w:val="0"/>
      <w:sz w:val="28"/>
      <w:szCs w:val="20"/>
    </w:rPr>
  </w:style>
  <w:style w:type="paragraph" w:customStyle="1" w:styleId="53">
    <w:name w:val="标题 4_0"/>
    <w:basedOn w:val="44"/>
    <w:next w:val="44"/>
    <w:qFormat/>
    <w:uiPriority w:val="0"/>
    <w:pPr>
      <w:keepNext/>
      <w:keepLines/>
      <w:spacing w:line="360" w:lineRule="auto"/>
      <w:outlineLvl w:val="3"/>
    </w:pPr>
    <w:rPr>
      <w:rFonts w:ascii="Arial" w:hAnsi="Arial" w:cs="Times New Roman"/>
      <w:b/>
      <w:bCs/>
      <w:szCs w:val="28"/>
    </w:rPr>
  </w:style>
  <w:style w:type="paragraph" w:customStyle="1" w:styleId="54">
    <w:name w:val="Table Paragraph"/>
    <w:basedOn w:val="9"/>
    <w:qFormat/>
    <w:uiPriority w:val="0"/>
    <w:rPr>
      <w:rFonts w:ascii="Times New Roman" w:hAnsi="Times New Roman"/>
    </w:rPr>
  </w:style>
  <w:style w:type="paragraph" w:customStyle="1" w:styleId="55">
    <w:name w:val="正文_0_0_0_0"/>
    <w:basedOn w:val="49"/>
    <w:qFormat/>
    <w:uiPriority w:val="0"/>
    <w:pPr>
      <w:widowControl w:val="0"/>
      <w:jc w:val="both"/>
    </w:pPr>
    <w:rPr>
      <w:rFonts w:ascii="Calibri" w:hAnsi="Calibri" w:cs="Calibri"/>
      <w:kern w:val="2"/>
      <w:sz w:val="21"/>
      <w:szCs w:val="21"/>
      <w:lang w:val="en-US" w:eastAsia="zh-CN" w:bidi="ar-SA"/>
    </w:rPr>
  </w:style>
  <w:style w:type="paragraph" w:customStyle="1" w:styleId="56">
    <w:name w:val="正文_1"/>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57">
    <w:name w:val="正文_2"/>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8">
    <w:name w:val="正文_1_0"/>
    <w:basedOn w:val="49"/>
    <w:qFormat/>
    <w:uiPriority w:val="0"/>
    <w:pPr>
      <w:widowControl w:val="0"/>
      <w:jc w:val="both"/>
    </w:pPr>
    <w:rPr>
      <w:rFonts w:ascii="Times New Roman" w:hAnsi="Times New Roman"/>
      <w:kern w:val="2"/>
      <w:sz w:val="21"/>
      <w:szCs w:val="22"/>
      <w:lang w:val="en-US" w:eastAsia="zh-CN" w:bidi="ar-SA"/>
    </w:rPr>
  </w:style>
  <w:style w:type="paragraph" w:customStyle="1" w:styleId="59">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0">
    <w:name w:val="正文_3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1">
    <w:name w:val="正文_2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2">
    <w:name w:val="正文_3_0_0"/>
    <w:basedOn w:val="57"/>
    <w:qFormat/>
    <w:uiPriority w:val="0"/>
    <w:rPr>
      <w:rFonts w:ascii="Calibri" w:hAnsi="Calibri" w:cs="Calibri"/>
      <w:szCs w:val="21"/>
    </w:rPr>
  </w:style>
  <w:style w:type="paragraph" w:customStyle="1" w:styleId="63">
    <w:name w:val="正文_1_0_0"/>
    <w:basedOn w:val="57"/>
    <w:qFormat/>
    <w:uiPriority w:val="0"/>
    <w:rPr>
      <w:rFonts w:ascii="Calibri" w:hAnsi="Calibri" w:cs="Calibri"/>
      <w:szCs w:val="21"/>
    </w:rPr>
  </w:style>
  <w:style w:type="paragraph" w:customStyle="1" w:styleId="64">
    <w:name w:val="正文_2_0"/>
    <w:basedOn w:val="57"/>
    <w:qFormat/>
    <w:uiPriority w:val="0"/>
    <w:rPr>
      <w:rFonts w:ascii="Calibri" w:hAnsi="Calibri" w:cs="Calibri"/>
      <w:szCs w:val="21"/>
    </w:rPr>
  </w:style>
  <w:style w:type="paragraph" w:customStyle="1" w:styleId="65">
    <w:name w:val="正文_1_1_0_0"/>
    <w:basedOn w:val="57"/>
    <w:qFormat/>
    <w:uiPriority w:val="0"/>
    <w:rPr>
      <w:rFonts w:ascii="Calibri" w:hAnsi="Calibri" w:cs="Calibri"/>
      <w:szCs w:val="21"/>
    </w:rPr>
  </w:style>
  <w:style w:type="paragraph" w:customStyle="1" w:styleId="66">
    <w:name w:val="正文_4"/>
    <w:basedOn w:val="57"/>
    <w:qFormat/>
    <w:uiPriority w:val="0"/>
    <w:rPr>
      <w:rFonts w:ascii="Calibri" w:hAnsi="Calibri" w:cs="Calibri"/>
      <w:szCs w:val="21"/>
    </w:rPr>
  </w:style>
  <w:style w:type="paragraph" w:customStyle="1" w:styleId="67">
    <w:name w:val="正文_1_1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8">
    <w:name w:val="正文_1_2"/>
    <w:basedOn w:val="57"/>
    <w:qFormat/>
    <w:uiPriority w:val="0"/>
    <w:rPr>
      <w:rFonts w:ascii="Calibri" w:hAnsi="Calibri" w:cs="Calibri"/>
      <w:szCs w:val="21"/>
    </w:rPr>
  </w:style>
  <w:style w:type="paragraph" w:customStyle="1" w:styleId="69">
    <w:name w:val="正文_0_2"/>
    <w:basedOn w:val="57"/>
    <w:qFormat/>
    <w:uiPriority w:val="0"/>
    <w:rPr>
      <w:rFonts w:ascii="Calibri" w:hAnsi="Calibri" w:cs="Calibri"/>
      <w:szCs w:val="21"/>
    </w:rPr>
  </w:style>
  <w:style w:type="paragraph" w:customStyle="1" w:styleId="70">
    <w:name w:val="正文_0_1_0"/>
    <w:basedOn w:val="9"/>
    <w:qFormat/>
    <w:uiPriority w:val="0"/>
    <w:pPr>
      <w:widowControl w:val="0"/>
      <w:jc w:val="both"/>
    </w:pPr>
    <w:rPr>
      <w:rFonts w:ascii="Times New Roman" w:hAnsi="Times New Roman"/>
      <w:kern w:val="2"/>
      <w:sz w:val="21"/>
      <w:szCs w:val="22"/>
      <w:lang w:val="en-US" w:eastAsia="zh-CN" w:bidi="ar-SA"/>
    </w:rPr>
  </w:style>
  <w:style w:type="paragraph" w:customStyle="1" w:styleId="71">
    <w:name w:val="正文_1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72">
    <w:name w:val="正文_4_0"/>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73">
    <w:name w:val="NormalCharacter"/>
    <w:semiHidden/>
    <w:qFormat/>
    <w:uiPriority w:val="0"/>
    <w:rPr>
      <w:kern w:val="2"/>
      <w:sz w:val="21"/>
      <w:szCs w:val="24"/>
      <w:lang w:val="en-US" w:eastAsia="zh-CN" w:bidi="ar-SA"/>
    </w:rPr>
  </w:style>
  <w:style w:type="paragraph" w:customStyle="1" w:styleId="7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5">
    <w:name w:val="Table Text"/>
    <w:basedOn w:val="1"/>
    <w:semiHidden/>
    <w:qFormat/>
    <w:uiPriority w:val="0"/>
    <w:rPr>
      <w:rFonts w:ascii="宋体" w:hAnsi="宋体" w:eastAsia="宋体" w:cs="宋体"/>
      <w:sz w:val="20"/>
      <w:szCs w:val="20"/>
      <w:lang w:val="en-US" w:eastAsia="en-US" w:bidi="ar-SA"/>
    </w:rPr>
  </w:style>
  <w:style w:type="table" w:customStyle="1" w:styleId="76">
    <w:name w:val="Table Normal"/>
    <w:unhideWhenUsed/>
    <w:qFormat/>
    <w:uiPriority w:val="0"/>
    <w:tblPr>
      <w:tblCellMar>
        <w:top w:w="0" w:type="dxa"/>
        <w:left w:w="0" w:type="dxa"/>
        <w:bottom w:w="0" w:type="dxa"/>
        <w:right w:w="0" w:type="dxa"/>
      </w:tblCellMar>
    </w:tblPr>
  </w:style>
  <w:style w:type="character" w:customStyle="1" w:styleId="77">
    <w:name w:val="font01"/>
    <w:basedOn w:val="25"/>
    <w:qFormat/>
    <w:uiPriority w:val="0"/>
    <w:rPr>
      <w:rFonts w:hint="default" w:ascii="Arial" w:hAnsi="Arial" w:cs="Arial"/>
      <w:color w:val="000000"/>
      <w:sz w:val="20"/>
      <w:szCs w:val="20"/>
      <w:u w:val="none"/>
    </w:rPr>
  </w:style>
  <w:style w:type="character" w:customStyle="1" w:styleId="78">
    <w:name w:val="font11"/>
    <w:basedOn w:val="25"/>
    <w:qFormat/>
    <w:uiPriority w:val="0"/>
    <w:rPr>
      <w:rFonts w:hint="eastAsia" w:ascii="宋体" w:hAnsi="宋体" w:eastAsia="宋体" w:cs="宋体"/>
      <w:color w:val="000000"/>
      <w:sz w:val="20"/>
      <w:szCs w:val="20"/>
      <w:u w:val="none"/>
    </w:rPr>
  </w:style>
  <w:style w:type="character" w:customStyle="1" w:styleId="79">
    <w:name w:val="font21"/>
    <w:basedOn w:val="25"/>
    <w:qFormat/>
    <w:uiPriority w:val="0"/>
    <w:rPr>
      <w:rFonts w:hint="eastAsia" w:ascii="宋体" w:hAnsi="宋体" w:eastAsia="宋体" w:cs="宋体"/>
      <w:color w:val="000000"/>
      <w:sz w:val="20"/>
      <w:szCs w:val="20"/>
      <w:u w:val="none"/>
    </w:rPr>
  </w:style>
  <w:style w:type="character" w:customStyle="1" w:styleId="80">
    <w:name w:val="fontstyle01"/>
    <w:basedOn w:val="25"/>
    <w:qFormat/>
    <w:uiPriority w:val="0"/>
    <w:rPr>
      <w:rFonts w:ascii="仿宋_GB2312" w:hAnsi="仿宋_GB2312" w:eastAsia="仿宋_GB2312" w:cs="仿宋_GB2312"/>
      <w:color w:val="000000"/>
      <w:sz w:val="32"/>
      <w:szCs w:val="32"/>
    </w:rPr>
  </w:style>
  <w:style w:type="character" w:customStyle="1" w:styleId="81">
    <w:name w:val="font31"/>
    <w:basedOn w:val="25"/>
    <w:qFormat/>
    <w:uiPriority w:val="0"/>
    <w:rPr>
      <w:rFonts w:hint="eastAsia" w:ascii="宋体" w:hAnsi="宋体" w:eastAsia="宋体" w:cs="宋体"/>
      <w:b/>
      <w:bCs/>
      <w:color w:val="000000"/>
      <w:sz w:val="24"/>
      <w:szCs w:val="24"/>
      <w:u w:val="none"/>
    </w:rPr>
  </w:style>
  <w:style w:type="character" w:customStyle="1" w:styleId="82">
    <w:name w:val="font51"/>
    <w:basedOn w:val="25"/>
    <w:qFormat/>
    <w:uiPriority w:val="0"/>
    <w:rPr>
      <w:rFonts w:hint="eastAsia" w:ascii="宋体" w:hAnsi="宋体" w:eastAsia="宋体" w:cs="宋体"/>
      <w:b/>
      <w:bCs/>
      <w:color w:val="000000"/>
      <w:sz w:val="18"/>
      <w:szCs w:val="18"/>
      <w:u w:val="none"/>
    </w:rPr>
  </w:style>
  <w:style w:type="character" w:customStyle="1" w:styleId="83">
    <w:name w:val="font41"/>
    <w:basedOn w:val="25"/>
    <w:qFormat/>
    <w:uiPriority w:val="0"/>
    <w:rPr>
      <w:rFonts w:hint="default" w:ascii="Arial Narrow" w:hAnsi="Arial Narrow" w:eastAsia="Arial Narrow" w:cs="Arial Narrow"/>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wmf"/><Relationship Id="rId7" Type="http://schemas.openxmlformats.org/officeDocument/2006/relationships/oleObject" Target="embeddings/oleObject1.bin"/><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NIL</Company>
  <Pages>252</Pages>
  <Words>3146</Words>
  <Characters>3990</Characters>
  <Lines>1206</Lines>
  <Paragraphs>339</Paragraphs>
  <TotalTime>3</TotalTime>
  <ScaleCrop>false</ScaleCrop>
  <LinksUpToDate>false</LinksUpToDate>
  <CharactersWithSpaces>4489</CharactersWithSpaces>
  <Application>WPS Office_12.1.0.26381_F1E327BC-269C-435d-A152-05C5408002CA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2016-05-23T05:51:00Z</dcterms:created>
  <dc:creator>NTKO</dc:creator>
  <cp:lastModifiedBy>hehe</cp:lastModifiedBy>
  <cp:lastPrinted>2026-06-29T08:45:00Z</cp:lastPrinted>
  <dcterms:modified xsi:type="dcterms:W3CDTF">2026-07-31T07:11:42Z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2052-12.1.0.26381</vt:lpwstr>
  </property>
  <property fmtid="{D5CDD505-2E9C-101B-9397-08002B2CF9AE}" pid="3" name="ICV">
    <vt:lpwstr>9932C436DCDD4DFBB305A69E81196CC2_13</vt:lpwstr>
  </property>
  <property fmtid="{D5CDD505-2E9C-101B-9397-08002B2CF9AE}" pid="4" name="KSOTemplateDocerSaveRecord">
    <vt:lpwstr>eyJoZGlkIjoiYjJmNzU1ZjUzOTY3ZDZmODdjMGYyM2I3OGM5OTcwMDUiLCJ1c2VySWQiOiIzNDI3NzkzMjMifQ==</vt:lpwstr>
  </property>
</Properties>
</file>